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9C7A" w14:textId="77777777" w:rsidR="00913CE0" w:rsidRDefault="00913CE0" w:rsidP="00913CE0">
      <w:pPr>
        <w:jc w:val="both"/>
      </w:pPr>
    </w:p>
    <w:p w14:paraId="65D4A4F3" w14:textId="77777777" w:rsidR="00913CE0" w:rsidRPr="00F12BCD" w:rsidRDefault="00913CE0" w:rsidP="00913CE0">
      <w:pPr>
        <w:tabs>
          <w:tab w:val="left" w:pos="851"/>
        </w:tabs>
        <w:spacing w:line="259" w:lineRule="auto"/>
        <w:jc w:val="center"/>
        <w:rPr>
          <w:rFonts w:ascii="Times New Roman" w:eastAsia="Calibri" w:hAnsi="Times New Roman" w:cs="Times New Roman"/>
          <w:b/>
          <w:bCs/>
        </w:rPr>
      </w:pPr>
      <w:r w:rsidRPr="00F12BCD">
        <w:rPr>
          <w:rFonts w:ascii="Times New Roman" w:eastAsia="Calibri" w:hAnsi="Times New Roman" w:cs="Times New Roman"/>
          <w:b/>
          <w:bCs/>
        </w:rPr>
        <w:t>PIRKIMO DOKUMENTŲ PAAIŠKINIMAS_1</w:t>
      </w:r>
    </w:p>
    <w:p w14:paraId="7422C919" w14:textId="7589B54C" w:rsidR="00EF22C3" w:rsidRDefault="00913CE0" w:rsidP="00EF22C3">
      <w:pPr>
        <w:spacing w:line="259" w:lineRule="auto"/>
        <w:jc w:val="center"/>
        <w:rPr>
          <w:rFonts w:ascii="Times New Roman" w:eastAsia="Calibri" w:hAnsi="Times New Roman" w:cs="Times New Roman"/>
          <w:b/>
          <w:bCs/>
        </w:rPr>
      </w:pPr>
      <w:r w:rsidRPr="00F12BCD">
        <w:rPr>
          <w:rFonts w:ascii="Times New Roman" w:eastAsia="Calibri" w:hAnsi="Times New Roman" w:cs="Times New Roman"/>
          <w:b/>
          <w:bCs/>
        </w:rPr>
        <w:t xml:space="preserve">DĖL </w:t>
      </w:r>
      <w:r>
        <w:rPr>
          <w:rFonts w:ascii="Times New Roman" w:eastAsia="Calibri" w:hAnsi="Times New Roman" w:cs="Times New Roman"/>
          <w:b/>
          <w:bCs/>
        </w:rPr>
        <w:t xml:space="preserve">LABORATORINIŲ </w:t>
      </w:r>
      <w:r w:rsidR="00EF22C3">
        <w:rPr>
          <w:rFonts w:ascii="Times New Roman" w:eastAsia="Calibri" w:hAnsi="Times New Roman" w:cs="Times New Roman"/>
          <w:b/>
          <w:bCs/>
        </w:rPr>
        <w:t>KĖDŽIŲ PIRMAJAI GIMNAZIJAI</w:t>
      </w:r>
    </w:p>
    <w:p w14:paraId="0D60B502" w14:textId="77777777" w:rsidR="00EF22C3" w:rsidRPr="00F12BCD" w:rsidRDefault="00EF22C3" w:rsidP="00EF22C3">
      <w:pPr>
        <w:spacing w:line="259" w:lineRule="auto"/>
        <w:jc w:val="center"/>
        <w:rPr>
          <w:rFonts w:ascii="Times New Roman" w:eastAsia="Calibri" w:hAnsi="Times New Roman" w:cs="Times New Roman"/>
          <w:b/>
          <w:bCs/>
        </w:rPr>
      </w:pPr>
    </w:p>
    <w:p w14:paraId="1BE06F08" w14:textId="2A4FC77E" w:rsidR="00913CE0" w:rsidRPr="00EF22C3" w:rsidRDefault="00913CE0" w:rsidP="00913CE0">
      <w:pPr>
        <w:spacing w:line="259" w:lineRule="auto"/>
        <w:rPr>
          <w:rFonts w:ascii="Times New Roman" w:eastAsia="Calibri" w:hAnsi="Times New Roman" w:cs="Times New Roman"/>
        </w:rPr>
      </w:pPr>
      <w:r w:rsidRPr="00EF22C3">
        <w:rPr>
          <w:rFonts w:ascii="Times New Roman" w:eastAsia="Calibri" w:hAnsi="Times New Roman" w:cs="Times New Roman"/>
        </w:rPr>
        <w:t xml:space="preserve">            </w:t>
      </w:r>
      <w:r w:rsidR="00EF22C3">
        <w:rPr>
          <w:rFonts w:ascii="Times New Roman" w:eastAsia="Calibri" w:hAnsi="Times New Roman" w:cs="Times New Roman"/>
        </w:rPr>
        <w:tab/>
      </w:r>
      <w:r w:rsidRPr="00EF22C3">
        <w:rPr>
          <w:rFonts w:ascii="Times New Roman" w:eastAsia="Calibri" w:hAnsi="Times New Roman" w:cs="Times New Roman"/>
        </w:rPr>
        <w:t>Pateikiame atsaky</w:t>
      </w:r>
      <w:r w:rsidR="00EF22C3">
        <w:rPr>
          <w:rFonts w:ascii="Times New Roman" w:eastAsia="Calibri" w:hAnsi="Times New Roman" w:cs="Times New Roman"/>
        </w:rPr>
        <w:t>mą</w:t>
      </w:r>
      <w:r w:rsidRPr="00EF22C3">
        <w:rPr>
          <w:rFonts w:ascii="Times New Roman" w:eastAsia="Calibri" w:hAnsi="Times New Roman" w:cs="Times New Roman"/>
        </w:rPr>
        <w:t xml:space="preserve"> į tiekėjo paklausim</w:t>
      </w:r>
      <w:r w:rsidR="00EF22C3">
        <w:rPr>
          <w:rFonts w:ascii="Times New Roman" w:eastAsia="Calibri" w:hAnsi="Times New Roman" w:cs="Times New Roman"/>
        </w:rPr>
        <w:t>ą</w:t>
      </w:r>
      <w:r w:rsidRPr="00EF22C3">
        <w:rPr>
          <w:rFonts w:ascii="Times New Roman" w:eastAsia="Calibri" w:hAnsi="Times New Roman" w:cs="Times New Roman"/>
        </w:rPr>
        <w:t>.</w:t>
      </w:r>
    </w:p>
    <w:p w14:paraId="2A4B8005" w14:textId="766D8FD6" w:rsidR="00913CE0" w:rsidRDefault="00913CE0" w:rsidP="00EF22C3">
      <w:pPr>
        <w:pStyle w:val="Sraopastraipa"/>
        <w:ind w:left="142" w:firstLine="1154"/>
        <w:jc w:val="both"/>
        <w:rPr>
          <w:rFonts w:ascii="Times New Roman" w:hAnsi="Times New Roman" w:cs="Times New Roman"/>
          <w:color w:val="00241A"/>
          <w:sz w:val="24"/>
          <w:szCs w:val="24"/>
          <w:shd w:val="clear" w:color="auto" w:fill="FFFFFF"/>
        </w:rPr>
      </w:pPr>
      <w:r w:rsidRPr="00EF22C3">
        <w:rPr>
          <w:rFonts w:ascii="Times New Roman" w:hAnsi="Times New Roman" w:cs="Times New Roman"/>
          <w:b/>
          <w:bCs/>
          <w:sz w:val="24"/>
          <w:szCs w:val="24"/>
        </w:rPr>
        <w:t>Klausimas.</w:t>
      </w:r>
      <w:r w:rsidRPr="00EF22C3">
        <w:rPr>
          <w:rFonts w:ascii="Times New Roman" w:hAnsi="Times New Roman" w:cs="Times New Roman"/>
          <w:sz w:val="24"/>
          <w:szCs w:val="24"/>
        </w:rPr>
        <w:t xml:space="preserve"> </w:t>
      </w:r>
      <w:r w:rsidR="00EF22C3" w:rsidRPr="00EF22C3">
        <w:rPr>
          <w:rFonts w:ascii="Times New Roman" w:hAnsi="Times New Roman" w:cs="Times New Roman"/>
          <w:color w:val="00241A"/>
          <w:sz w:val="24"/>
          <w:szCs w:val="24"/>
          <w:shd w:val="clear" w:color="auto" w:fill="FFFFFF"/>
        </w:rPr>
        <w:t>Pirkimo sąlygų 2 priede „Techninė specifikacija“ yra reikalavimas: "Atitinkami kokybės ir saugumo sertifikatai: Patvirtinantys dokumentai turės būti pateikti kartu su pristatomomis prekėmis". Prašome įvardinti konkrečiai, kokius sertifikatus reikėtų pateikti.</w:t>
      </w:r>
    </w:p>
    <w:p w14:paraId="3E191EF7" w14:textId="77777777" w:rsidR="00EF22C3" w:rsidRDefault="00EF22C3" w:rsidP="00EF22C3">
      <w:pPr>
        <w:pStyle w:val="Sraopastraipa"/>
        <w:ind w:left="142" w:firstLine="1154"/>
        <w:jc w:val="both"/>
        <w:rPr>
          <w:rFonts w:ascii="Times New Roman" w:hAnsi="Times New Roman" w:cs="Times New Roman"/>
          <w:b/>
          <w:bCs/>
          <w:sz w:val="24"/>
          <w:szCs w:val="24"/>
        </w:rPr>
      </w:pPr>
    </w:p>
    <w:p w14:paraId="104BBC77" w14:textId="06470058" w:rsidR="00EF22C3" w:rsidRPr="00EF22C3" w:rsidRDefault="00EF22C3" w:rsidP="00EF22C3">
      <w:pPr>
        <w:pStyle w:val="Sraopastraipa"/>
        <w:ind w:left="142" w:firstLine="1154"/>
        <w:jc w:val="both"/>
        <w:rPr>
          <w:rFonts w:ascii="Times New Roman" w:hAnsi="Times New Roman" w:cs="Times New Roman"/>
          <w:sz w:val="24"/>
          <w:szCs w:val="24"/>
        </w:rPr>
      </w:pPr>
      <w:r>
        <w:rPr>
          <w:rFonts w:ascii="Times New Roman" w:hAnsi="Times New Roman" w:cs="Times New Roman"/>
          <w:b/>
          <w:bCs/>
          <w:sz w:val="24"/>
          <w:szCs w:val="24"/>
        </w:rPr>
        <w:t xml:space="preserve">Atsakymas. </w:t>
      </w:r>
      <w:r w:rsidRPr="00EF22C3">
        <w:rPr>
          <w:rFonts w:ascii="Times New Roman" w:hAnsi="Times New Roman" w:cs="Times New Roman"/>
          <w:sz w:val="24"/>
          <w:szCs w:val="24"/>
        </w:rPr>
        <w:t xml:space="preserve">Reikalingi pateikti dokumentai yra paryškinti juoda spalva. </w:t>
      </w:r>
    </w:p>
    <w:p w14:paraId="76345BFC"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Baldai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VII skyriuje „Baldai“ nustatytus reikalavimus:</w:t>
      </w:r>
    </w:p>
    <w:p w14:paraId="60444804" w14:textId="6CE4F606"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 xml:space="preserve">1. ne mažiau kaip 80 proc. balduose naudojamos medienos, medienos medžiagų ir gaminių turi būti iš miškų, sertifikuotų naudojant FSC ar PEFC miškų sertifikavimo sistemas arba lygiavertes sertifikavimo sistemas. </w:t>
      </w:r>
      <w:r w:rsidRPr="00EF22C3">
        <w:rPr>
          <w:rFonts w:ascii="Times New Roman" w:eastAsia="Times New Roman" w:hAnsi="Times New Roman" w:cs="Times New Roman"/>
          <w:b/>
          <w:bCs/>
          <w:kern w:val="0"/>
          <w:sz w:val="22"/>
          <w:szCs w:val="22"/>
          <w:lang w:eastAsia="lt-LT"/>
          <w14:ligatures w14:val="none"/>
        </w:rPr>
        <w:t>Privaloma pateikti atitiktį įrodančius dokumentus: FSC®100 arba PEFC, arba kitą darnaus miškų ūkio standarto sertifikatą, arba pripažintos įstaigos arba paskelbtosios (notifikuotos) institucijos atlikto bandymo protokolą, tyrimų ataskaitą ar pažymą, arba kitus lygiaverčius įrodymus.</w:t>
      </w:r>
    </w:p>
    <w:p w14:paraId="368BAD33"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 xml:space="preserve">2. visos plastikinės dalys, kurių masė ≥ 50 g, turi būti paženklintos kaip tinkamos perdirbti pagal LST EN ISO 11469 „Bendrasis plastikinių gaminių identifikavimas ir ženklinimas“ (toliau – LST EN ISO 11469) ar lygiavertį standartą. </w:t>
      </w:r>
      <w:r w:rsidRPr="00EF22C3">
        <w:rPr>
          <w:rFonts w:ascii="Times New Roman" w:eastAsia="Times New Roman" w:hAnsi="Times New Roman" w:cs="Times New Roman"/>
          <w:b/>
          <w:bCs/>
          <w:kern w:val="0"/>
          <w:sz w:val="22"/>
          <w:szCs w:val="22"/>
          <w:lang w:eastAsia="lt-LT"/>
          <w14:ligatures w14:val="none"/>
        </w:rPr>
        <w:t xml:space="preserve">Privaloma pateikti atitiktį įrodančius dokumentus: Ekologinį ženklą </w:t>
      </w:r>
      <w:proofErr w:type="spellStart"/>
      <w:r w:rsidRPr="00EF22C3">
        <w:rPr>
          <w:rFonts w:ascii="Times New Roman" w:eastAsia="Times New Roman" w:hAnsi="Times New Roman" w:cs="Times New Roman"/>
          <w:b/>
          <w:bCs/>
          <w:kern w:val="0"/>
          <w:sz w:val="22"/>
          <w:szCs w:val="22"/>
          <w:lang w:eastAsia="lt-LT"/>
          <w14:ligatures w14:val="none"/>
        </w:rPr>
        <w:t>Nordic</w:t>
      </w:r>
      <w:proofErr w:type="spellEnd"/>
      <w:r w:rsidRPr="00EF22C3">
        <w:rPr>
          <w:rFonts w:ascii="Times New Roman" w:eastAsia="Times New Roman" w:hAnsi="Times New Roman" w:cs="Times New Roman"/>
          <w:b/>
          <w:bCs/>
          <w:kern w:val="0"/>
          <w:sz w:val="22"/>
          <w:szCs w:val="22"/>
          <w:lang w:eastAsia="lt-LT"/>
          <w14:ligatures w14:val="none"/>
        </w:rPr>
        <w:t xml:space="preserve"> </w:t>
      </w:r>
      <w:proofErr w:type="spellStart"/>
      <w:r w:rsidRPr="00EF22C3">
        <w:rPr>
          <w:rFonts w:ascii="Times New Roman" w:eastAsia="Times New Roman" w:hAnsi="Times New Roman" w:cs="Times New Roman"/>
          <w:b/>
          <w:bCs/>
          <w:kern w:val="0"/>
          <w:sz w:val="22"/>
          <w:szCs w:val="22"/>
          <w:lang w:eastAsia="lt-LT"/>
          <w14:ligatures w14:val="none"/>
        </w:rPr>
        <w:t>Swan</w:t>
      </w:r>
      <w:proofErr w:type="spellEnd"/>
      <w:r w:rsidRPr="00EF22C3">
        <w:rPr>
          <w:rFonts w:ascii="Times New Roman" w:eastAsia="Times New Roman" w:hAnsi="Times New Roman" w:cs="Times New Roman"/>
          <w:b/>
          <w:bCs/>
          <w:kern w:val="0"/>
          <w:sz w:val="22"/>
          <w:szCs w:val="22"/>
          <w:lang w:eastAsia="lt-LT"/>
          <w14:ligatures w14:val="none"/>
        </w:rPr>
        <w:t xml:space="preserve"> arba kitą I tipo ekologinį ženklą (sertifikatą), kuris įrodytų, kad visos plastikinės dalys,  kurių masė ≥ 50 g, yra paženklintos kaip tinkamos perdirbti pagal nurodytą standartą, arba pripažintos įstaigos arba paskelbtosios (notifikuotos) institucijos atlikto bandymo protokolą, tyrimų ataskaitą ar pažymą, arba gamintojo techninius dokumentus, arba saugos duomenų lapą, arba kitus lygiaverčius įrodymus.</w:t>
      </w:r>
    </w:p>
    <w:p w14:paraId="27805F03"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3. paviršiams dengti naudojamuose produktuose:</w:t>
      </w:r>
    </w:p>
    <w:p w14:paraId="02C9B5A2"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F49BC88"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3.2. neturi būti daugiau kaip 5 proc. masės lakiųjų organinių junginių (LOJ);</w:t>
      </w:r>
    </w:p>
    <w:p w14:paraId="1AD25520"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3.3. neturi būti chromo (VI) junginių;</w:t>
      </w:r>
    </w:p>
    <w:p w14:paraId="12185B15" w14:textId="77777777"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lastRenderedPageBreak/>
        <w:t xml:space="preserve">3.4. </w:t>
      </w:r>
      <w:proofErr w:type="spellStart"/>
      <w:r w:rsidRPr="00EF22C3">
        <w:rPr>
          <w:rFonts w:ascii="Times New Roman" w:eastAsia="Times New Roman" w:hAnsi="Times New Roman" w:cs="Times New Roman"/>
          <w:kern w:val="0"/>
          <w:sz w:val="22"/>
          <w:szCs w:val="22"/>
          <w:lang w:eastAsia="lt-LT"/>
          <w14:ligatures w14:val="none"/>
        </w:rPr>
        <w:t>formaldehido</w:t>
      </w:r>
      <w:proofErr w:type="spellEnd"/>
      <w:r w:rsidRPr="00EF22C3">
        <w:rPr>
          <w:rFonts w:ascii="Times New Roman" w:eastAsia="Times New Roman" w:hAnsi="Times New Roman" w:cs="Times New Roman"/>
          <w:kern w:val="0"/>
          <w:sz w:val="22"/>
          <w:szCs w:val="22"/>
          <w:lang w:eastAsia="lt-LT"/>
          <w14:ligatures w14:val="none"/>
        </w:rPr>
        <w:t xml:space="preserve"> išmetamieji teršalai neturi viršyti 0,05 </w:t>
      </w:r>
      <w:proofErr w:type="spellStart"/>
      <w:r w:rsidRPr="00EF22C3">
        <w:rPr>
          <w:rFonts w:ascii="Times New Roman" w:eastAsia="Times New Roman" w:hAnsi="Times New Roman" w:cs="Times New Roman"/>
          <w:kern w:val="0"/>
          <w:sz w:val="22"/>
          <w:szCs w:val="22"/>
          <w:lang w:eastAsia="lt-LT"/>
          <w14:ligatures w14:val="none"/>
        </w:rPr>
        <w:t>ppm</w:t>
      </w:r>
      <w:proofErr w:type="spellEnd"/>
      <w:r w:rsidRPr="00EF22C3">
        <w:rPr>
          <w:rFonts w:ascii="Times New Roman" w:eastAsia="Times New Roman" w:hAnsi="Times New Roman" w:cs="Times New Roman"/>
          <w:kern w:val="0"/>
          <w:sz w:val="22"/>
          <w:szCs w:val="22"/>
          <w:lang w:eastAsia="lt-LT"/>
          <w14:ligatures w14:val="none"/>
        </w:rPr>
        <w:t xml:space="preserve">. </w:t>
      </w:r>
      <w:r w:rsidRPr="00EF22C3">
        <w:rPr>
          <w:rFonts w:ascii="Times New Roman" w:eastAsia="Times New Roman" w:hAnsi="Times New Roman" w:cs="Times New Roman"/>
          <w:b/>
          <w:bCs/>
          <w:kern w:val="0"/>
          <w:sz w:val="22"/>
          <w:szCs w:val="22"/>
          <w:lang w:eastAsia="lt-LT"/>
          <w14:ligatures w14:val="none"/>
        </w:rPr>
        <w:t xml:space="preserve">Privaloma pateikti atitiktį įrodančius dokumentus: Ekologinį ženklą </w:t>
      </w:r>
      <w:proofErr w:type="spellStart"/>
      <w:r w:rsidRPr="00EF22C3">
        <w:rPr>
          <w:rFonts w:ascii="Times New Roman" w:eastAsia="Times New Roman" w:hAnsi="Times New Roman" w:cs="Times New Roman"/>
          <w:b/>
          <w:bCs/>
          <w:kern w:val="0"/>
          <w:sz w:val="22"/>
          <w:szCs w:val="22"/>
          <w:lang w:eastAsia="lt-LT"/>
          <w14:ligatures w14:val="none"/>
        </w:rPr>
        <w:t>European</w:t>
      </w:r>
      <w:proofErr w:type="spellEnd"/>
      <w:r w:rsidRPr="00EF22C3">
        <w:rPr>
          <w:rFonts w:ascii="Times New Roman" w:eastAsia="Times New Roman" w:hAnsi="Times New Roman" w:cs="Times New Roman"/>
          <w:b/>
          <w:bCs/>
          <w:kern w:val="0"/>
          <w:sz w:val="22"/>
          <w:szCs w:val="22"/>
          <w:lang w:eastAsia="lt-LT"/>
          <w14:ligatures w14:val="none"/>
        </w:rPr>
        <w:t xml:space="preserve"> </w:t>
      </w:r>
      <w:proofErr w:type="spellStart"/>
      <w:r w:rsidRPr="00EF22C3">
        <w:rPr>
          <w:rFonts w:ascii="Times New Roman" w:eastAsia="Times New Roman" w:hAnsi="Times New Roman" w:cs="Times New Roman"/>
          <w:b/>
          <w:bCs/>
          <w:kern w:val="0"/>
          <w:sz w:val="22"/>
          <w:szCs w:val="22"/>
          <w:lang w:eastAsia="lt-LT"/>
          <w14:ligatures w14:val="none"/>
        </w:rPr>
        <w:t>Ecolabel</w:t>
      </w:r>
      <w:proofErr w:type="spellEnd"/>
      <w:r w:rsidRPr="00EF22C3">
        <w:rPr>
          <w:rFonts w:ascii="Times New Roman" w:eastAsia="Times New Roman" w:hAnsi="Times New Roman" w:cs="Times New Roman"/>
          <w:b/>
          <w:bCs/>
          <w:kern w:val="0"/>
          <w:sz w:val="22"/>
          <w:szCs w:val="22"/>
          <w:lang w:eastAsia="lt-LT"/>
          <w14:ligatures w14:val="none"/>
        </w:rPr>
        <w:t xml:space="preserve"> arba </w:t>
      </w:r>
      <w:proofErr w:type="spellStart"/>
      <w:r w:rsidRPr="00EF22C3">
        <w:rPr>
          <w:rFonts w:ascii="Times New Roman" w:eastAsia="Times New Roman" w:hAnsi="Times New Roman" w:cs="Times New Roman"/>
          <w:b/>
          <w:bCs/>
          <w:kern w:val="0"/>
          <w:sz w:val="22"/>
          <w:szCs w:val="22"/>
          <w:lang w:eastAsia="lt-LT"/>
          <w14:ligatures w14:val="none"/>
        </w:rPr>
        <w:t>Nordic</w:t>
      </w:r>
      <w:proofErr w:type="spellEnd"/>
      <w:r w:rsidRPr="00EF22C3">
        <w:rPr>
          <w:rFonts w:ascii="Times New Roman" w:eastAsia="Times New Roman" w:hAnsi="Times New Roman" w:cs="Times New Roman"/>
          <w:b/>
          <w:bCs/>
          <w:kern w:val="0"/>
          <w:sz w:val="22"/>
          <w:szCs w:val="22"/>
          <w:lang w:eastAsia="lt-LT"/>
          <w14:ligatures w14:val="none"/>
        </w:rPr>
        <w:t xml:space="preserve"> </w:t>
      </w:r>
      <w:proofErr w:type="spellStart"/>
      <w:r w:rsidRPr="00EF22C3">
        <w:rPr>
          <w:rFonts w:ascii="Times New Roman" w:eastAsia="Times New Roman" w:hAnsi="Times New Roman" w:cs="Times New Roman"/>
          <w:b/>
          <w:bCs/>
          <w:kern w:val="0"/>
          <w:sz w:val="22"/>
          <w:szCs w:val="22"/>
          <w:lang w:eastAsia="lt-LT"/>
          <w14:ligatures w14:val="none"/>
        </w:rPr>
        <w:t>Swan</w:t>
      </w:r>
      <w:proofErr w:type="spellEnd"/>
      <w:r w:rsidRPr="00EF22C3">
        <w:rPr>
          <w:rFonts w:ascii="Times New Roman" w:eastAsia="Times New Roman" w:hAnsi="Times New Roman" w:cs="Times New Roman"/>
          <w:b/>
          <w:bCs/>
          <w:kern w:val="0"/>
          <w:sz w:val="22"/>
          <w:szCs w:val="22"/>
          <w:lang w:eastAsia="lt-LT"/>
          <w14:ligatures w14:val="none"/>
        </w:rPr>
        <w:t>, arba kitą I tipo ekologinį ženklą (sertifikatą), kuris įrodytų, kad paviršiams naudojamuose produktuose nėra/neviršija reikalavime nurodytų medžiagų, arba pripažintos įstaigos arba paskelbtosios (notifikuotos) institucijos bandymų protokolą, tyrimų ataskaitą ar pažymą arba gamintojo techninius dokumentus, arba saugos duomenų lapą, arba gamintojo ar tiekėjo deklaraciją (pateikiant objektyvius įrodymus), arba kitus lygiaverčius įrodymus.</w:t>
      </w:r>
    </w:p>
    <w:p w14:paraId="4B6AFFC8" w14:textId="77777777" w:rsidR="00EF22C3" w:rsidRDefault="00EF22C3" w:rsidP="00EF22C3">
      <w:pPr>
        <w:spacing w:line="256" w:lineRule="auto"/>
        <w:ind w:right="5" w:firstLine="567"/>
        <w:jc w:val="both"/>
        <w:rPr>
          <w:rFonts w:ascii="Times New Roman" w:eastAsia="Times New Roman" w:hAnsi="Times New Roman" w:cs="Times New Roman"/>
          <w:b/>
          <w:bCs/>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 xml:space="preserve">4. jei baldo kamšalo sudėtyje naudojamos sintetinės poliesterio medžiagos, jų sudėtyje turi būti dalis perdirbtų medžiagų;  </w:t>
      </w:r>
      <w:r w:rsidRPr="00EF22C3">
        <w:rPr>
          <w:rFonts w:ascii="Times New Roman" w:eastAsia="Times New Roman" w:hAnsi="Times New Roman" w:cs="Times New Roman"/>
          <w:b/>
          <w:bCs/>
          <w:kern w:val="0"/>
          <w:sz w:val="22"/>
          <w:szCs w:val="22"/>
          <w:lang w:eastAsia="lt-LT"/>
          <w14:ligatures w14:val="none"/>
        </w:rPr>
        <w:t>Privaloma pateikti atitiktį įrodančius dokumentus: 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11BAE06B" w14:textId="77777777" w:rsidR="00EF22C3" w:rsidRPr="00EF22C3" w:rsidRDefault="00EF22C3" w:rsidP="00EF22C3">
      <w:pPr>
        <w:spacing w:line="256" w:lineRule="auto"/>
        <w:ind w:right="5" w:firstLine="567"/>
        <w:jc w:val="both"/>
        <w:rPr>
          <w:rFonts w:ascii="Times New Roman" w:eastAsia="Times New Roman" w:hAnsi="Times New Roman" w:cs="Times New Roman"/>
          <w:kern w:val="0"/>
          <w:sz w:val="22"/>
          <w:szCs w:val="22"/>
          <w:lang w:eastAsia="lt-LT"/>
          <w14:ligatures w14:val="none"/>
        </w:rPr>
      </w:pPr>
    </w:p>
    <w:p w14:paraId="3E525410" w14:textId="79FC89D1" w:rsidR="00EF22C3" w:rsidRPr="00EF22C3" w:rsidRDefault="00EF22C3" w:rsidP="00EF22C3">
      <w:pPr>
        <w:spacing w:line="256" w:lineRule="auto"/>
        <w:ind w:right="5" w:firstLine="567"/>
        <w:jc w:val="both"/>
        <w:rPr>
          <w:rFonts w:ascii="Aptos" w:eastAsia="Times New Roman" w:hAnsi="Aptos" w:cs="Times New Roman"/>
          <w:kern w:val="0"/>
          <w:sz w:val="22"/>
          <w:szCs w:val="22"/>
          <w:lang w:eastAsia="lt-LT"/>
          <w14:ligatures w14:val="none"/>
        </w:rPr>
      </w:pPr>
      <w:r w:rsidRPr="00EF22C3">
        <w:rPr>
          <w:rFonts w:ascii="Times New Roman" w:eastAsia="Times New Roman" w:hAnsi="Times New Roman" w:cs="Times New Roman"/>
          <w:kern w:val="0"/>
          <w:sz w:val="22"/>
          <w:szCs w:val="22"/>
          <w:lang w:eastAsia="lt-LT"/>
          <w14:ligatures w14:val="none"/>
        </w:rPr>
        <w:t>Viešųjų pirkimų komisija</w:t>
      </w:r>
    </w:p>
    <w:p w14:paraId="2D269C5D" w14:textId="77777777" w:rsidR="00EB6E4B" w:rsidRPr="00EF22C3" w:rsidRDefault="00EB6E4B">
      <w:pPr>
        <w:rPr>
          <w:rFonts w:ascii="Times New Roman" w:hAnsi="Times New Roman" w:cs="Times New Roman"/>
        </w:rPr>
      </w:pPr>
    </w:p>
    <w:sectPr w:rsidR="00EB6E4B" w:rsidRPr="00EF22C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E0"/>
    <w:rsid w:val="002218DB"/>
    <w:rsid w:val="00443FE5"/>
    <w:rsid w:val="00913CE0"/>
    <w:rsid w:val="00AC2358"/>
    <w:rsid w:val="00D01401"/>
    <w:rsid w:val="00EB6E4B"/>
    <w:rsid w:val="00EF2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AB57"/>
  <w15:chartTrackingRefBased/>
  <w15:docId w15:val="{1190D18A-81CB-4538-8B79-91DE1CE5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CE0"/>
    <w:pPr>
      <w:spacing w:line="278" w:lineRule="auto"/>
    </w:pPr>
    <w:rPr>
      <w:sz w:val="24"/>
      <w:szCs w:val="24"/>
    </w:rPr>
  </w:style>
  <w:style w:type="paragraph" w:styleId="Antrat1">
    <w:name w:val="heading 1"/>
    <w:basedOn w:val="prastasis"/>
    <w:next w:val="prastasis"/>
    <w:link w:val="Antrat1Diagrama"/>
    <w:uiPriority w:val="9"/>
    <w:qFormat/>
    <w:rsid w:val="00913CE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3CE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3CE0"/>
    <w:pPr>
      <w:keepNext/>
      <w:keepLines/>
      <w:spacing w:before="160" w:after="80" w:line="259"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3CE0"/>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913CE0"/>
    <w:pPr>
      <w:keepNext/>
      <w:keepLines/>
      <w:spacing w:before="80" w:after="40" w:line="259" w:lineRule="auto"/>
      <w:outlineLvl w:val="4"/>
    </w:pPr>
    <w:rPr>
      <w:rFonts w:eastAsiaTheme="majorEastAsia"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913CE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913CE0"/>
    <w:pPr>
      <w:keepNext/>
      <w:keepLines/>
      <w:spacing w:before="40" w:after="0" w:line="259" w:lineRule="auto"/>
      <w:outlineLvl w:val="6"/>
    </w:pPr>
    <w:rPr>
      <w:rFonts w:eastAsiaTheme="majorEastAsia"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913CE0"/>
    <w:pPr>
      <w:keepNext/>
      <w:keepLines/>
      <w:spacing w:after="0" w:line="259" w:lineRule="auto"/>
      <w:outlineLvl w:val="7"/>
    </w:pPr>
    <w:rPr>
      <w:rFonts w:eastAsiaTheme="majorEastAsia"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913CE0"/>
    <w:pPr>
      <w:keepNext/>
      <w:keepLines/>
      <w:spacing w:after="0" w:line="259" w:lineRule="auto"/>
      <w:outlineLvl w:val="8"/>
    </w:pPr>
    <w:rPr>
      <w:rFonts w:eastAsiaTheme="majorEastAsia"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C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3C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3C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3C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3C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3C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3C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3C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3C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3C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3CE0"/>
    <w:pPr>
      <w:numPr>
        <w:ilvl w:val="1"/>
      </w:numPr>
      <w:spacing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3C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3CE0"/>
    <w:pPr>
      <w:spacing w:before="160" w:line="259" w:lineRule="auto"/>
      <w:jc w:val="center"/>
    </w:pPr>
    <w:rPr>
      <w:i/>
      <w:iCs/>
      <w:color w:val="404040" w:themeColor="text1" w:themeTint="BF"/>
      <w:sz w:val="22"/>
      <w:szCs w:val="22"/>
    </w:rPr>
  </w:style>
  <w:style w:type="character" w:customStyle="1" w:styleId="CitataDiagrama">
    <w:name w:val="Citata Diagrama"/>
    <w:basedOn w:val="Numatytasispastraiposriftas"/>
    <w:link w:val="Citata"/>
    <w:uiPriority w:val="29"/>
    <w:rsid w:val="00913CE0"/>
    <w:rPr>
      <w:i/>
      <w:iCs/>
      <w:color w:val="404040" w:themeColor="text1" w:themeTint="BF"/>
    </w:rPr>
  </w:style>
  <w:style w:type="paragraph" w:styleId="Sraopastraipa">
    <w:name w:val="List Paragraph"/>
    <w:basedOn w:val="prastasis"/>
    <w:uiPriority w:val="34"/>
    <w:qFormat/>
    <w:rsid w:val="00913CE0"/>
    <w:pPr>
      <w:spacing w:line="259" w:lineRule="auto"/>
      <w:ind w:left="720"/>
      <w:contextualSpacing/>
    </w:pPr>
    <w:rPr>
      <w:sz w:val="22"/>
      <w:szCs w:val="22"/>
    </w:rPr>
  </w:style>
  <w:style w:type="character" w:styleId="Rykuspabraukimas">
    <w:name w:val="Intense Emphasis"/>
    <w:basedOn w:val="Numatytasispastraiposriftas"/>
    <w:uiPriority w:val="21"/>
    <w:qFormat/>
    <w:rsid w:val="00913CE0"/>
    <w:rPr>
      <w:i/>
      <w:iCs/>
      <w:color w:val="2F5496" w:themeColor="accent1" w:themeShade="BF"/>
    </w:rPr>
  </w:style>
  <w:style w:type="paragraph" w:styleId="Iskirtacitata">
    <w:name w:val="Intense Quote"/>
    <w:basedOn w:val="prastasis"/>
    <w:next w:val="prastasis"/>
    <w:link w:val="IskirtacitataDiagrama"/>
    <w:uiPriority w:val="30"/>
    <w:qFormat/>
    <w:rsid w:val="00913CE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913CE0"/>
    <w:rPr>
      <w:i/>
      <w:iCs/>
      <w:color w:val="2F5496" w:themeColor="accent1" w:themeShade="BF"/>
    </w:rPr>
  </w:style>
  <w:style w:type="character" w:styleId="Rykinuoroda">
    <w:name w:val="Intense Reference"/>
    <w:basedOn w:val="Numatytasispastraiposriftas"/>
    <w:uiPriority w:val="32"/>
    <w:qFormat/>
    <w:rsid w:val="00913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2670</Words>
  <Characters>1523</Characters>
  <Application>Microsoft Office Word</Application>
  <DocSecurity>0</DocSecurity>
  <Lines>12</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dcterms:created xsi:type="dcterms:W3CDTF">2025-08-06T12:41:00Z</dcterms:created>
  <dcterms:modified xsi:type="dcterms:W3CDTF">2025-08-06T12:50:00Z</dcterms:modified>
</cp:coreProperties>
</file>