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54A2155E"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243208">
              <w:rPr>
                <w:sz w:val="24"/>
                <w:szCs w:val="24"/>
                <w:lang w:val="lt-LT"/>
              </w:rPr>
              <w:t>8</w:t>
            </w:r>
            <w:r w:rsidR="00C0318B" w:rsidRPr="00D5756D">
              <w:rPr>
                <w:sz w:val="24"/>
                <w:szCs w:val="24"/>
                <w:lang w:val="lt-LT"/>
              </w:rPr>
              <w:t>-</w:t>
            </w:r>
            <w:r w:rsidR="00243208">
              <w:rPr>
                <w:sz w:val="24"/>
                <w:szCs w:val="24"/>
                <w:lang w:val="lt-LT"/>
              </w:rPr>
              <w:t>07</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56D4320B"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0" w:name="_Hlk205447631"/>
      <w:bookmarkStart w:id="1" w:name="_Hlk199406753"/>
      <w:r w:rsidR="006B262E" w:rsidRPr="006B262E">
        <w:rPr>
          <w:b/>
          <w:bCs/>
          <w:sz w:val="24"/>
          <w:szCs w:val="24"/>
          <w:lang w:val="lt-LT"/>
        </w:rPr>
        <w:t>„</w:t>
      </w:r>
      <w:bookmarkStart w:id="2" w:name="_Hlk205448593"/>
      <w:r w:rsidR="006B262E" w:rsidRPr="006B262E">
        <w:rPr>
          <w:b/>
          <w:bCs/>
          <w:sz w:val="24"/>
          <w:szCs w:val="24"/>
          <w:lang w:val="lt-LT"/>
        </w:rPr>
        <w:t>Kuršėnų m. Gamyklos gatvės rekonstravimo techninio darbo projekto paslaugos</w:t>
      </w:r>
      <w:bookmarkEnd w:id="2"/>
      <w:r w:rsidR="006B262E" w:rsidRPr="006B262E">
        <w:rPr>
          <w:b/>
          <w:bCs/>
          <w:sz w:val="24"/>
          <w:szCs w:val="24"/>
          <w:lang w:val="lt-LT"/>
        </w:rPr>
        <w:t>“</w:t>
      </w:r>
      <w:bookmarkEnd w:id="0"/>
      <w:r w:rsidR="0083597D" w:rsidRPr="0083597D">
        <w:rPr>
          <w:b/>
          <w:bCs/>
          <w:sz w:val="24"/>
          <w:szCs w:val="24"/>
          <w:lang w:val="lt-LT"/>
        </w:rPr>
        <w:t xml:space="preserve"> </w:t>
      </w:r>
      <w:bookmarkEnd w:id="1"/>
      <w:r w:rsidR="00AC68E0" w:rsidRPr="00D5756D">
        <w:rPr>
          <w:sz w:val="24"/>
          <w:szCs w:val="24"/>
          <w:lang w:val="lt-LT"/>
        </w:rPr>
        <w:t xml:space="preserve">(toliau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D5756D"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0ABF1CB2" w14:textId="38A79692" w:rsidR="006B262E" w:rsidRPr="006B262E" w:rsidRDefault="005507A6" w:rsidP="006B262E">
            <w:pPr>
              <w:tabs>
                <w:tab w:val="left" w:pos="0"/>
              </w:tabs>
              <w:jc w:val="both"/>
              <w:rPr>
                <w:rFonts w:eastAsia="Calibri"/>
                <w:b/>
                <w:bCs/>
                <w:color w:val="000000"/>
                <w:sz w:val="24"/>
                <w:szCs w:val="24"/>
                <w:lang w:val="lt-LT" w:eastAsia="lt-LT"/>
              </w:rPr>
            </w:pPr>
            <w:r w:rsidRPr="005507A6">
              <w:rPr>
                <w:rFonts w:eastAsia="Calibri"/>
                <w:color w:val="000000"/>
                <w:sz w:val="24"/>
                <w:szCs w:val="24"/>
                <w:lang w:val="lt-LT" w:eastAsia="lt-LT"/>
              </w:rPr>
              <w:t>Perkančioji organizacija numato</w:t>
            </w:r>
            <w:r w:rsidR="006B262E">
              <w:rPr>
                <w:rFonts w:eastAsia="Calibri"/>
                <w:color w:val="000000"/>
                <w:sz w:val="24"/>
                <w:szCs w:val="24"/>
                <w:lang w:val="lt-LT" w:eastAsia="lt-LT"/>
              </w:rPr>
              <w:t xml:space="preserve"> įsigyti </w:t>
            </w:r>
            <w:r w:rsidR="006B262E" w:rsidRPr="006B262E">
              <w:rPr>
                <w:rFonts w:eastAsia="Calibri"/>
                <w:b/>
                <w:bCs/>
                <w:color w:val="000000"/>
                <w:sz w:val="24"/>
                <w:szCs w:val="24"/>
                <w:lang w:val="lt-LT" w:eastAsia="lt-LT"/>
              </w:rPr>
              <w:t>Kuršėnų m. Gamyklos gatvės rekonstravimo techninio darbo projekto paslaug</w:t>
            </w:r>
            <w:r w:rsidR="006B262E">
              <w:rPr>
                <w:rFonts w:eastAsia="Calibri"/>
                <w:b/>
                <w:bCs/>
                <w:color w:val="000000"/>
                <w:sz w:val="24"/>
                <w:szCs w:val="24"/>
                <w:lang w:val="lt-LT" w:eastAsia="lt-LT"/>
              </w:rPr>
              <w:t>as</w:t>
            </w:r>
          </w:p>
          <w:p w14:paraId="13D97914" w14:textId="3497A527" w:rsidR="00330529" w:rsidRPr="00330529" w:rsidRDefault="00330529" w:rsidP="00330529">
            <w:pPr>
              <w:tabs>
                <w:tab w:val="left" w:pos="0"/>
              </w:tabs>
              <w:jc w:val="both"/>
              <w:rPr>
                <w:sz w:val="24"/>
                <w:szCs w:val="24"/>
                <w:lang w:val="lt-LT" w:eastAsia="lt-LT"/>
              </w:rPr>
            </w:pPr>
          </w:p>
        </w:tc>
      </w:tr>
      <w:tr w:rsidR="00694742" w:rsidRPr="0039316F" w14:paraId="525BBCD1" w14:textId="77777777" w:rsidTr="00A829B4">
        <w:tc>
          <w:tcPr>
            <w:tcW w:w="1723" w:type="dxa"/>
          </w:tcPr>
          <w:p w14:paraId="2E2D4368" w14:textId="5552B958" w:rsidR="00694742" w:rsidRPr="00D5756D" w:rsidRDefault="006B262E" w:rsidP="00730982">
            <w:pPr>
              <w:rPr>
                <w:b/>
                <w:sz w:val="24"/>
                <w:szCs w:val="24"/>
                <w:lang w:val="lt-LT"/>
              </w:rPr>
            </w:pPr>
            <w:r>
              <w:rPr>
                <w:b/>
                <w:bCs/>
                <w:sz w:val="24"/>
                <w:szCs w:val="24"/>
                <w:lang w:val="lt-LT" w:eastAsia="lt-LT"/>
              </w:rPr>
              <w:t>Paslaugų suteikimo terminas</w:t>
            </w:r>
          </w:p>
        </w:tc>
        <w:tc>
          <w:tcPr>
            <w:tcW w:w="7911" w:type="dxa"/>
          </w:tcPr>
          <w:p w14:paraId="139B5267" w14:textId="77777777" w:rsidR="00F73A4A" w:rsidRDefault="006B262E" w:rsidP="006B262E">
            <w:pPr>
              <w:suppressAutoHyphens/>
              <w:spacing w:after="200" w:line="276" w:lineRule="auto"/>
              <w:jc w:val="both"/>
              <w:rPr>
                <w:rFonts w:asciiTheme="minorHAnsi" w:eastAsiaTheme="minorHAnsi" w:hAnsiTheme="minorHAnsi" w:cstheme="minorBidi"/>
                <w:bCs/>
                <w:kern w:val="2"/>
                <w:sz w:val="24"/>
                <w:szCs w:val="24"/>
                <w:lang w:val="lt-LT"/>
                <w14:ligatures w14:val="standardContextual"/>
              </w:rPr>
            </w:pPr>
            <w:r w:rsidRPr="006B262E">
              <w:rPr>
                <w:rFonts w:eastAsia="Calibri" w:cs="Calibri"/>
                <w:color w:val="000000" w:themeColor="text1"/>
                <w:kern w:val="1"/>
                <w:sz w:val="24"/>
                <w:szCs w:val="22"/>
                <w:lang w:val="lt-LT" w:eastAsia="ar-SA"/>
              </w:rPr>
              <w:t xml:space="preserve"> Paslau</w:t>
            </w:r>
            <w:r>
              <w:rPr>
                <w:rFonts w:eastAsia="Calibri" w:cs="Calibri"/>
                <w:color w:val="000000" w:themeColor="text1"/>
                <w:kern w:val="1"/>
                <w:sz w:val="24"/>
                <w:szCs w:val="22"/>
                <w:lang w:val="lt-LT" w:eastAsia="ar-SA"/>
              </w:rPr>
              <w:t xml:space="preserve">gų </w:t>
            </w:r>
            <w:r w:rsidRPr="006B262E">
              <w:rPr>
                <w:rFonts w:eastAsia="Calibri" w:cs="Calibri"/>
                <w:color w:val="000000" w:themeColor="text1"/>
                <w:kern w:val="1"/>
                <w:sz w:val="24"/>
                <w:szCs w:val="22"/>
                <w:lang w:val="lt-LT" w:eastAsia="ar-SA"/>
              </w:rPr>
              <w:t xml:space="preserve"> suteik</w:t>
            </w:r>
            <w:r>
              <w:rPr>
                <w:rFonts w:eastAsia="Calibri" w:cs="Calibri"/>
                <w:color w:val="000000" w:themeColor="text1"/>
                <w:kern w:val="1"/>
                <w:sz w:val="24"/>
                <w:szCs w:val="22"/>
                <w:lang w:val="lt-LT" w:eastAsia="ar-SA"/>
              </w:rPr>
              <w:t>imo</w:t>
            </w:r>
            <w:r w:rsidRPr="006B262E">
              <w:rPr>
                <w:rFonts w:eastAsia="Calibri" w:cs="Calibri"/>
                <w:color w:val="000000" w:themeColor="text1"/>
                <w:kern w:val="1"/>
                <w:sz w:val="24"/>
                <w:szCs w:val="22"/>
                <w:lang w:val="lt-LT" w:eastAsia="ar-SA"/>
              </w:rPr>
              <w:t xml:space="preserve">  terminai:</w:t>
            </w:r>
            <w:r w:rsidR="00F73A4A" w:rsidRPr="00F73A4A">
              <w:rPr>
                <w:rFonts w:asciiTheme="minorHAnsi" w:eastAsiaTheme="minorHAnsi" w:hAnsiTheme="minorHAnsi" w:cstheme="minorBidi"/>
                <w:bCs/>
                <w:kern w:val="2"/>
                <w:sz w:val="24"/>
                <w:szCs w:val="24"/>
                <w:lang w:val="lt-LT"/>
                <w14:ligatures w14:val="standardContextual"/>
              </w:rPr>
              <w:t xml:space="preserve"> </w:t>
            </w:r>
          </w:p>
          <w:p w14:paraId="33C4FB27" w14:textId="16D12E6B" w:rsidR="006B262E" w:rsidRPr="006B262E" w:rsidRDefault="00F73A4A" w:rsidP="006B262E">
            <w:pPr>
              <w:suppressAutoHyphens/>
              <w:spacing w:after="200" w:line="276" w:lineRule="auto"/>
              <w:jc w:val="both"/>
              <w:rPr>
                <w:rFonts w:eastAsia="Calibri" w:cs="Calibri"/>
                <w:color w:val="000000" w:themeColor="text1"/>
                <w:kern w:val="1"/>
                <w:sz w:val="24"/>
                <w:szCs w:val="22"/>
                <w:lang w:val="lt-LT" w:eastAsia="ar-SA"/>
              </w:rPr>
            </w:pPr>
            <w:r w:rsidRPr="00F73A4A">
              <w:rPr>
                <w:rFonts w:eastAsia="Calibri" w:cs="Calibri"/>
                <w:bCs/>
                <w:color w:val="000000" w:themeColor="text1"/>
                <w:kern w:val="1"/>
                <w:sz w:val="24"/>
                <w:szCs w:val="22"/>
                <w:lang w:val="lt-LT" w:eastAsia="ar-SA"/>
              </w:rPr>
              <w:t>Bendra</w:t>
            </w:r>
            <w:r w:rsidR="000F793E">
              <w:rPr>
                <w:rFonts w:eastAsia="Calibri" w:cs="Calibri"/>
                <w:bCs/>
                <w:color w:val="000000" w:themeColor="text1"/>
                <w:kern w:val="1"/>
                <w:sz w:val="24"/>
                <w:szCs w:val="22"/>
                <w:lang w:val="lt-LT" w:eastAsia="ar-SA"/>
              </w:rPr>
              <w:t xml:space="preserve"> paslaugų trukmė – </w:t>
            </w:r>
            <w:r w:rsidRPr="00F73A4A">
              <w:rPr>
                <w:rFonts w:eastAsia="Calibri" w:cs="Calibri"/>
                <w:bCs/>
                <w:color w:val="000000" w:themeColor="text1"/>
                <w:kern w:val="1"/>
                <w:sz w:val="24"/>
                <w:szCs w:val="22"/>
                <w:lang w:val="lt-LT" w:eastAsia="ar-SA"/>
              </w:rPr>
              <w:t xml:space="preserve"> 34 mėn</w:t>
            </w:r>
            <w:r>
              <w:rPr>
                <w:rFonts w:eastAsia="Calibri" w:cs="Calibri"/>
                <w:bCs/>
                <w:color w:val="000000" w:themeColor="text1"/>
                <w:kern w:val="1"/>
                <w:sz w:val="24"/>
                <w:szCs w:val="22"/>
                <w:lang w:val="lt-LT" w:eastAsia="ar-SA"/>
              </w:rPr>
              <w:t>.:</w:t>
            </w:r>
          </w:p>
          <w:p w14:paraId="26E3D6AB" w14:textId="77777777" w:rsidR="006B262E" w:rsidRPr="006B262E" w:rsidRDefault="006B262E" w:rsidP="006B262E">
            <w:pPr>
              <w:suppressAutoHyphens/>
              <w:spacing w:after="200" w:line="276" w:lineRule="auto"/>
              <w:jc w:val="both"/>
              <w:rPr>
                <w:rFonts w:eastAsia="Calibri" w:cs="Calibri"/>
                <w:color w:val="000000" w:themeColor="text1"/>
                <w:kern w:val="1"/>
                <w:sz w:val="24"/>
                <w:szCs w:val="22"/>
                <w:lang w:val="lt-LT" w:eastAsia="ar-SA"/>
              </w:rPr>
            </w:pPr>
            <w:r w:rsidRPr="006B262E">
              <w:rPr>
                <w:rFonts w:eastAsia="Calibri" w:cs="Calibri"/>
                <w:color w:val="000000" w:themeColor="text1"/>
                <w:kern w:val="1"/>
                <w:sz w:val="24"/>
                <w:szCs w:val="22"/>
                <w:lang w:val="lt-LT" w:eastAsia="ar-SA"/>
              </w:rPr>
              <w:t>–</w:t>
            </w:r>
            <w:r w:rsidRPr="006B262E">
              <w:rPr>
                <w:rFonts w:eastAsia="Calibri" w:cs="Calibri"/>
                <w:color w:val="000000" w:themeColor="text1"/>
                <w:kern w:val="1"/>
                <w:sz w:val="24"/>
                <w:szCs w:val="22"/>
                <w:lang w:val="lt-LT" w:eastAsia="ar-SA"/>
              </w:rPr>
              <w:tab/>
              <w:t>Projektinių pasiūlymų parengimas ir statybą leidžiančio dokumento gavimas – per 8 mėn. nuo Sutarties pasirašymo dienos;</w:t>
            </w:r>
          </w:p>
          <w:p w14:paraId="0DAF2D40" w14:textId="77777777" w:rsidR="006B262E" w:rsidRPr="006B262E" w:rsidRDefault="006B262E" w:rsidP="006B262E">
            <w:pPr>
              <w:suppressAutoHyphens/>
              <w:spacing w:after="200" w:line="276" w:lineRule="auto"/>
              <w:jc w:val="both"/>
              <w:rPr>
                <w:rFonts w:eastAsia="Calibri" w:cs="Calibri"/>
                <w:color w:val="000000" w:themeColor="text1"/>
                <w:kern w:val="1"/>
                <w:sz w:val="24"/>
                <w:szCs w:val="22"/>
                <w:lang w:val="lt-LT" w:eastAsia="ar-SA"/>
              </w:rPr>
            </w:pPr>
            <w:r w:rsidRPr="006B262E">
              <w:rPr>
                <w:rFonts w:eastAsia="Calibri" w:cs="Calibri"/>
                <w:color w:val="000000" w:themeColor="text1"/>
                <w:kern w:val="1"/>
                <w:sz w:val="24"/>
                <w:szCs w:val="22"/>
                <w:lang w:val="lt-LT" w:eastAsia="ar-SA"/>
              </w:rPr>
              <w:t>–</w:t>
            </w:r>
            <w:r w:rsidRPr="006B262E">
              <w:rPr>
                <w:rFonts w:eastAsia="Calibri" w:cs="Calibri"/>
                <w:color w:val="000000" w:themeColor="text1"/>
                <w:kern w:val="1"/>
                <w:sz w:val="24"/>
                <w:szCs w:val="22"/>
                <w:lang w:val="lt-LT" w:eastAsia="ar-SA"/>
              </w:rPr>
              <w:tab/>
              <w:t>Techninio darbo projekto parengimo terminas – per 10 mėnesių nuo Sutarties pasirašymo dienos. Techninio darbo projekto parengimo terminu laikoma Techninio darbo projekto su teigiama projekto ekspertizės išvada pateikimo Užsakovui data. Laikotarpis nuo Techninio darbo projekto pateikimo Užsakovui atlikti statinio projekto ekspertizę iki ekspertizės akto su privalomosiomis pastabomis ar su teigiama išvada gavimo į šiame punkte nurodytą Techninio darbo projekto parengimo terminą neįskaitomas. Teikėjas privalo ištaisyti Techninį darbo projektą pagal privalomąsias ekspertizės pastabas per 14 dienų nuo ekspertizės akto su privalomosiomis pastabomis gavimo dienos. Šis laikotarpis įeina į paslaugų teikimo terminą;</w:t>
            </w:r>
          </w:p>
          <w:p w14:paraId="197FAEA5" w14:textId="14679C89" w:rsidR="00694742" w:rsidRPr="00066D27" w:rsidRDefault="006B262E" w:rsidP="006B262E">
            <w:pPr>
              <w:suppressAutoHyphens/>
              <w:spacing w:after="200" w:line="276" w:lineRule="auto"/>
              <w:jc w:val="both"/>
              <w:rPr>
                <w:rFonts w:eastAsia="Calibri" w:cs="Calibri"/>
                <w:color w:val="000000" w:themeColor="text1"/>
                <w:kern w:val="1"/>
                <w:sz w:val="24"/>
                <w:szCs w:val="22"/>
                <w:highlight w:val="yellow"/>
                <w:lang w:val="lt-LT" w:eastAsia="ar-SA"/>
              </w:rPr>
            </w:pPr>
            <w:r w:rsidRPr="006B262E">
              <w:rPr>
                <w:rFonts w:eastAsia="Calibri" w:cs="Calibri"/>
                <w:color w:val="000000" w:themeColor="text1"/>
                <w:kern w:val="1"/>
                <w:sz w:val="24"/>
                <w:szCs w:val="22"/>
                <w:lang w:val="lt-LT" w:eastAsia="ar-SA"/>
              </w:rPr>
              <w:t>–</w:t>
            </w:r>
            <w:r w:rsidRPr="006B262E">
              <w:rPr>
                <w:rFonts w:eastAsia="Calibri" w:cs="Calibri"/>
                <w:color w:val="000000" w:themeColor="text1"/>
                <w:kern w:val="1"/>
                <w:sz w:val="24"/>
                <w:szCs w:val="22"/>
                <w:lang w:val="lt-LT" w:eastAsia="ar-SA"/>
              </w:rPr>
              <w:tab/>
              <w:t>Statinio projekto vykdymo priežiūros paslaugų teikimo terminas – nuo Techniniame darbo projekte suprojektuotų statybos rangos darbų pradžios iki statybos užbaigimo. Numatoma statinio projekto vykdymo priežiūros paslaugų trukmė (statybos darbų vykdymo trukmė) – 24 mėnesiai. Laikotarpis nuo Techninio darbo projekto parengimo iki statinio projekto vykdymo pradžios į Paslaugų teikimo trukmę neįskaitomas.</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4A360510" w:rsidR="00097505" w:rsidRPr="007A75EC" w:rsidRDefault="006B262E" w:rsidP="00960F23">
            <w:pPr>
              <w:jc w:val="both"/>
              <w:rPr>
                <w:sz w:val="24"/>
                <w:szCs w:val="24"/>
                <w:highlight w:val="yellow"/>
                <w:lang w:val="lt-LT" w:eastAsia="lt-LT"/>
              </w:rPr>
            </w:pPr>
            <w:r w:rsidRPr="00FF538D">
              <w:rPr>
                <w:sz w:val="24"/>
                <w:szCs w:val="24"/>
                <w:lang w:val="lt-LT" w:eastAsia="lt-LT"/>
              </w:rPr>
              <w:t xml:space="preserve">38 000,00 Eur be PVM </w:t>
            </w:r>
            <w:r w:rsidR="00F73A4A">
              <w:rPr>
                <w:sz w:val="24"/>
                <w:szCs w:val="24"/>
                <w:lang w:val="lt-LT" w:eastAsia="lt-LT"/>
              </w:rPr>
              <w:t xml:space="preserve"> </w:t>
            </w:r>
            <w:r w:rsidRPr="00FF538D">
              <w:rPr>
                <w:sz w:val="24"/>
                <w:szCs w:val="24"/>
                <w:lang w:val="lt-LT" w:eastAsia="lt-LT"/>
              </w:rPr>
              <w:t>(45 980,00 Eur su PVM)</w:t>
            </w:r>
          </w:p>
        </w:tc>
      </w:tr>
      <w:tr w:rsidR="003D506E" w:rsidRPr="0039316F"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08C6FECB" w:rsidR="00262185" w:rsidRPr="00262884" w:rsidRDefault="001D3B55" w:rsidP="006B262E">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83597D" w:rsidRPr="00F73A4A">
              <w:rPr>
                <w:b/>
                <w:bCs/>
                <w:sz w:val="24"/>
                <w:szCs w:val="24"/>
                <w:lang w:val="lt-LT" w:eastAsia="lt-LT"/>
              </w:rPr>
              <w:t>„</w:t>
            </w:r>
            <w:r w:rsidR="006B262E" w:rsidRPr="00F73A4A">
              <w:rPr>
                <w:b/>
                <w:bCs/>
                <w:sz w:val="24"/>
                <w:szCs w:val="24"/>
                <w:lang w:val="lt-LT"/>
              </w:rPr>
              <w:t>K</w:t>
            </w:r>
            <w:r w:rsidR="006B262E" w:rsidRPr="006B262E">
              <w:rPr>
                <w:b/>
                <w:bCs/>
                <w:sz w:val="24"/>
                <w:szCs w:val="24"/>
                <w:lang w:val="lt-LT"/>
              </w:rPr>
              <w:t>uršėnų m. Gamyklos gatvės rekonstravimo techninio darbo projekto paslaugas</w:t>
            </w:r>
            <w:r w:rsidR="00F73A4A">
              <w:rPr>
                <w:b/>
                <w:bCs/>
                <w:sz w:val="24"/>
                <w:szCs w:val="24"/>
                <w:lang w:val="lt-LT"/>
              </w:rPr>
              <w:t>“</w:t>
            </w:r>
            <w:r w:rsidR="006B262E">
              <w:rPr>
                <w:b/>
                <w:bCs/>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9316F"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w:t>
            </w:r>
            <w:r w:rsidR="00895756" w:rsidRPr="00262884">
              <w:rPr>
                <w:sz w:val="24"/>
                <w:szCs w:val="24"/>
                <w:lang w:val="lt-LT"/>
              </w:rPr>
              <w:lastRenderedPageBreak/>
              <w:t xml:space="preserve">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9316F"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lastRenderedPageBreak/>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D5756D"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33723C3B"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w:t>
            </w:r>
            <w:r w:rsidR="009E0D20" w:rsidRPr="00A73BDE">
              <w:rPr>
                <w:sz w:val="24"/>
                <w:szCs w:val="24"/>
                <w:lang w:val="lt-LT"/>
              </w:rPr>
              <w:t xml:space="preserve">iki </w:t>
            </w:r>
            <w:r w:rsidR="009E0D20" w:rsidRPr="00A73BDE">
              <w:rPr>
                <w:b/>
                <w:bCs/>
                <w:sz w:val="24"/>
                <w:szCs w:val="24"/>
                <w:lang w:val="lt-LT"/>
              </w:rPr>
              <w:t>202</w:t>
            </w:r>
            <w:r w:rsidR="00E307EA" w:rsidRPr="00A73BDE">
              <w:rPr>
                <w:b/>
                <w:bCs/>
                <w:sz w:val="24"/>
                <w:szCs w:val="24"/>
                <w:lang w:val="lt-LT"/>
              </w:rPr>
              <w:t>5</w:t>
            </w:r>
            <w:r w:rsidR="009E0D20" w:rsidRPr="00A73BDE">
              <w:rPr>
                <w:b/>
                <w:bCs/>
                <w:sz w:val="24"/>
                <w:szCs w:val="24"/>
                <w:lang w:val="lt-LT"/>
              </w:rPr>
              <w:t xml:space="preserve"> m. </w:t>
            </w:r>
            <w:r w:rsidR="006B262E" w:rsidRPr="00A73BDE">
              <w:rPr>
                <w:b/>
                <w:bCs/>
                <w:sz w:val="24"/>
                <w:szCs w:val="24"/>
                <w:lang w:val="lt-LT"/>
              </w:rPr>
              <w:t>rugpjūčio 14</w:t>
            </w:r>
            <w:r w:rsidR="00262185" w:rsidRPr="00A73BDE">
              <w:rPr>
                <w:b/>
                <w:bCs/>
                <w:sz w:val="24"/>
                <w:szCs w:val="24"/>
                <w:lang w:val="lt-LT"/>
              </w:rPr>
              <w:t xml:space="preserve"> </w:t>
            </w:r>
            <w:r w:rsidR="009E0D20" w:rsidRPr="00A73BDE">
              <w:rPr>
                <w:b/>
                <w:bCs/>
                <w:sz w:val="24"/>
                <w:szCs w:val="24"/>
                <w:lang w:val="lt-LT"/>
              </w:rPr>
              <w:t xml:space="preserve">d. </w:t>
            </w:r>
            <w:r w:rsidR="00A77A6D" w:rsidRPr="00A73BDE">
              <w:rPr>
                <w:b/>
                <w:bCs/>
                <w:sz w:val="24"/>
                <w:szCs w:val="24"/>
                <w:lang w:val="lt-LT"/>
              </w:rPr>
              <w:t>1</w:t>
            </w:r>
            <w:r w:rsidR="0083597D" w:rsidRPr="00A73BDE">
              <w:rPr>
                <w:b/>
                <w:bCs/>
                <w:sz w:val="24"/>
                <w:szCs w:val="24"/>
                <w:lang w:val="lt-LT"/>
              </w:rPr>
              <w:t>0</w:t>
            </w:r>
            <w:r w:rsidR="00A77A6D" w:rsidRPr="00A73BDE">
              <w:rPr>
                <w:b/>
                <w:bCs/>
                <w:sz w:val="24"/>
                <w:szCs w:val="24"/>
                <w:lang w:val="lt-LT"/>
              </w:rPr>
              <w:t xml:space="preserve">.00 </w:t>
            </w:r>
            <w:r w:rsidR="009E0D20" w:rsidRPr="00A73BDE">
              <w:rPr>
                <w:b/>
                <w:bCs/>
                <w:sz w:val="24"/>
                <w:szCs w:val="24"/>
                <w:lang w:val="lt-LT"/>
              </w:rPr>
              <w:t>val.</w:t>
            </w:r>
            <w:r w:rsidR="009E0D20" w:rsidRPr="00A73BDE">
              <w:rPr>
                <w:sz w:val="24"/>
                <w:szCs w:val="24"/>
                <w:lang w:val="lt-LT"/>
              </w:rPr>
              <w:t xml:space="preserve"> pateikti </w:t>
            </w:r>
            <w:r w:rsidR="00C96A95" w:rsidRPr="00A73BDE">
              <w:rPr>
                <w:bCs/>
                <w:kern w:val="24"/>
                <w:sz w:val="24"/>
                <w:szCs w:val="24"/>
                <w:lang w:val="lt-LT" w:eastAsia="lt-LT"/>
              </w:rPr>
              <w:t>komentarus, siūlymus, pa</w:t>
            </w:r>
            <w:r w:rsidR="00C96A95" w:rsidRPr="00262884">
              <w:rPr>
                <w:bCs/>
                <w:kern w:val="24"/>
                <w:sz w:val="24"/>
                <w:szCs w:val="24"/>
                <w:lang w:val="lt-LT" w:eastAsia="lt-LT"/>
              </w:rPr>
              <w:t xml:space="preserve">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9316F"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27CF0951"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oji specialistė Jolanta Ignotienė</w:t>
            </w:r>
            <w:r w:rsidRPr="001E565E">
              <w:rPr>
                <w:sz w:val="24"/>
                <w:szCs w:val="24"/>
                <w:lang w:val="lt-LT"/>
              </w:rPr>
              <w:t xml:space="preserve">, el. p. </w:t>
            </w:r>
            <w:proofErr w:type="spellStart"/>
            <w:r w:rsidR="00E307EA">
              <w:rPr>
                <w:sz w:val="24"/>
                <w:szCs w:val="24"/>
                <w:lang w:val="lt-LT"/>
              </w:rPr>
              <w:t>jolanta.ignotiene</w:t>
            </w:r>
            <w:r w:rsidRPr="001E565E">
              <w:rPr>
                <w:sz w:val="24"/>
                <w:szCs w:val="24"/>
                <w:lang w:val="lt-LT"/>
              </w:rPr>
              <w:t>@siauliuraj.lt</w:t>
            </w:r>
            <w:proofErr w:type="spellEnd"/>
            <w:r w:rsidRPr="001E565E">
              <w:rPr>
                <w:sz w:val="24"/>
                <w:szCs w:val="24"/>
                <w:lang w:val="lt-LT"/>
              </w:rPr>
              <w:t xml:space="preserve">,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4B2D0F7F" w14:textId="02D7697C" w:rsidR="003E193D"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262884">
              <w:rPr>
                <w:sz w:val="24"/>
                <w:szCs w:val="24"/>
                <w:lang w:val="lt-LT"/>
              </w:rPr>
              <w:t>3</w:t>
            </w:r>
            <w:r w:rsidRPr="006673EF">
              <w:rPr>
                <w:sz w:val="24"/>
                <w:szCs w:val="24"/>
                <w:lang w:val="lt-LT"/>
              </w:rPr>
              <w:t>)</w:t>
            </w:r>
            <w:r w:rsidR="00D679DA">
              <w:rPr>
                <w:sz w:val="24"/>
                <w:szCs w:val="24"/>
                <w:lang w:val="lt-LT"/>
              </w:rPr>
              <w:t>;</w:t>
            </w:r>
          </w:p>
          <w:p w14:paraId="382A65D8" w14:textId="5F5E1845" w:rsidR="00F25FA5" w:rsidRPr="006673EF" w:rsidRDefault="006B262E" w:rsidP="00EE0F82">
            <w:pPr>
              <w:numPr>
                <w:ilvl w:val="0"/>
                <w:numId w:val="33"/>
              </w:numPr>
              <w:jc w:val="both"/>
              <w:rPr>
                <w:sz w:val="24"/>
                <w:szCs w:val="24"/>
                <w:lang w:val="lt-LT"/>
              </w:rPr>
            </w:pPr>
            <w:r>
              <w:rPr>
                <w:sz w:val="24"/>
                <w:szCs w:val="24"/>
                <w:lang w:val="lt-LT"/>
              </w:rPr>
              <w:t>Konkurso dokumentai</w:t>
            </w:r>
            <w:r w:rsidR="00F25FA5">
              <w:rPr>
                <w:sz w:val="24"/>
                <w:szCs w:val="24"/>
                <w:lang w:val="lt-LT"/>
              </w:rPr>
              <w:t xml:space="preserve"> (Priedas Nr.</w:t>
            </w:r>
            <w:r w:rsidR="003278B0">
              <w:rPr>
                <w:sz w:val="24"/>
                <w:szCs w:val="24"/>
                <w:lang w:val="lt-LT"/>
              </w:rPr>
              <w:t xml:space="preserve"> </w:t>
            </w:r>
            <w:r w:rsidR="00F25FA5">
              <w:rPr>
                <w:sz w:val="24"/>
                <w:szCs w:val="24"/>
                <w:lang w:val="lt-LT"/>
              </w:rPr>
              <w:t>4)</w:t>
            </w:r>
            <w:r w:rsidR="00D679DA">
              <w:rPr>
                <w:sz w:val="24"/>
                <w:szCs w:val="24"/>
                <w:lang w:val="lt-LT"/>
              </w:rPr>
              <w:t xml:space="preserve">. </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CEC4" w14:textId="77777777" w:rsidR="00E049F4" w:rsidRDefault="00E049F4">
      <w:r>
        <w:separator/>
      </w:r>
    </w:p>
  </w:endnote>
  <w:endnote w:type="continuationSeparator" w:id="0">
    <w:p w14:paraId="00F728EB" w14:textId="77777777" w:rsidR="00E049F4" w:rsidRDefault="00E0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A718" w14:textId="77777777" w:rsidR="00E049F4" w:rsidRDefault="00E049F4">
      <w:r>
        <w:separator/>
      </w:r>
    </w:p>
  </w:footnote>
  <w:footnote w:type="continuationSeparator" w:id="0">
    <w:p w14:paraId="790343F6" w14:textId="77777777" w:rsidR="00E049F4" w:rsidRDefault="00E0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6D27"/>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602"/>
    <w:rsid w:val="000E4AE7"/>
    <w:rsid w:val="000E58C3"/>
    <w:rsid w:val="000E5AF0"/>
    <w:rsid w:val="000E6381"/>
    <w:rsid w:val="000E69F2"/>
    <w:rsid w:val="000E7AF5"/>
    <w:rsid w:val="000F48AD"/>
    <w:rsid w:val="000F5983"/>
    <w:rsid w:val="000F6DBE"/>
    <w:rsid w:val="000F6F77"/>
    <w:rsid w:val="000F7539"/>
    <w:rsid w:val="000F75DA"/>
    <w:rsid w:val="000F77A1"/>
    <w:rsid w:val="000F793E"/>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22D0"/>
    <w:rsid w:val="00154B90"/>
    <w:rsid w:val="00161AE0"/>
    <w:rsid w:val="00164DAA"/>
    <w:rsid w:val="00165C62"/>
    <w:rsid w:val="001673F0"/>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5D70"/>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208"/>
    <w:rsid w:val="00243C61"/>
    <w:rsid w:val="00244E18"/>
    <w:rsid w:val="0024693F"/>
    <w:rsid w:val="00246968"/>
    <w:rsid w:val="002501D5"/>
    <w:rsid w:val="002522C5"/>
    <w:rsid w:val="002523E4"/>
    <w:rsid w:val="00252F04"/>
    <w:rsid w:val="00253A55"/>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8B0"/>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3BB"/>
    <w:rsid w:val="003A7A0D"/>
    <w:rsid w:val="003B0438"/>
    <w:rsid w:val="003B1959"/>
    <w:rsid w:val="003C0349"/>
    <w:rsid w:val="003C3F3C"/>
    <w:rsid w:val="003C4357"/>
    <w:rsid w:val="003D05B9"/>
    <w:rsid w:val="003D22ED"/>
    <w:rsid w:val="003D2A6A"/>
    <w:rsid w:val="003D506E"/>
    <w:rsid w:val="003E0C84"/>
    <w:rsid w:val="003E193D"/>
    <w:rsid w:val="003E40BC"/>
    <w:rsid w:val="003E7448"/>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3CB"/>
    <w:rsid w:val="00465632"/>
    <w:rsid w:val="004679CB"/>
    <w:rsid w:val="00470094"/>
    <w:rsid w:val="00473940"/>
    <w:rsid w:val="0047726D"/>
    <w:rsid w:val="0048231C"/>
    <w:rsid w:val="00483B77"/>
    <w:rsid w:val="0049021D"/>
    <w:rsid w:val="00490ABD"/>
    <w:rsid w:val="0049257B"/>
    <w:rsid w:val="0049389A"/>
    <w:rsid w:val="004944DB"/>
    <w:rsid w:val="004955A7"/>
    <w:rsid w:val="004A05D3"/>
    <w:rsid w:val="004A273A"/>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3DC2"/>
    <w:rsid w:val="00694271"/>
    <w:rsid w:val="00694742"/>
    <w:rsid w:val="00695AAA"/>
    <w:rsid w:val="0069687F"/>
    <w:rsid w:val="00696935"/>
    <w:rsid w:val="006A311E"/>
    <w:rsid w:val="006A3DB5"/>
    <w:rsid w:val="006A79A6"/>
    <w:rsid w:val="006B2310"/>
    <w:rsid w:val="006B262E"/>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56CBC"/>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97D"/>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5C1E"/>
    <w:rsid w:val="008B6A69"/>
    <w:rsid w:val="008B6CB7"/>
    <w:rsid w:val="008C33F2"/>
    <w:rsid w:val="008D0812"/>
    <w:rsid w:val="008D0A77"/>
    <w:rsid w:val="008D2CFE"/>
    <w:rsid w:val="008D3785"/>
    <w:rsid w:val="008D3C78"/>
    <w:rsid w:val="008D43C5"/>
    <w:rsid w:val="008D4BEF"/>
    <w:rsid w:val="008D5879"/>
    <w:rsid w:val="008D5C15"/>
    <w:rsid w:val="008D6626"/>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96A72"/>
    <w:rsid w:val="009A1848"/>
    <w:rsid w:val="009A284B"/>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0C9"/>
    <w:rsid w:val="00A374DE"/>
    <w:rsid w:val="00A42338"/>
    <w:rsid w:val="00A434BA"/>
    <w:rsid w:val="00A450D8"/>
    <w:rsid w:val="00A50A6C"/>
    <w:rsid w:val="00A524BF"/>
    <w:rsid w:val="00A5268D"/>
    <w:rsid w:val="00A5421C"/>
    <w:rsid w:val="00A558F1"/>
    <w:rsid w:val="00A575B0"/>
    <w:rsid w:val="00A5796E"/>
    <w:rsid w:val="00A57CB8"/>
    <w:rsid w:val="00A60E83"/>
    <w:rsid w:val="00A615CB"/>
    <w:rsid w:val="00A64779"/>
    <w:rsid w:val="00A66DAD"/>
    <w:rsid w:val="00A7125F"/>
    <w:rsid w:val="00A73BDE"/>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75C"/>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04BB9"/>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0F6"/>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679DA"/>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49F4"/>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5FA5"/>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4A"/>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AE1"/>
    <w:rsid w:val="00FE1D8B"/>
    <w:rsid w:val="00FE2E8B"/>
    <w:rsid w:val="00FE4A67"/>
    <w:rsid w:val="00FE5549"/>
    <w:rsid w:val="00FE6148"/>
    <w:rsid w:val="00FE636C"/>
    <w:rsid w:val="00FE72BB"/>
    <w:rsid w:val="00FE7321"/>
    <w:rsid w:val="00FE795E"/>
    <w:rsid w:val="00FE7B1A"/>
    <w:rsid w:val="00FE7CCC"/>
    <w:rsid w:val="00FF0505"/>
    <w:rsid w:val="00FF5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3243</Words>
  <Characters>1849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4</cp:revision>
  <cp:lastPrinted>2025-08-07T11:10:00Z</cp:lastPrinted>
  <dcterms:created xsi:type="dcterms:W3CDTF">2025-08-07T11:41:00Z</dcterms:created>
  <dcterms:modified xsi:type="dcterms:W3CDTF">2025-08-07T11:42:00Z</dcterms:modified>
</cp:coreProperties>
</file>