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AA122" w14:textId="03545C9D" w:rsidR="00134545" w:rsidRPr="00E17C03" w:rsidRDefault="000B6076" w:rsidP="000B6076">
      <w:pPr>
        <w:jc w:val="both"/>
      </w:pPr>
      <w:r w:rsidRPr="00E17C03">
        <w:t xml:space="preserve">Tiekėjams    </w:t>
      </w:r>
    </w:p>
    <w:p w14:paraId="1B411F93" w14:textId="28C5CE47" w:rsidR="000B6076" w:rsidRPr="00E17C03" w:rsidRDefault="000B6076" w:rsidP="000B6076">
      <w:pPr>
        <w:jc w:val="both"/>
      </w:pPr>
      <w:r w:rsidRPr="00E17C03">
        <w:t xml:space="preserve">                                                                                                                     </w:t>
      </w:r>
      <w:r>
        <w:t xml:space="preserve">                      </w:t>
      </w:r>
      <w:r w:rsidRPr="00E17C03">
        <w:t xml:space="preserve">  2025-0</w:t>
      </w:r>
      <w:r w:rsidR="00863AB1">
        <w:t>8</w:t>
      </w:r>
      <w:r w:rsidRPr="00E17C03">
        <w:t>-</w:t>
      </w:r>
      <w:r w:rsidR="00863AB1">
        <w:t>0</w:t>
      </w:r>
      <w:r w:rsidR="00AC6F66">
        <w:t>8</w:t>
      </w:r>
    </w:p>
    <w:p w14:paraId="2C650E84" w14:textId="77777777" w:rsidR="000B6076" w:rsidRDefault="000B6076" w:rsidP="000B6076">
      <w:pPr>
        <w:jc w:val="both"/>
      </w:pPr>
    </w:p>
    <w:p w14:paraId="5F8F7276" w14:textId="77777777" w:rsidR="00134545" w:rsidRPr="00E17C03" w:rsidRDefault="00134545" w:rsidP="000B6076">
      <w:pPr>
        <w:jc w:val="both"/>
      </w:pPr>
    </w:p>
    <w:p w14:paraId="3BEA95B3" w14:textId="79EED170" w:rsidR="000B6076" w:rsidRPr="00E17C03" w:rsidRDefault="000B6076" w:rsidP="000B6076">
      <w:pPr>
        <w:jc w:val="both"/>
        <w:rPr>
          <w:b/>
          <w:color w:val="333333"/>
          <w:shd w:val="clear" w:color="auto" w:fill="FFFFFF"/>
        </w:rPr>
      </w:pPr>
      <w:r w:rsidRPr="00E17C03">
        <w:rPr>
          <w:b/>
        </w:rPr>
        <w:t xml:space="preserve">DĖL </w:t>
      </w:r>
      <w:r>
        <w:rPr>
          <w:b/>
        </w:rPr>
        <w:t xml:space="preserve">GAUTO PRANEŠIMO IR </w:t>
      </w:r>
      <w:r w:rsidRPr="00E17C03">
        <w:rPr>
          <w:b/>
          <w:color w:val="333333"/>
          <w:shd w:val="clear" w:color="auto" w:fill="FFFFFF"/>
        </w:rPr>
        <w:t xml:space="preserve">PIRKIMO DOKUMENTŲ TIKSLINIMO PIRKIME ID </w:t>
      </w:r>
      <w:r w:rsidRPr="000B6076">
        <w:rPr>
          <w:b/>
          <w:color w:val="333333"/>
          <w:shd w:val="clear" w:color="auto" w:fill="FFFFFF"/>
        </w:rPr>
        <w:t>3981479</w:t>
      </w:r>
    </w:p>
    <w:p w14:paraId="317DD343" w14:textId="77777777" w:rsidR="000B6076" w:rsidRPr="00E17C03" w:rsidRDefault="000B6076" w:rsidP="000B6076">
      <w:pPr>
        <w:jc w:val="both"/>
      </w:pPr>
    </w:p>
    <w:p w14:paraId="71C96958" w14:textId="77777777" w:rsidR="000B6076" w:rsidRDefault="000B6076" w:rsidP="000B6076">
      <w:pPr>
        <w:ind w:firstLine="851"/>
        <w:jc w:val="both"/>
      </w:pPr>
      <w:bookmarkStart w:id="0" w:name="_Hlk5094290"/>
    </w:p>
    <w:p w14:paraId="0AB06DD9" w14:textId="43548DEF" w:rsidR="000B6076" w:rsidRPr="00720404" w:rsidRDefault="000B6076" w:rsidP="004B1526">
      <w:pPr>
        <w:ind w:firstLine="1296"/>
        <w:jc w:val="both"/>
      </w:pPr>
      <w:r w:rsidRPr="00730F4D">
        <w:t xml:space="preserve">Viešojo pirkimo komisija Centrinės viešųjų pirkimų informacinės sistemos (toliau – CVP IS) priemonėmis </w:t>
      </w:r>
      <w:r>
        <w:t xml:space="preserve">2025 </w:t>
      </w:r>
      <w:r w:rsidRPr="00D800A9">
        <w:t xml:space="preserve">m. rugpjūčio </w:t>
      </w:r>
      <w:r w:rsidR="00D800A9" w:rsidRPr="00D800A9">
        <w:t>7</w:t>
      </w:r>
      <w:r w:rsidRPr="00D800A9">
        <w:t xml:space="preserve"> d. 1</w:t>
      </w:r>
      <w:r w:rsidR="00D800A9" w:rsidRPr="00D800A9">
        <w:t>1</w:t>
      </w:r>
      <w:r w:rsidRPr="00D800A9">
        <w:t xml:space="preserve"> val. </w:t>
      </w:r>
      <w:r w:rsidR="00D800A9" w:rsidRPr="00D800A9">
        <w:t>31</w:t>
      </w:r>
      <w:r w:rsidRPr="00D800A9">
        <w:t xml:space="preserve"> min. gavo </w:t>
      </w:r>
      <w:r w:rsidRPr="00730F4D">
        <w:t>tiekėj</w:t>
      </w:r>
      <w:r>
        <w:t>o</w:t>
      </w:r>
      <w:r w:rsidRPr="00730F4D">
        <w:t xml:space="preserve"> pranešim</w:t>
      </w:r>
      <w:r>
        <w:t>ą</w:t>
      </w:r>
      <w:r w:rsidRPr="00730F4D">
        <w:t xml:space="preserve"> (pranešim</w:t>
      </w:r>
      <w:r>
        <w:t>o</w:t>
      </w:r>
      <w:r w:rsidRPr="00730F4D">
        <w:t xml:space="preserve"> </w:t>
      </w:r>
      <w:r>
        <w:t xml:space="preserve">ID </w:t>
      </w:r>
      <w:r w:rsidR="00B42CB6">
        <w:t>309528</w:t>
      </w:r>
      <w:r w:rsidRPr="00730F4D">
        <w:t>)</w:t>
      </w:r>
      <w:r>
        <w:t xml:space="preserve"> </w:t>
      </w:r>
      <w:r w:rsidRPr="00730F4D">
        <w:t xml:space="preserve">dėl pirkimo dokumentų </w:t>
      </w:r>
      <w:r>
        <w:t>patikslinimo:</w:t>
      </w:r>
    </w:p>
    <w:tbl>
      <w:tblPr>
        <w:tblStyle w:val="Lentelstinklelis"/>
        <w:tblW w:w="9634" w:type="dxa"/>
        <w:tblInd w:w="0" w:type="dxa"/>
        <w:tblLayout w:type="fixed"/>
        <w:tblLook w:val="04A0" w:firstRow="1" w:lastRow="0" w:firstColumn="1" w:lastColumn="0" w:noHBand="0" w:noVBand="1"/>
      </w:tblPr>
      <w:tblGrid>
        <w:gridCol w:w="9634"/>
      </w:tblGrid>
      <w:tr w:rsidR="00A37EB3" w:rsidRPr="00730F4D" w14:paraId="70BE0624" w14:textId="77777777" w:rsidTr="001545DD">
        <w:tc>
          <w:tcPr>
            <w:tcW w:w="96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060F6B" w14:textId="77777777" w:rsidR="008C6D4D" w:rsidRDefault="008C6D4D" w:rsidP="004845E2">
            <w:pPr>
              <w:rPr>
                <w:b/>
                <w:bCs/>
              </w:rPr>
            </w:pPr>
          </w:p>
          <w:p w14:paraId="05A35C13" w14:textId="670FFA66" w:rsidR="00A37EB3" w:rsidRDefault="00A37EB3" w:rsidP="00C22FAC">
            <w:pPr>
              <w:jc w:val="center"/>
              <w:rPr>
                <w:b/>
                <w:bCs/>
              </w:rPr>
            </w:pPr>
            <w:r w:rsidRPr="00730F4D">
              <w:rPr>
                <w:b/>
                <w:bCs/>
              </w:rPr>
              <w:t>P</w:t>
            </w:r>
            <w:r>
              <w:rPr>
                <w:b/>
                <w:bCs/>
              </w:rPr>
              <w:t>RANEŠIMAS</w:t>
            </w:r>
          </w:p>
          <w:p w14:paraId="708852F7" w14:textId="77777777" w:rsidR="008C6D4D" w:rsidRDefault="008C6D4D" w:rsidP="004845E2">
            <w:pPr>
              <w:rPr>
                <w:b/>
                <w:bCs/>
              </w:rPr>
            </w:pPr>
          </w:p>
          <w:p w14:paraId="2B44594F" w14:textId="190FEE4B" w:rsidR="008C6D4D" w:rsidRPr="00730F4D" w:rsidRDefault="008C6D4D" w:rsidP="004845E2">
            <w:pPr>
              <w:rPr>
                <w:b/>
                <w:bCs/>
              </w:rPr>
            </w:pPr>
          </w:p>
        </w:tc>
      </w:tr>
      <w:tr w:rsidR="00A37EB3" w:rsidRPr="00730F4D" w14:paraId="5F6087F6" w14:textId="77777777" w:rsidTr="001545DD">
        <w:tc>
          <w:tcPr>
            <w:tcW w:w="9634" w:type="dxa"/>
            <w:tcBorders>
              <w:top w:val="single" w:sz="4" w:space="0" w:color="auto"/>
              <w:left w:val="single" w:sz="4" w:space="0" w:color="auto"/>
              <w:bottom w:val="single" w:sz="4" w:space="0" w:color="auto"/>
              <w:right w:val="single" w:sz="4" w:space="0" w:color="auto"/>
            </w:tcBorders>
          </w:tcPr>
          <w:p w14:paraId="7B96CB78" w14:textId="49BFA067" w:rsidR="00A37EB3" w:rsidRPr="00F62B10" w:rsidRDefault="004845E2" w:rsidP="004845E2">
            <w:pPr>
              <w:jc w:val="both"/>
            </w:pPr>
            <w:r>
              <w:t>N</w:t>
            </w:r>
            <w:r w:rsidRPr="004845E2">
              <w:t xml:space="preserve">orėtume pateikti keletą patikslinančių klausimų. </w:t>
            </w:r>
            <w:r w:rsidRPr="004845E2">
              <w:br/>
            </w:r>
            <w:r w:rsidRPr="004845E2">
              <w:br/>
              <w:t>1.</w:t>
            </w:r>
            <w:r w:rsidR="009024A7">
              <w:t xml:space="preserve"> </w:t>
            </w:r>
            <w:r w:rsidRPr="004845E2">
              <w:t xml:space="preserve">Dėl intelektinės nuosavybės teisių </w:t>
            </w:r>
            <w:r w:rsidRPr="004845E2">
              <w:br/>
              <w:t xml:space="preserve">Paslaugų pirkimo-pardavimo sutarties projekto bendrose sąlygose, papunktis </w:t>
            </w:r>
            <w:r w:rsidRPr="004845E2">
              <w:br/>
              <w:t xml:space="preserve">1.1.1.4. „Paslaugų“ sąvokos išaiškinimas, nurodyta, kad „....Paslaugos apima visas su Paslaugų teikimu susijusias veiklas, įskaitant, bet neapsiribojant Paslaugų teikimą, jų rezultatų perdavimą....“: </w:t>
            </w:r>
            <w:r w:rsidRPr="004845E2">
              <w:br/>
              <w:t xml:space="preserve">1. Konsultavimo roboto sukūrimo, konfigūravimo, informacijos parengimo paslaugos; </w:t>
            </w:r>
            <w:r w:rsidRPr="004845E2">
              <w:br/>
              <w:t xml:space="preserve">2. Viešųjų ir administracinių paslaugų konsultavimo roboto su dirbtiniu intelektu debesijos eksploatavimo paslaugos. </w:t>
            </w:r>
            <w:r w:rsidRPr="004845E2">
              <w:br/>
              <w:t xml:space="preserve">Paslaugos įsigyjamos 12-kai mėnesių. </w:t>
            </w:r>
            <w:r w:rsidRPr="004845E2">
              <w:br/>
              <w:t xml:space="preserve">Paslaugų pirkimo-pardavimo sutarties projekto bendrose sąlygose, 15 straipsnis, 15.1. punkte reikalaujama, kad: </w:t>
            </w:r>
            <w:r w:rsidRPr="004845E2">
              <w:b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 </w:t>
            </w:r>
            <w:r w:rsidRPr="004845E2">
              <w:br/>
              <w:t xml:space="preserve">Atkreipiame dėmesį, kad sutartyje numatytų paslaugų ir jų rezultatų įgyvendinimas, perdavimas apima intelektinės ir pramoninės nuosavybės teises, kurios negali būti perduodamos Perkančiosios organizacijos nuosavybėn. </w:t>
            </w:r>
            <w:r w:rsidRPr="004845E2">
              <w:br/>
              <w:t xml:space="preserve">Prašome Paslaugų pirkimo-pardavimo sutarties projekto bendrųjų sąlygų, 15 straipsnio, 15.1. punktą patikslinti ir išdėstyti sekančiai: </w:t>
            </w:r>
            <w:r w:rsidRPr="004845E2">
              <w:br/>
              <w:t xml:space="preserve">„Visos intelektinės ir pramoninės nuosavybės teisės, įskaitant konsultavimo roboto su dirbtiniu intelektu sukūrimo, konfigūravimo bei debesijos paslaugos ir jų rezultatai, patentai ir kt., išlieka tai šaliai, kuriai jos priklausė iki sutarties sudarymo. </w:t>
            </w:r>
            <w:r w:rsidRPr="004845E2">
              <w:br/>
              <w:t xml:space="preserve">Informacijos turinio sukūrimo rezultatai kurie sukuriami paslaugų teikimo metu vykdant sutartį ir jų turtinės teisės pereina Perkančiosios organizacijos nuosavybėn, kuriuos Perkančioji organizacija gali naudoti, publikuoti, perleisti ar perduoti savo nuožiūra“. </w:t>
            </w:r>
            <w:r w:rsidRPr="004845E2">
              <w:br/>
              <w:t xml:space="preserve">2. Dėl Atsiskaitymo su tiekėju terminų ir tvarkos – specialiųjų sąlygų papunktis 5.5. </w:t>
            </w:r>
            <w:r w:rsidRPr="004845E2">
              <w:br/>
              <w:t xml:space="preserve">Paslaugų pirkimo-pardavimo sutarties projekto specialiose sąlygose, papunktis 5.5. nėra aišku kokiais terminais bus sumokama už: </w:t>
            </w:r>
            <w:r w:rsidRPr="004845E2">
              <w:br/>
              <w:t xml:space="preserve">2) viešųjų ir administracinių paslaugų konsultavimo roboto su dirbtiniu intelektu debesijos eksploatavimo paslaugas pagal nustatytą įkainį. </w:t>
            </w:r>
            <w:r w:rsidRPr="004845E2">
              <w:br/>
              <w:t xml:space="preserve">Prašome patikslinti Paslaugų pirkimo-pardavimo sutarties projekto specialiųjų sąlygų, papunktį 5.5. ir išdėstyti sekančiai: </w:t>
            </w:r>
            <w:r w:rsidRPr="004845E2">
              <w:br/>
              <w:t xml:space="preserve">..... </w:t>
            </w:r>
            <w:r w:rsidRPr="004845E2">
              <w:br/>
            </w:r>
            <w:r w:rsidRPr="004845E2">
              <w:lastRenderedPageBreak/>
              <w:t xml:space="preserve">2) už viešųjų ir administracinių paslaugų konsultavimo roboto su dirbtiniu intelektu debesijos eksploatavimo paslaugas sumokama vieną kartą per mėnesį, pagal nustatytą vieno mėnesio įkainį Sutarties priede Nr. 2 „Pasiūlymas“. </w:t>
            </w:r>
            <w:r w:rsidRPr="004845E2">
              <w:br/>
              <w:t xml:space="preserve">3. Dėl techninės specifikacijos reikalavimų </w:t>
            </w:r>
            <w:r w:rsidRPr="004845E2">
              <w:br/>
              <w:t xml:space="preserve">Papunktyje 6.2. reikalaujama, kad „Išoriniams naudotojams skirta grafinė sąsaja turi būti pritaikyta asmenims, turintiems regėjimo negalią ir turi turėti teksto didinimo funkcionalumą grafinėje sąsajoje“. </w:t>
            </w:r>
            <w:r w:rsidRPr="004845E2">
              <w:br/>
              <w:t xml:space="preserve">Kl.: ar būtų Perkančiajai organizacijai priimtina, jei šis reikalavimas būtų įgyvendintas naudojant web naršyklių teksto/mastelio didinimo/keitimo (angl. „Zoom“) esamas priemones? </w:t>
            </w:r>
            <w:r w:rsidRPr="004845E2">
              <w:br/>
              <w:t xml:space="preserve">Rekomenduojame papildyti techninės specifikacijos 6.2. papunktį sekančiai: </w:t>
            </w:r>
            <w:r w:rsidRPr="004845E2">
              <w:br/>
              <w:t>„Išoriniams naudotojams skirta grafinė sąsaja turi būti pritaikyta asmenims, turintiems regėjimo negalią ir turi turėti teksto didinimo funkcionalumą grafinėje sąsajoje arba kitas alternatyvias teksto/turinio mastelio keitimo (didinimo) priemones.“</w:t>
            </w:r>
            <w:r w:rsidR="003A2B10">
              <w:t>.</w:t>
            </w:r>
          </w:p>
        </w:tc>
      </w:tr>
      <w:tr w:rsidR="00A37EB3" w:rsidRPr="00730F4D" w14:paraId="2AC6B30A" w14:textId="77777777" w:rsidTr="001545DD">
        <w:tc>
          <w:tcPr>
            <w:tcW w:w="96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E4FDCD" w14:textId="77777777" w:rsidR="008C6D4D" w:rsidRDefault="008C6D4D" w:rsidP="004845E2">
            <w:pPr>
              <w:rPr>
                <w:b/>
                <w:bCs/>
              </w:rPr>
            </w:pPr>
          </w:p>
          <w:p w14:paraId="7F9C98B0" w14:textId="77777777" w:rsidR="00A37EB3" w:rsidRDefault="00A37EB3" w:rsidP="00C22FAC">
            <w:pPr>
              <w:jc w:val="center"/>
              <w:rPr>
                <w:b/>
                <w:bCs/>
              </w:rPr>
            </w:pPr>
            <w:r>
              <w:rPr>
                <w:b/>
                <w:bCs/>
              </w:rPr>
              <w:t>ATSAKYMA</w:t>
            </w:r>
            <w:r w:rsidR="008C6D4D">
              <w:rPr>
                <w:b/>
                <w:bCs/>
              </w:rPr>
              <w:t>S</w:t>
            </w:r>
          </w:p>
          <w:p w14:paraId="5B60C732" w14:textId="285B1297" w:rsidR="008C6D4D" w:rsidRPr="00A37EB3" w:rsidRDefault="008C6D4D" w:rsidP="004845E2">
            <w:pPr>
              <w:rPr>
                <w:b/>
                <w:bCs/>
              </w:rPr>
            </w:pPr>
          </w:p>
        </w:tc>
      </w:tr>
      <w:tr w:rsidR="00A37EB3" w:rsidRPr="00730F4D" w14:paraId="4C5C2D2B" w14:textId="77777777" w:rsidTr="001545DD">
        <w:tc>
          <w:tcPr>
            <w:tcW w:w="9634" w:type="dxa"/>
            <w:tcBorders>
              <w:top w:val="single" w:sz="4" w:space="0" w:color="auto"/>
              <w:left w:val="single" w:sz="4" w:space="0" w:color="auto"/>
              <w:bottom w:val="single" w:sz="4" w:space="0" w:color="auto"/>
              <w:right w:val="single" w:sz="4" w:space="0" w:color="auto"/>
            </w:tcBorders>
          </w:tcPr>
          <w:p w14:paraId="59E2AEB4" w14:textId="230493EB" w:rsidR="008C6D4D" w:rsidRPr="00963184" w:rsidRDefault="008C6D4D" w:rsidP="008C6D4D">
            <w:pPr>
              <w:jc w:val="both"/>
            </w:pPr>
            <w:r>
              <w:rPr>
                <w:rFonts w:eastAsiaTheme="majorEastAsia"/>
                <w:b/>
                <w:bCs/>
              </w:rPr>
              <w:t xml:space="preserve">1. </w:t>
            </w:r>
            <w:r w:rsidRPr="00963184">
              <w:rPr>
                <w:rFonts w:eastAsiaTheme="majorEastAsia"/>
                <w:b/>
                <w:bCs/>
              </w:rPr>
              <w:t>Dėl intelektinės nuosavybės</w:t>
            </w:r>
          </w:p>
          <w:p w14:paraId="5E84634B" w14:textId="77777777" w:rsidR="008153B3" w:rsidRDefault="008C6D4D" w:rsidP="008C6D4D">
            <w:pPr>
              <w:jc w:val="both"/>
            </w:pPr>
            <w:r>
              <w:t>Viešojo pirkimo komisija a</w:t>
            </w:r>
            <w:r w:rsidRPr="00963184">
              <w:t xml:space="preserve">tsižvelgdama į tiekėjo </w:t>
            </w:r>
            <w:r>
              <w:t>prašymą patikslinti</w:t>
            </w:r>
            <w:r>
              <w:rPr>
                <w:b/>
                <w:bCs/>
              </w:rPr>
              <w:t xml:space="preserve"> </w:t>
            </w:r>
            <w:r>
              <w:t xml:space="preserve">paslaugų </w:t>
            </w:r>
            <w:r w:rsidRPr="00945864">
              <w:t>pirkimo</w:t>
            </w:r>
            <w:r>
              <w:t>-</w:t>
            </w:r>
            <w:r w:rsidRPr="00945864">
              <w:t>pardavimo sutarties bendrųjų</w:t>
            </w:r>
            <w:r w:rsidRPr="00963184">
              <w:t xml:space="preserve"> </w:t>
            </w:r>
            <w:r>
              <w:t xml:space="preserve">sąlygų </w:t>
            </w:r>
            <w:r w:rsidRPr="00963184">
              <w:rPr>
                <w:rFonts w:eastAsiaTheme="majorEastAsia"/>
              </w:rPr>
              <w:t>intelektinės nuosavybės</w:t>
            </w:r>
            <w:r>
              <w:t xml:space="preserve"> nuostatas</w:t>
            </w:r>
            <w:r w:rsidRPr="00963184">
              <w:t xml:space="preserve">, </w:t>
            </w:r>
            <w:r>
              <w:t>nusprendė</w:t>
            </w:r>
            <w:r w:rsidRPr="00963184">
              <w:t xml:space="preserve"> patikslinti </w:t>
            </w:r>
            <w:r w:rsidR="00FA5C79">
              <w:t>p</w:t>
            </w:r>
            <w:r w:rsidRPr="00963184">
              <w:t>irkimo sąlygų 6 priedo „Viešojo pirkimo sutarties projektas“ bendrųjų sąlygų 15 skyri</w:t>
            </w:r>
            <w:r w:rsidR="00FE30B0">
              <w:t>aus</w:t>
            </w:r>
            <w:r w:rsidRPr="00963184">
              <w:t xml:space="preserve"> „INTELEKTINĖ NUOSAVYBĖ“, 15.1 punktą. Patikslintas punktas bus išdėstytas</w:t>
            </w:r>
            <w:r>
              <w:t xml:space="preserve"> specialiųjų</w:t>
            </w:r>
            <w:r w:rsidRPr="00963184">
              <w:t xml:space="preserve"> sąlygų</w:t>
            </w:r>
            <w:r>
              <w:t xml:space="preserve"> 14 skyriaus </w:t>
            </w:r>
            <w:r w:rsidRPr="00785188">
              <w:t>„</w:t>
            </w:r>
            <w:r w:rsidRPr="00785188">
              <w:rPr>
                <w:kern w:val="2"/>
              </w:rPr>
              <w:t>BENDRŲJŲ SĄLYGŲ PAKEITIMAI IR PAPILDYMAI</w:t>
            </w:r>
            <w:r w:rsidRPr="00785188">
              <w:t>“</w:t>
            </w:r>
            <w:r>
              <w:rPr>
                <w:b/>
              </w:rPr>
              <w:t xml:space="preserve"> </w:t>
            </w:r>
            <w:r>
              <w:t>14.1 punkte</w:t>
            </w:r>
            <w:r w:rsidRPr="00963184">
              <w:t xml:space="preserve"> taip, kaip nurodyta</w:t>
            </w:r>
            <w:r>
              <w:t xml:space="preserve"> </w:t>
            </w:r>
            <w:r w:rsidR="00074D29">
              <w:t>žemiau:</w:t>
            </w:r>
          </w:p>
          <w:tbl>
            <w:tblPr>
              <w:tblStyle w:val="Lentelstinklelis"/>
              <w:tblW w:w="9447" w:type="dxa"/>
              <w:tblInd w:w="0" w:type="dxa"/>
              <w:tblLook w:val="04A0" w:firstRow="1" w:lastRow="0" w:firstColumn="1" w:lastColumn="0" w:noHBand="0" w:noVBand="1"/>
            </w:tblPr>
            <w:tblGrid>
              <w:gridCol w:w="2359"/>
              <w:gridCol w:w="7088"/>
            </w:tblGrid>
            <w:tr w:rsidR="00900EB9" w14:paraId="1BDF5BCB" w14:textId="77777777" w:rsidTr="00930107">
              <w:trPr>
                <w:trHeight w:val="420"/>
              </w:trPr>
              <w:tc>
                <w:tcPr>
                  <w:tcW w:w="9447" w:type="dxa"/>
                  <w:gridSpan w:val="2"/>
                </w:tcPr>
                <w:p w14:paraId="3DE1D619" w14:textId="3D14419A" w:rsidR="00900EB9" w:rsidRPr="00930107" w:rsidRDefault="00900EB9" w:rsidP="00930107">
                  <w:pPr>
                    <w:jc w:val="center"/>
                    <w:rPr>
                      <w:b/>
                      <w:kern w:val="2"/>
                    </w:rPr>
                  </w:pPr>
                  <w:r>
                    <w:rPr>
                      <w:b/>
                      <w:kern w:val="2"/>
                    </w:rPr>
                    <w:t>14. BENDRŲJŲ SĄLYGŲ PAKEITIMAI IR PAPILDYMAI</w:t>
                  </w:r>
                </w:p>
              </w:tc>
            </w:tr>
            <w:tr w:rsidR="00900EB9" w14:paraId="6856AB63" w14:textId="77777777" w:rsidTr="00900EB9">
              <w:trPr>
                <w:trHeight w:val="2570"/>
              </w:trPr>
              <w:tc>
                <w:tcPr>
                  <w:tcW w:w="2359" w:type="dxa"/>
                </w:tcPr>
                <w:p w14:paraId="62D14500" w14:textId="77777777" w:rsidR="00900EB9" w:rsidRPr="00D0764E" w:rsidRDefault="00900EB9" w:rsidP="00900EB9">
                  <w:pPr>
                    <w:rPr>
                      <w:b/>
                      <w:bCs/>
                    </w:rPr>
                  </w:pPr>
                  <w:r w:rsidRPr="00D0764E">
                    <w:rPr>
                      <w:b/>
                      <w:bCs/>
                    </w:rPr>
                    <w:t>14.1</w:t>
                  </w:r>
                </w:p>
              </w:tc>
              <w:tc>
                <w:tcPr>
                  <w:tcW w:w="7087" w:type="dxa"/>
                </w:tcPr>
                <w:p w14:paraId="1150EB11" w14:textId="77777777" w:rsidR="00900EB9" w:rsidRDefault="00900EB9" w:rsidP="00900EB9">
                  <w:pPr>
                    <w:jc w:val="both"/>
                  </w:pPr>
                  <w:r>
                    <w:rPr>
                      <w:kern w:val="2"/>
                    </w:rPr>
                    <w:t xml:space="preserve">Šalys susitaria pakeisti nurodytą Sutarties Bendrųjų sąlygų punktą ir išdėstyti jį nauja redakcija: </w:t>
                  </w:r>
                  <w:r w:rsidRPr="00D0764E">
                    <w:rPr>
                      <w:highlight w:val="yellow"/>
                    </w:rPr>
                    <w:t xml:space="preserve">15.1. Visos intelektinės ir pramoninės nuosavybės teisės, įskaitant konsultavimo roboto su dirbtiniu intelektu sukūrimo, konfigūravimo bei debesijos paslaugos ir jų rezultatai, patentai ir kt., išlieka tai Šaliai, kuriai jos priklausė iki Sutarties sudarymo. </w:t>
                  </w:r>
                  <w:r w:rsidRPr="00D0764E">
                    <w:rPr>
                      <w:highlight w:val="yellow"/>
                    </w:rPr>
                    <w:br/>
                    <w:t>Informacijos turinio sukūrimo rezultatai kurie sukuriami Paslaugų teikimo metu vykdant Sutartį ir jų turtinės teisės pereina Perkančiosios organizacijos nuosavybėn, kuriuos Perkančioji organizacija gali naudoti, publikuoti, perleisti ar perduoti savo nuožiūra.</w:t>
                  </w:r>
                </w:p>
              </w:tc>
            </w:tr>
          </w:tbl>
          <w:p w14:paraId="25AB3BEE" w14:textId="6D1B396F" w:rsidR="008C6D4D" w:rsidRPr="00963184" w:rsidRDefault="008C6D4D" w:rsidP="008C6D4D">
            <w:pPr>
              <w:jc w:val="both"/>
            </w:pPr>
            <w:r>
              <w:rPr>
                <w:rFonts w:eastAsiaTheme="majorEastAsia"/>
                <w:b/>
                <w:bCs/>
              </w:rPr>
              <w:t xml:space="preserve">2. </w:t>
            </w:r>
            <w:r w:rsidRPr="00963184">
              <w:rPr>
                <w:rFonts w:eastAsiaTheme="majorEastAsia"/>
                <w:b/>
                <w:bCs/>
              </w:rPr>
              <w:t>Dėl atsiskaitymo su tiekėju terminų ir tvarkos</w:t>
            </w:r>
            <w:r>
              <w:rPr>
                <w:b/>
                <w:bCs/>
              </w:rPr>
              <w:t xml:space="preserve"> </w:t>
            </w:r>
          </w:p>
          <w:p w14:paraId="3526D8C7" w14:textId="546D0B4C" w:rsidR="008C6D4D" w:rsidRDefault="008C6D4D" w:rsidP="008C6D4D">
            <w:pPr>
              <w:jc w:val="both"/>
            </w:pPr>
            <w:r>
              <w:t>Komisija a</w:t>
            </w:r>
            <w:r w:rsidRPr="00963184">
              <w:t xml:space="preserve">tsižvelgdama į tiekėjo </w:t>
            </w:r>
            <w:r>
              <w:t>prašymą</w:t>
            </w:r>
            <w:r w:rsidRPr="00785188">
              <w:t xml:space="preserve"> </w:t>
            </w:r>
            <w:r>
              <w:t>patikslinti</w:t>
            </w:r>
            <w:r>
              <w:rPr>
                <w:b/>
                <w:bCs/>
              </w:rPr>
              <w:t xml:space="preserve"> </w:t>
            </w:r>
            <w:r>
              <w:t xml:space="preserve">paslaugų </w:t>
            </w:r>
            <w:r w:rsidRPr="00945864">
              <w:t>pirkimo</w:t>
            </w:r>
            <w:r>
              <w:t>-</w:t>
            </w:r>
            <w:r w:rsidRPr="00945864">
              <w:t xml:space="preserve">pardavimo sutarties </w:t>
            </w:r>
            <w:r>
              <w:t>specialiųjų</w:t>
            </w:r>
            <w:r w:rsidRPr="00963184">
              <w:t xml:space="preserve"> sąlygų</w:t>
            </w:r>
            <w:r>
              <w:t xml:space="preserve"> </w:t>
            </w:r>
            <w:r w:rsidRPr="00963184">
              <w:rPr>
                <w:rFonts w:eastAsiaTheme="majorEastAsia"/>
              </w:rPr>
              <w:t>atsiskaitymo su tiekėju terminų ir tvarkos</w:t>
            </w:r>
            <w:r>
              <w:t xml:space="preserve"> nuostatas</w:t>
            </w:r>
            <w:r w:rsidRPr="00963184">
              <w:t xml:space="preserve">, </w:t>
            </w:r>
            <w:r>
              <w:t xml:space="preserve">nusprendė </w:t>
            </w:r>
            <w:r w:rsidRPr="00963184">
              <w:t>patikslin</w:t>
            </w:r>
            <w:r>
              <w:t>ti</w:t>
            </w:r>
            <w:r w:rsidRPr="00963184">
              <w:t xml:space="preserve"> </w:t>
            </w:r>
            <w:r w:rsidR="00FA5C79">
              <w:t>p</w:t>
            </w:r>
            <w:r w:rsidRPr="00963184">
              <w:t>irkimo sąlygų 6 priedo „Viešojo pirkimo sutarties projektas“ specialiųjų sąlygų 5.5 punktą. Patikslintas punktas bus išdėstytas</w:t>
            </w:r>
            <w:r>
              <w:t xml:space="preserve"> specialiųjų</w:t>
            </w:r>
            <w:r w:rsidRPr="00963184">
              <w:t xml:space="preserve"> sąlygų</w:t>
            </w:r>
            <w:r>
              <w:t xml:space="preserve"> 5 skyriaus </w:t>
            </w:r>
            <w:r w:rsidRPr="00785188">
              <w:t>„</w:t>
            </w:r>
            <w:r w:rsidRPr="0066259A">
              <w:rPr>
                <w:bCs/>
                <w:kern w:val="2"/>
              </w:rPr>
              <w:t>SUTARTIES KAINA IR ATSISKAITYMO TVARKA</w:t>
            </w:r>
            <w:r w:rsidRPr="00785188">
              <w:t>“</w:t>
            </w:r>
            <w:r>
              <w:rPr>
                <w:b/>
              </w:rPr>
              <w:t xml:space="preserve"> </w:t>
            </w:r>
            <w:r>
              <w:t>5.5 punkte</w:t>
            </w:r>
            <w:r w:rsidRPr="00963184">
              <w:t xml:space="preserve"> taip, kaip nurodyta</w:t>
            </w:r>
            <w:r>
              <w:t xml:space="preserve"> </w:t>
            </w:r>
            <w:r w:rsidR="00074D29">
              <w:t>žemiau:</w:t>
            </w: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0"/>
              <w:gridCol w:w="6505"/>
            </w:tblGrid>
            <w:tr w:rsidR="008153B3" w:rsidRPr="00110711" w14:paraId="222F7FAD" w14:textId="77777777" w:rsidTr="009A0FA2">
              <w:trPr>
                <w:trHeight w:val="325"/>
              </w:trPr>
              <w:tc>
                <w:tcPr>
                  <w:tcW w:w="9405" w:type="dxa"/>
                  <w:gridSpan w:val="2"/>
                </w:tcPr>
                <w:p w14:paraId="00DC6586" w14:textId="77777777" w:rsidR="008153B3" w:rsidRPr="00110711" w:rsidRDefault="008153B3" w:rsidP="008153B3">
                  <w:pPr>
                    <w:jc w:val="center"/>
                  </w:pPr>
                  <w:r w:rsidRPr="00110711">
                    <w:rPr>
                      <w:b/>
                      <w:kern w:val="2"/>
                    </w:rPr>
                    <w:t>5. SUTARTIES KAINA IR ATSISKAITYMO TVARKA</w:t>
                  </w:r>
                </w:p>
              </w:tc>
            </w:tr>
            <w:tr w:rsidR="008153B3" w:rsidRPr="00110711" w14:paraId="23121BBD" w14:textId="77777777" w:rsidTr="009A0FA2">
              <w:trPr>
                <w:trHeight w:val="325"/>
              </w:trPr>
              <w:tc>
                <w:tcPr>
                  <w:tcW w:w="2900" w:type="dxa"/>
                </w:tcPr>
                <w:p w14:paraId="1341D9F5" w14:textId="77777777" w:rsidR="008153B3" w:rsidRPr="00110711" w:rsidRDefault="008153B3" w:rsidP="008153B3">
                  <w:pPr>
                    <w:rPr>
                      <w:b/>
                      <w:kern w:val="2"/>
                    </w:rPr>
                  </w:pPr>
                  <w:r w:rsidRPr="00110711">
                    <w:rPr>
                      <w:b/>
                      <w:kern w:val="2"/>
                    </w:rPr>
                    <w:t>5.5.</w:t>
                  </w:r>
                  <w:r>
                    <w:rPr>
                      <w:b/>
                    </w:rPr>
                    <w:t xml:space="preserve"> </w:t>
                  </w:r>
                  <w:r w:rsidRPr="00110711">
                    <w:rPr>
                      <w:b/>
                      <w:kern w:val="2"/>
                    </w:rPr>
                    <w:t>Atsiskaitymo su Tiekėju terminas ir tvarka</w:t>
                  </w:r>
                </w:p>
              </w:tc>
              <w:tc>
                <w:tcPr>
                  <w:tcW w:w="6504" w:type="dxa"/>
                </w:tcPr>
                <w:p w14:paraId="60533D45" w14:textId="77777777" w:rsidR="008153B3" w:rsidRPr="00110711" w:rsidRDefault="008153B3" w:rsidP="008153B3">
                  <w:pPr>
                    <w:jc w:val="both"/>
                    <w:rPr>
                      <w:kern w:val="2"/>
                    </w:rPr>
                  </w:pPr>
                  <w:r w:rsidRPr="00110711">
                    <w:rPr>
                      <w:kern w:val="2"/>
                    </w:rPr>
                    <w:t>Pirkėjas atsiskaito su Tiekėju ne vėliau kaip per 30 (trisdešimt) kalendorinių dienų nuo Sąskaitos gavimo dienos.</w:t>
                  </w:r>
                </w:p>
                <w:p w14:paraId="7462572B" w14:textId="77777777" w:rsidR="008153B3" w:rsidRPr="00110711" w:rsidRDefault="008153B3" w:rsidP="008153B3">
                  <w:pPr>
                    <w:jc w:val="both"/>
                    <w:rPr>
                      <w:kern w:val="2"/>
                      <w:shd w:val="clear" w:color="auto" w:fill="FFFFFF"/>
                    </w:rPr>
                  </w:pPr>
                </w:p>
                <w:p w14:paraId="7BB6FFB5" w14:textId="77777777" w:rsidR="008153B3" w:rsidRPr="00110711" w:rsidRDefault="008153B3" w:rsidP="008153B3">
                  <w:pPr>
                    <w:jc w:val="both"/>
                    <w:rPr>
                      <w:kern w:val="2"/>
                      <w:shd w:val="clear" w:color="auto" w:fill="FFFFFF"/>
                    </w:rPr>
                  </w:pPr>
                  <w:r w:rsidRPr="00110711">
                    <w:rPr>
                      <w:kern w:val="2"/>
                      <w:shd w:val="clear" w:color="auto" w:fill="FFFFFF"/>
                    </w:rPr>
                    <w:t>Apmokėjimo sąlygos:</w:t>
                  </w:r>
                </w:p>
                <w:p w14:paraId="367CC2F5" w14:textId="77777777" w:rsidR="008153B3" w:rsidRPr="00110711" w:rsidRDefault="008153B3" w:rsidP="008153B3">
                  <w:pPr>
                    <w:jc w:val="both"/>
                    <w:rPr>
                      <w:kern w:val="2"/>
                      <w:shd w:val="clear" w:color="auto" w:fill="FFFFFF"/>
                    </w:rPr>
                  </w:pPr>
                  <w:r w:rsidRPr="00110711">
                    <w:rPr>
                      <w:kern w:val="2"/>
                      <w:shd w:val="clear" w:color="auto" w:fill="FFFFFF"/>
                    </w:rPr>
                    <w:t>1) įvykdžius konsultavimo roboto sukūrimo, konfigūravimo, informacijos parengimo paslaugas, sumokama Sutarties 5.2.2 nurodyta kaina;</w:t>
                  </w:r>
                </w:p>
                <w:p w14:paraId="6B5002C0" w14:textId="77777777" w:rsidR="008153B3" w:rsidRPr="00110711" w:rsidRDefault="008153B3" w:rsidP="008153B3">
                  <w:pPr>
                    <w:jc w:val="both"/>
                    <w:rPr>
                      <w:kern w:val="2"/>
                    </w:rPr>
                  </w:pPr>
                  <w:r w:rsidRPr="00110711">
                    <w:rPr>
                      <w:kern w:val="2"/>
                      <w:shd w:val="clear" w:color="auto" w:fill="FFFFFF"/>
                    </w:rPr>
                    <w:t xml:space="preserve">2) už viešųjų ir administracinių paslaugų konsultavimo roboto su dirbtiniu intelektu debesijos eksploatavimo paslaugas sumokama </w:t>
                  </w:r>
                  <w:r w:rsidRPr="00200626">
                    <w:rPr>
                      <w:kern w:val="2"/>
                      <w:highlight w:val="yellow"/>
                      <w:shd w:val="clear" w:color="auto" w:fill="FFFFFF"/>
                    </w:rPr>
                    <w:lastRenderedPageBreak/>
                    <w:t>vieną kartą per mėnesį</w:t>
                  </w:r>
                  <w:r>
                    <w:rPr>
                      <w:kern w:val="2"/>
                      <w:shd w:val="clear" w:color="auto" w:fill="FFFFFF"/>
                    </w:rPr>
                    <w:t xml:space="preserve">, </w:t>
                  </w:r>
                  <w:r w:rsidRPr="00110711">
                    <w:rPr>
                      <w:kern w:val="2"/>
                      <w:shd w:val="clear" w:color="auto" w:fill="FFFFFF"/>
                    </w:rPr>
                    <w:t xml:space="preserve">pagal nustatytą </w:t>
                  </w:r>
                  <w:r w:rsidRPr="00200626">
                    <w:rPr>
                      <w:kern w:val="2"/>
                      <w:highlight w:val="yellow"/>
                      <w:shd w:val="clear" w:color="auto" w:fill="FFFFFF"/>
                    </w:rPr>
                    <w:t>vieno mėnesio</w:t>
                  </w:r>
                  <w:r>
                    <w:rPr>
                      <w:kern w:val="2"/>
                      <w:shd w:val="clear" w:color="auto" w:fill="FFFFFF"/>
                    </w:rPr>
                    <w:t xml:space="preserve"> </w:t>
                  </w:r>
                  <w:r w:rsidRPr="00110711">
                    <w:rPr>
                      <w:kern w:val="2"/>
                      <w:shd w:val="clear" w:color="auto" w:fill="FFFFFF"/>
                    </w:rPr>
                    <w:t xml:space="preserve">įkainį </w:t>
                  </w:r>
                  <w:r w:rsidRPr="00110711">
                    <w:rPr>
                      <w:kern w:val="2"/>
                    </w:rPr>
                    <w:t>Sutarties priede Nr. 2 „Pasiūlymas“.</w:t>
                  </w:r>
                </w:p>
                <w:p w14:paraId="7786601B" w14:textId="77777777" w:rsidR="008153B3" w:rsidRPr="00110711" w:rsidRDefault="008153B3" w:rsidP="008153B3">
                  <w:pPr>
                    <w:jc w:val="both"/>
                    <w:rPr>
                      <w:color w:val="FF0000"/>
                      <w:kern w:val="2"/>
                      <w:shd w:val="clear" w:color="auto" w:fill="FFFFFF"/>
                    </w:rPr>
                  </w:pPr>
                </w:p>
                <w:p w14:paraId="7921DC6C" w14:textId="77777777" w:rsidR="008153B3" w:rsidRPr="00110711" w:rsidRDefault="008153B3" w:rsidP="008153B3">
                  <w:pPr>
                    <w:jc w:val="both"/>
                    <w:rPr>
                      <w:color w:val="FF0000"/>
                      <w:kern w:val="2"/>
                      <w:shd w:val="clear" w:color="auto" w:fill="FFFFFF"/>
                    </w:rPr>
                  </w:pPr>
                  <w:r w:rsidRPr="00110711">
                    <w:t>Už paslaugas, kurias Tiekėjas teiks savo iniciatyva, nukrypdamas nuo Sutarties nuostatų, neapmokama.</w:t>
                  </w:r>
                </w:p>
              </w:tc>
            </w:tr>
          </w:tbl>
          <w:p w14:paraId="2E57106D" w14:textId="21AF1EF1" w:rsidR="008C6D4D" w:rsidRDefault="008C6D4D" w:rsidP="00677AF1">
            <w:pPr>
              <w:jc w:val="both"/>
            </w:pPr>
            <w:r>
              <w:rPr>
                <w:rFonts w:eastAsiaTheme="majorEastAsia"/>
                <w:b/>
                <w:bCs/>
              </w:rPr>
              <w:lastRenderedPageBreak/>
              <w:t xml:space="preserve">3. </w:t>
            </w:r>
            <w:r w:rsidRPr="00963184">
              <w:rPr>
                <w:rFonts w:eastAsiaTheme="majorEastAsia"/>
                <w:b/>
                <w:bCs/>
              </w:rPr>
              <w:t xml:space="preserve">Dėl techninės specifikacijos </w:t>
            </w:r>
            <w:r w:rsidR="005149E6">
              <w:rPr>
                <w:rFonts w:eastAsiaTheme="majorEastAsia"/>
                <w:b/>
                <w:bCs/>
              </w:rPr>
              <w:t>reikalavimų</w:t>
            </w:r>
          </w:p>
          <w:p w14:paraId="464465BB" w14:textId="46F34F35" w:rsidR="000B6C03" w:rsidRDefault="00EF4555" w:rsidP="00677AF1">
            <w:pPr>
              <w:jc w:val="both"/>
            </w:pPr>
            <w:r>
              <w:t xml:space="preserve">Komisija </w:t>
            </w:r>
            <w:r w:rsidR="000B6C03">
              <w:t xml:space="preserve">atsižvelgdama į tiekėjo paklausimą </w:t>
            </w:r>
            <w:r w:rsidR="000B6C03" w:rsidRPr="000B6C03">
              <w:rPr>
                <w:rFonts w:eastAsiaTheme="majorEastAsia"/>
              </w:rPr>
              <w:t>d</w:t>
            </w:r>
            <w:r w:rsidR="000B6C03" w:rsidRPr="00963184">
              <w:rPr>
                <w:rFonts w:eastAsiaTheme="majorEastAsia"/>
              </w:rPr>
              <w:t>ėl techninės specifikacijos 6.2 punkto</w:t>
            </w:r>
            <w:r w:rsidR="000B6C03">
              <w:t xml:space="preserve">, nusprendė </w:t>
            </w:r>
            <w:r w:rsidR="005149E6">
              <w:t>šį</w:t>
            </w:r>
            <w:r w:rsidR="000B6C03">
              <w:t xml:space="preserve"> punktą papildyti taip, kaip nurodyta žemiau:</w:t>
            </w:r>
          </w:p>
          <w:p w14:paraId="62F43C53" w14:textId="305E70CF" w:rsidR="008C6D4D" w:rsidRPr="00963184" w:rsidRDefault="008C6D4D" w:rsidP="00677AF1">
            <w:pPr>
              <w:jc w:val="both"/>
            </w:pPr>
            <w:r w:rsidRPr="0066259A">
              <w:t>„</w:t>
            </w:r>
            <w:r w:rsidRPr="00963184">
              <w:rPr>
                <w:rFonts w:eastAsiaTheme="majorEastAsia"/>
              </w:rPr>
              <w:t>6.2.</w:t>
            </w:r>
            <w:r w:rsidRPr="00963184">
              <w:t xml:space="preserve"> </w:t>
            </w:r>
            <w:r>
              <w:rPr>
                <w:color w:val="000000"/>
                <w:lang w:eastAsia="lt-LT" w:bidi="lt-LT"/>
              </w:rPr>
              <w:t>Išoriniams naudotojams skirta grafinė sąsaja turi būti pritaikyta asmenims, turintiems regėjimo negalią ir turi turėti teksto didinimo funkcionalumą</w:t>
            </w:r>
            <w:r w:rsidRPr="008A28F3">
              <w:rPr>
                <w:color w:val="000000"/>
                <w:lang w:eastAsia="lt-LT" w:bidi="lt-LT"/>
              </w:rPr>
              <w:t xml:space="preserve"> </w:t>
            </w:r>
            <w:r>
              <w:rPr>
                <w:color w:val="000000"/>
                <w:lang w:eastAsia="lt-LT" w:bidi="lt-LT"/>
              </w:rPr>
              <w:t xml:space="preserve">grafinėje sąsajoje </w:t>
            </w:r>
            <w:r w:rsidRPr="00CB5351">
              <w:rPr>
                <w:color w:val="000000"/>
                <w:highlight w:val="yellow"/>
                <w:lang w:eastAsia="lt-LT" w:bidi="lt-LT"/>
              </w:rPr>
              <w:t>arba kitas alternatyvias teksto/turinio mastelio keitimo (didinimo) priemones</w:t>
            </w:r>
            <w:r>
              <w:rPr>
                <w:color w:val="000000"/>
                <w:lang w:eastAsia="lt-LT" w:bidi="lt-LT"/>
              </w:rPr>
              <w:t>“</w:t>
            </w:r>
            <w:r w:rsidR="00677AF1">
              <w:rPr>
                <w:color w:val="000000"/>
                <w:lang w:eastAsia="lt-LT" w:bidi="lt-LT"/>
              </w:rPr>
              <w:t>.</w:t>
            </w:r>
          </w:p>
          <w:p w14:paraId="0E2A1E78" w14:textId="77777777" w:rsidR="008C6D4D" w:rsidRDefault="008C6D4D" w:rsidP="00677AF1">
            <w:pPr>
              <w:jc w:val="both"/>
            </w:pPr>
          </w:p>
          <w:p w14:paraId="64A295DD" w14:textId="4507545E" w:rsidR="00EF4555" w:rsidRPr="00EF4555" w:rsidRDefault="00677AF1" w:rsidP="006717B7">
            <w:pPr>
              <w:pStyle w:val="Betarp"/>
              <w:jc w:val="both"/>
              <w:rPr>
                <w:rFonts w:ascii="Times New Roman" w:hAnsi="Times New Roman"/>
                <w:b/>
                <w:bCs/>
                <w:szCs w:val="24"/>
                <w:lang w:eastAsia="lt-LT"/>
              </w:rPr>
            </w:pPr>
            <w:r w:rsidRPr="00EF4555">
              <w:rPr>
                <w:rFonts w:ascii="Times New Roman" w:hAnsi="Times New Roman"/>
                <w:b/>
                <w:bCs/>
                <w:szCs w:val="24"/>
                <w:lang w:eastAsia="lt-LT"/>
              </w:rPr>
              <w:t>Patikslint</w:t>
            </w:r>
            <w:r w:rsidR="006628D0" w:rsidRPr="00EF4555">
              <w:rPr>
                <w:rFonts w:ascii="Times New Roman" w:hAnsi="Times New Roman"/>
                <w:b/>
                <w:bCs/>
                <w:szCs w:val="24"/>
                <w:lang w:eastAsia="lt-LT"/>
              </w:rPr>
              <w:t xml:space="preserve">i pirkimo dokumentai </w:t>
            </w:r>
            <w:r w:rsidRPr="00EF4555">
              <w:rPr>
                <w:rFonts w:ascii="Times New Roman" w:hAnsi="Times New Roman"/>
                <w:b/>
                <w:bCs/>
                <w:szCs w:val="24"/>
                <w:lang w:eastAsia="lt-LT"/>
              </w:rPr>
              <w:t>įkelti CVP IS sistemoje prie kitų pirkimo dokumentų</w:t>
            </w:r>
            <w:r w:rsidR="00EF4555" w:rsidRPr="00EF4555">
              <w:rPr>
                <w:rFonts w:ascii="Times New Roman" w:hAnsi="Times New Roman"/>
                <w:b/>
                <w:bCs/>
                <w:szCs w:val="24"/>
                <w:lang w:eastAsia="lt-LT"/>
              </w:rPr>
              <w:t>.</w:t>
            </w:r>
          </w:p>
        </w:tc>
      </w:tr>
    </w:tbl>
    <w:p w14:paraId="437DE20F" w14:textId="77777777" w:rsidR="000B6076" w:rsidRDefault="000B6076" w:rsidP="000B6076">
      <w:pPr>
        <w:jc w:val="both"/>
        <w:rPr>
          <w:rFonts w:eastAsiaTheme="minorHAnsi"/>
          <w:kern w:val="2"/>
          <w:lang w:eastAsia="lt-LT"/>
          <w14:ligatures w14:val="standardContextual"/>
        </w:rPr>
      </w:pPr>
    </w:p>
    <w:p w14:paraId="505E3A85" w14:textId="7195935C" w:rsidR="00677AF1" w:rsidRDefault="006717B7" w:rsidP="000B6076">
      <w:pPr>
        <w:jc w:val="both"/>
      </w:pPr>
      <w:r>
        <w:t>PRIDEDAMA:</w:t>
      </w:r>
    </w:p>
    <w:p w14:paraId="14659892" w14:textId="18FB52A5" w:rsidR="008B3919" w:rsidRDefault="008B3919" w:rsidP="008B3919">
      <w:pPr>
        <w:pStyle w:val="Sraopastraipa"/>
        <w:numPr>
          <w:ilvl w:val="0"/>
          <w:numId w:val="5"/>
        </w:numPr>
        <w:spacing w:after="160" w:line="252" w:lineRule="auto"/>
        <w:jc w:val="both"/>
      </w:pPr>
      <w:r>
        <w:t>2025_08_08_Techninė specifikacija – 3 priedas;</w:t>
      </w:r>
    </w:p>
    <w:p w14:paraId="3141245C" w14:textId="5D4ACF55" w:rsidR="006717B7" w:rsidRDefault="006717B7" w:rsidP="006717B7">
      <w:pPr>
        <w:pStyle w:val="Sraopastraipa"/>
        <w:numPr>
          <w:ilvl w:val="0"/>
          <w:numId w:val="5"/>
        </w:numPr>
        <w:spacing w:after="160" w:line="252" w:lineRule="auto"/>
        <w:jc w:val="both"/>
      </w:pPr>
      <w:r>
        <w:t>2025_08_0</w:t>
      </w:r>
      <w:r w:rsidR="00FC68BF">
        <w:t>8</w:t>
      </w:r>
      <w:r>
        <w:t>_Viešojo pirkimo sutarties projektas – 6 priedas</w:t>
      </w:r>
      <w:r w:rsidR="008B3919">
        <w:t>.</w:t>
      </w:r>
    </w:p>
    <w:p w14:paraId="3251EE0D" w14:textId="77777777" w:rsidR="006717B7" w:rsidRDefault="006717B7" w:rsidP="000B6076">
      <w:pPr>
        <w:jc w:val="both"/>
      </w:pPr>
    </w:p>
    <w:p w14:paraId="788AC69A" w14:textId="77777777" w:rsidR="006717B7" w:rsidRDefault="006717B7" w:rsidP="000B6076">
      <w:pPr>
        <w:jc w:val="both"/>
      </w:pPr>
    </w:p>
    <w:bookmarkEnd w:id="0"/>
    <w:p w14:paraId="328C8E32" w14:textId="77777777" w:rsidR="000B6076" w:rsidRPr="00E17C03" w:rsidRDefault="000B6076" w:rsidP="000B6076">
      <w:pPr>
        <w:jc w:val="both"/>
        <w:rPr>
          <w:lang w:eastAsia="lt-LT"/>
        </w:rPr>
      </w:pPr>
    </w:p>
    <w:p w14:paraId="5537F4D2" w14:textId="77777777" w:rsidR="000B6076" w:rsidRPr="00E17C03" w:rsidRDefault="000B6076" w:rsidP="000B6076">
      <w:pPr>
        <w:jc w:val="both"/>
      </w:pPr>
      <w:r w:rsidRPr="00E17C03">
        <w:t>Viešojo pirkimo komisija</w:t>
      </w:r>
    </w:p>
    <w:p w14:paraId="5EB80244" w14:textId="77777777" w:rsidR="000B6076" w:rsidRDefault="000B6076" w:rsidP="000B6076">
      <w:pPr>
        <w:jc w:val="both"/>
      </w:pPr>
    </w:p>
    <w:p w14:paraId="660C30B3" w14:textId="77777777" w:rsidR="00AB194F" w:rsidRDefault="00AB194F"/>
    <w:sectPr w:rsidR="00AB194F" w:rsidSect="004754D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18EE8" w14:textId="77777777" w:rsidR="00B4482D" w:rsidRDefault="00B4482D" w:rsidP="00B4482D">
      <w:r>
        <w:separator/>
      </w:r>
    </w:p>
  </w:endnote>
  <w:endnote w:type="continuationSeparator" w:id="0">
    <w:p w14:paraId="1B097B61" w14:textId="77777777" w:rsidR="00B4482D" w:rsidRDefault="00B4482D" w:rsidP="00B4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04F41" w14:textId="77777777" w:rsidR="00B4482D" w:rsidRDefault="00B4482D" w:rsidP="00B4482D">
      <w:r>
        <w:separator/>
      </w:r>
    </w:p>
  </w:footnote>
  <w:footnote w:type="continuationSeparator" w:id="0">
    <w:p w14:paraId="53726029" w14:textId="77777777" w:rsidR="00B4482D" w:rsidRDefault="00B4482D" w:rsidP="00B44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966143"/>
      <w:docPartObj>
        <w:docPartGallery w:val="Page Numbers (Top of Page)"/>
        <w:docPartUnique/>
      </w:docPartObj>
    </w:sdtPr>
    <w:sdtEndPr/>
    <w:sdtContent>
      <w:p w14:paraId="1C2729A8" w14:textId="709641B3" w:rsidR="00B4482D" w:rsidRDefault="00B4482D">
        <w:pPr>
          <w:pStyle w:val="Antrats"/>
          <w:jc w:val="center"/>
        </w:pPr>
        <w:r>
          <w:fldChar w:fldCharType="begin"/>
        </w:r>
        <w:r>
          <w:instrText>PAGE   \* MERGEFORMAT</w:instrText>
        </w:r>
        <w:r>
          <w:fldChar w:fldCharType="separate"/>
        </w:r>
        <w:r>
          <w:t>2</w:t>
        </w:r>
        <w:r>
          <w:fldChar w:fldCharType="end"/>
        </w:r>
      </w:p>
    </w:sdtContent>
  </w:sdt>
  <w:p w14:paraId="296F6018" w14:textId="77777777" w:rsidR="00B4482D" w:rsidRDefault="00B448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1FA3"/>
    <w:multiLevelType w:val="hybridMultilevel"/>
    <w:tmpl w:val="81CE40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5CB251B"/>
    <w:multiLevelType w:val="hybridMultilevel"/>
    <w:tmpl w:val="0C8CBD52"/>
    <w:lvl w:ilvl="0" w:tplc="E40C3F48">
      <w:start w:val="4"/>
      <w:numFmt w:val="bullet"/>
      <w:lvlText w:val="-"/>
      <w:lvlJc w:val="left"/>
      <w:pPr>
        <w:ind w:left="720" w:hanging="360"/>
      </w:pPr>
      <w:rPr>
        <w:rFonts w:ascii="Times New Roman" w:eastAsiaTheme="minorHAnsi" w:hAnsi="Times New Roman" w:cs="Times New Roman" w:hint="default"/>
        <w:b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45187102"/>
    <w:multiLevelType w:val="multilevel"/>
    <w:tmpl w:val="395008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1C2911"/>
    <w:multiLevelType w:val="multilevel"/>
    <w:tmpl w:val="5FB65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EB30A3"/>
    <w:multiLevelType w:val="multilevel"/>
    <w:tmpl w:val="170A5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35106">
    <w:abstractNumId w:val="1"/>
  </w:num>
  <w:num w:numId="2" w16cid:durableId="596254210">
    <w:abstractNumId w:val="4"/>
  </w:num>
  <w:num w:numId="3" w16cid:durableId="1379620504">
    <w:abstractNumId w:val="3"/>
  </w:num>
  <w:num w:numId="4" w16cid:durableId="2138602265">
    <w:abstractNumId w:val="2"/>
  </w:num>
  <w:num w:numId="5" w16cid:durableId="31350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5638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076"/>
    <w:rsid w:val="00017958"/>
    <w:rsid w:val="00074D29"/>
    <w:rsid w:val="00082760"/>
    <w:rsid w:val="000B6076"/>
    <w:rsid w:val="000B6C03"/>
    <w:rsid w:val="00134545"/>
    <w:rsid w:val="001545DD"/>
    <w:rsid w:val="001D0C16"/>
    <w:rsid w:val="00200626"/>
    <w:rsid w:val="00227C0E"/>
    <w:rsid w:val="00261E19"/>
    <w:rsid w:val="00275922"/>
    <w:rsid w:val="002C57EC"/>
    <w:rsid w:val="002D64C3"/>
    <w:rsid w:val="002D7E0C"/>
    <w:rsid w:val="003A2B10"/>
    <w:rsid w:val="003D4D68"/>
    <w:rsid w:val="00402AD1"/>
    <w:rsid w:val="00427B8B"/>
    <w:rsid w:val="004754D9"/>
    <w:rsid w:val="004822E4"/>
    <w:rsid w:val="004845E2"/>
    <w:rsid w:val="004B1526"/>
    <w:rsid w:val="004E1942"/>
    <w:rsid w:val="005149E6"/>
    <w:rsid w:val="00524437"/>
    <w:rsid w:val="00554C66"/>
    <w:rsid w:val="006136EB"/>
    <w:rsid w:val="0066270F"/>
    <w:rsid w:val="006628D0"/>
    <w:rsid w:val="006717B7"/>
    <w:rsid w:val="00677AF1"/>
    <w:rsid w:val="006B6157"/>
    <w:rsid w:val="006F3CEC"/>
    <w:rsid w:val="0076566B"/>
    <w:rsid w:val="007A6B8B"/>
    <w:rsid w:val="007E7B49"/>
    <w:rsid w:val="008153B3"/>
    <w:rsid w:val="00863AB1"/>
    <w:rsid w:val="008B3919"/>
    <w:rsid w:val="008C6D4D"/>
    <w:rsid w:val="00900EB9"/>
    <w:rsid w:val="009024A7"/>
    <w:rsid w:val="00930107"/>
    <w:rsid w:val="00931EF2"/>
    <w:rsid w:val="00A14039"/>
    <w:rsid w:val="00A37EB3"/>
    <w:rsid w:val="00AA338D"/>
    <w:rsid w:val="00AB194F"/>
    <w:rsid w:val="00AC6F66"/>
    <w:rsid w:val="00AD1B63"/>
    <w:rsid w:val="00B42CB6"/>
    <w:rsid w:val="00B4482D"/>
    <w:rsid w:val="00B61653"/>
    <w:rsid w:val="00BF1C5D"/>
    <w:rsid w:val="00BF24D7"/>
    <w:rsid w:val="00C22FAC"/>
    <w:rsid w:val="00C34F0E"/>
    <w:rsid w:val="00C373A0"/>
    <w:rsid w:val="00C6724C"/>
    <w:rsid w:val="00C871F2"/>
    <w:rsid w:val="00CB5351"/>
    <w:rsid w:val="00CD263B"/>
    <w:rsid w:val="00CF5958"/>
    <w:rsid w:val="00D27368"/>
    <w:rsid w:val="00D400F3"/>
    <w:rsid w:val="00D800A9"/>
    <w:rsid w:val="00E224A0"/>
    <w:rsid w:val="00ED5E20"/>
    <w:rsid w:val="00EF4555"/>
    <w:rsid w:val="00F046AB"/>
    <w:rsid w:val="00FA5C79"/>
    <w:rsid w:val="00FC68BF"/>
    <w:rsid w:val="00FE30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7A20"/>
  <w15:chartTrackingRefBased/>
  <w15:docId w15:val="{E09CCF99-FECE-4088-9849-03AAA7E1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6076"/>
    <w:pPr>
      <w:jc w:val="left"/>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0B60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B60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B607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B607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B607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B607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B607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B607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B607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607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B607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B607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B607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B607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B60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60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60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60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607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B60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6076"/>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B60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607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B6076"/>
    <w:rPr>
      <w:i/>
      <w:iCs/>
      <w:color w:val="404040" w:themeColor="text1" w:themeTint="BF"/>
    </w:rPr>
  </w:style>
  <w:style w:type="paragraph" w:styleId="Sraopastraipa">
    <w:name w:val="List Paragraph"/>
    <w:basedOn w:val="prastasis"/>
    <w:uiPriority w:val="34"/>
    <w:qFormat/>
    <w:rsid w:val="000B6076"/>
    <w:pPr>
      <w:ind w:left="720"/>
      <w:contextualSpacing/>
    </w:pPr>
  </w:style>
  <w:style w:type="character" w:styleId="Rykuspabraukimas">
    <w:name w:val="Intense Emphasis"/>
    <w:basedOn w:val="Numatytasispastraiposriftas"/>
    <w:uiPriority w:val="21"/>
    <w:qFormat/>
    <w:rsid w:val="000B6076"/>
    <w:rPr>
      <w:i/>
      <w:iCs/>
      <w:color w:val="2F5496" w:themeColor="accent1" w:themeShade="BF"/>
    </w:rPr>
  </w:style>
  <w:style w:type="paragraph" w:styleId="Iskirtacitata">
    <w:name w:val="Intense Quote"/>
    <w:basedOn w:val="prastasis"/>
    <w:next w:val="prastasis"/>
    <w:link w:val="IskirtacitataDiagrama"/>
    <w:uiPriority w:val="30"/>
    <w:qFormat/>
    <w:rsid w:val="000B60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B6076"/>
    <w:rPr>
      <w:i/>
      <w:iCs/>
      <w:color w:val="2F5496" w:themeColor="accent1" w:themeShade="BF"/>
    </w:rPr>
  </w:style>
  <w:style w:type="character" w:styleId="Rykinuoroda">
    <w:name w:val="Intense Reference"/>
    <w:basedOn w:val="Numatytasispastraiposriftas"/>
    <w:uiPriority w:val="32"/>
    <w:qFormat/>
    <w:rsid w:val="000B6076"/>
    <w:rPr>
      <w:b/>
      <w:bCs/>
      <w:smallCaps/>
      <w:color w:val="2F5496" w:themeColor="accent1" w:themeShade="BF"/>
      <w:spacing w:val="5"/>
    </w:rPr>
  </w:style>
  <w:style w:type="character" w:customStyle="1" w:styleId="BetarpDiagrama">
    <w:name w:val="Be tarpų Diagrama"/>
    <w:link w:val="Betarp"/>
    <w:uiPriority w:val="1"/>
    <w:locked/>
    <w:rsid w:val="000B6076"/>
    <w:rPr>
      <w:sz w:val="24"/>
    </w:rPr>
  </w:style>
  <w:style w:type="paragraph" w:styleId="Betarp">
    <w:name w:val="No Spacing"/>
    <w:link w:val="BetarpDiagrama"/>
    <w:uiPriority w:val="1"/>
    <w:qFormat/>
    <w:rsid w:val="000B6076"/>
    <w:pPr>
      <w:jc w:val="left"/>
    </w:pPr>
    <w:rPr>
      <w:sz w:val="24"/>
    </w:rPr>
  </w:style>
  <w:style w:type="table" w:styleId="Lentelstinklelis">
    <w:name w:val="Table Grid"/>
    <w:basedOn w:val="prastojilentel"/>
    <w:uiPriority w:val="39"/>
    <w:rsid w:val="000B6076"/>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4482D"/>
    <w:pPr>
      <w:tabs>
        <w:tab w:val="center" w:pos="4819"/>
        <w:tab w:val="right" w:pos="9638"/>
      </w:tabs>
    </w:pPr>
  </w:style>
  <w:style w:type="character" w:customStyle="1" w:styleId="AntratsDiagrama">
    <w:name w:val="Antraštės Diagrama"/>
    <w:basedOn w:val="Numatytasispastraiposriftas"/>
    <w:link w:val="Antrats"/>
    <w:uiPriority w:val="99"/>
    <w:rsid w:val="00B4482D"/>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B4482D"/>
    <w:pPr>
      <w:tabs>
        <w:tab w:val="center" w:pos="4819"/>
        <w:tab w:val="right" w:pos="9638"/>
      </w:tabs>
    </w:pPr>
  </w:style>
  <w:style w:type="character" w:customStyle="1" w:styleId="PoratDiagrama">
    <w:name w:val="Poraštė Diagrama"/>
    <w:basedOn w:val="Numatytasispastraiposriftas"/>
    <w:link w:val="Porat"/>
    <w:uiPriority w:val="99"/>
    <w:rsid w:val="00B4482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4557</Words>
  <Characters>2599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61</cp:revision>
  <cp:lastPrinted>2025-08-08T05:41:00Z</cp:lastPrinted>
  <dcterms:created xsi:type="dcterms:W3CDTF">2025-08-06T13:38:00Z</dcterms:created>
  <dcterms:modified xsi:type="dcterms:W3CDTF">2025-08-08T05:41:00Z</dcterms:modified>
</cp:coreProperties>
</file>