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rPr>
          </w:pPr>
          <w:r>
            <w:rPr>
              <w:rFonts w:cs="Times New Roman" w:ascii="Times New Roman" w:hAnsi="Times New Roman"/>
              <w:sz w:val="20"/>
              <w:szCs w:val="20"/>
            </w:rPr>
            <w:t>Įmonės kodas 111958286</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PATVIRTINTA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Perkančiosios organizacijos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Viešųjų pirkimų komisijos 2025-                      protokolu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8"/>
              <w:szCs w:val="28"/>
            </w:rPr>
          </w:pPr>
          <w:r>
            <w:rPr>
              <w:rFonts w:cs="Times New Roman" w:ascii="Times New Roman" w:hAnsi="Times New Roman"/>
              <w:b/>
              <w:bCs/>
              <w:sz w:val="28"/>
              <w:szCs w:val="28"/>
            </w:rPr>
            <w:t>SUPAPRASTINTO ATVIRO VIEŠOJO PIRKIMO „</w:t>
          </w:r>
          <w:r>
            <w:rPr>
              <w:rFonts w:cs="Times New Roman" w:ascii="Times New Roman" w:hAnsi="Times New Roman"/>
              <w:b/>
              <w:bCs/>
              <w:color w:val="333333"/>
              <w:sz w:val="28"/>
              <w:szCs w:val="28"/>
            </w:rPr>
            <w:t>MOKYMŲ „RACIONALUS ANTIMIKROBINIŲ VAISTINIŲ PREPARATŲ SKYRIMAS IR VARTOJIMAS“ ORGANIZAVIMO PASLAUGOS</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rPr>
          </w:pPr>
          <w:r>
            <w:rPr>
              <w:rFonts w:cs="Times New Roman" w:ascii="Times New Roman" w:hAnsi="Times New Roman"/>
              <w:color w:val="auto"/>
            </w:rPr>
            <w:t>TURINYS</w:t>
          </w:r>
        </w:p>
        <w:p>
          <w:pPr>
            <w:pStyle w:val="TOC1"/>
            <w:numPr>
              <w:ilvl w:val="0"/>
              <w:numId w:val="11"/>
            </w:numPr>
            <w:tabs>
              <w:tab w:val="left" w:pos="142" w:leader="none"/>
              <w:tab w:val="left" w:pos="660" w:leader="none"/>
              <w:tab w:val="right" w:pos="9962" w:leader="dot"/>
            </w:tabs>
            <w:spacing w:lineRule="auto" w:line="240"/>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7">
            <w:r>
              <w:rPr>
                <w:webHidden/>
                <w:rStyle w:val="IndexLink"/>
                <w:rFonts w:cs="Times New Roman" w:ascii="Times New Roman" w:hAnsi="Times New Roman"/>
                <w:vanish w:val="false"/>
                <w:sz w:val="24"/>
                <w:szCs w:val="24"/>
              </w:rPr>
              <w:t>3. Susitikimai su tiekėjais ir pirkimo objekto apžiūra</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9">
            <w:r>
              <w:rPr>
                <w:webHidden/>
                <w:rStyle w:val="IndexLink"/>
                <w:rFonts w:cs="Times New Roman" w:ascii="Times New Roman" w:hAnsi="Times New Roman"/>
                <w:vanish w:val="false"/>
                <w:sz w:val="24"/>
                <w:szCs w:val="24"/>
              </w:rPr>
              <w:t>5. Reikalavimai, susiję su nacionaliniu saugumu</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2"/>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2"/>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t>19</w:t>
            </w:r>
            <w:r>
              <w:rPr>
                <w:webHidden/>
              </w:rPr>
              <w:fldChar w:fldCharType="end"/>
            </w:r>
          </w:hyperlink>
        </w:p>
        <w:p>
          <w:pPr>
            <w:pStyle w:val="TOC2"/>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t>20</w:t>
            </w:r>
            <w:r>
              <w:rPr>
                <w:webHidden/>
              </w:rPr>
              <w:fldChar w:fldCharType="end"/>
            </w:r>
          </w:hyperlink>
        </w:p>
        <w:p>
          <w:pPr>
            <w:pStyle w:val="TOC2"/>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t>22</w:t>
            </w:r>
            <w:r>
              <w:rPr>
                <w:webHidden/>
              </w:rPr>
              <w:fldChar w:fldCharType="end"/>
            </w:r>
          </w:hyperlink>
        </w:p>
        <w:p>
          <w:pPr>
            <w:pStyle w:val="TOC2"/>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t>24</w:t>
            </w:r>
            <w:r>
              <w:rPr>
                <w:webHidden/>
              </w:rPr>
              <w:fldChar w:fldCharType="end"/>
            </w:r>
          </w:hyperlink>
        </w:p>
        <w:p>
          <w:pPr>
            <w:pStyle w:val="TOC2"/>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t>28</w:t>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rFonts w:ascii="Times New Roman" w:hAnsi="Times New Roman"/>
        </w:rPr>
      </w:pPr>
      <w:bookmarkStart w:id="0" w:name="_Toc124404945"/>
      <w:r>
        <w:rPr>
          <w:rFonts w:cs="Times New Roman" w:ascii="Times New Roman" w:hAnsi="Times New Roman"/>
          <w:color w:val="auto"/>
        </w:rPr>
        <w:t>Bendra informacija</w:t>
      </w:r>
      <w:bookmarkEnd w:id="0"/>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w:t>
      </w:r>
    </w:p>
    <w:p>
      <w:pPr>
        <w:pStyle w:val="Normal"/>
        <w:spacing w:lineRule="auto" w:line="240" w:before="0" w:after="0"/>
        <w:ind w:firstLine="567"/>
        <w:rPr>
          <w:rFonts w:ascii="Times New Roman" w:hAnsi="Times New Roman"/>
        </w:rPr>
      </w:pPr>
      <w:r>
        <w:rPr>
          <w:rFonts w:cs="Times New Roman" w:ascii="Times New Roman" w:hAnsi="Times New Roman"/>
          <w:sz w:val="24"/>
          <w:szCs w:val="24"/>
        </w:rPr>
        <w:t xml:space="preserve">1.4.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1.5.  Stebėtojai dalyvauti Komisijos posėdžiuose nėra kviečiami.</w:t>
      </w:r>
    </w:p>
    <w:p>
      <w:pPr>
        <w:pStyle w:val="ListParagraph"/>
        <w:numPr>
          <w:ilvl w:val="1"/>
          <w:numId w:val="5"/>
        </w:numPr>
        <w:tabs>
          <w:tab w:val="clear" w:pos="1296"/>
          <w:tab w:val="left" w:pos="993" w:leader="none"/>
        </w:tabs>
        <w:spacing w:lineRule="auto" w:line="240" w:before="0" w:after="0"/>
        <w:ind w:firstLine="567" w:left="0"/>
        <w:contextualSpacing/>
        <w:jc w:val="both"/>
        <w:rPr>
          <w:rFonts w:ascii="Times New Roman" w:hAnsi="Times New Roman"/>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5"/>
        </w:numPr>
        <w:tabs>
          <w:tab w:val="clear" w:pos="1296"/>
          <w:tab w:val="left" w:pos="993" w:leader="none"/>
        </w:tabs>
        <w:spacing w:lineRule="auto" w:line="240" w:before="0" w:after="0"/>
        <w:ind w:firstLine="207" w:left="720"/>
        <w:contextualSpacing/>
        <w:jc w:val="both"/>
        <w:rPr>
          <w:rFonts w:ascii="Times New Roman" w:hAnsi="Times New Roman"/>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rFonts w:ascii="Times New Roman" w:hAnsi="Times New Roman"/>
        </w:rPr>
      </w:pPr>
      <w:bookmarkStart w:id="1" w:name="_Ref39426332"/>
      <w:bookmarkStart w:id="2" w:name="_Ref39426338"/>
      <w:bookmarkStart w:id="3" w:name="_Toc124404946"/>
      <w:bookmarkStart w:id="4" w:name="_Toc335201954"/>
      <w:bookmarkEnd w:id="4"/>
      <w:r>
        <w:rPr>
          <w:rFonts w:cs="Times New Roman" w:ascii="Times New Roman" w:hAnsi="Times New Roman"/>
          <w:color w:val="auto"/>
        </w:rPr>
        <w:t>2. Pirkimo objektas</w:t>
      </w:r>
      <w:bookmarkEnd w:id="1"/>
      <w:bookmarkEnd w:id="2"/>
      <w:bookmarkEnd w:id="3"/>
    </w:p>
    <w:p>
      <w:pPr>
        <w:pStyle w:val="Normal"/>
        <w:spacing w:lineRule="auto" w:line="240"/>
        <w:ind w:firstLine="567"/>
        <w:jc w:val="both"/>
        <w:rPr>
          <w:rFonts w:ascii="Times New Roman" w:hAnsi="Times New Roman"/>
        </w:rPr>
      </w:pPr>
      <w:r>
        <w:rPr>
          <w:rFonts w:eastAsia="Calibri" w:cs="Times New Roman" w:ascii="Times New Roman" w:hAnsi="Times New Roman"/>
          <w:sz w:val="24"/>
          <w:szCs w:val="24"/>
        </w:rPr>
        <w:t xml:space="preserve">2.1. Perkančioji organizacija numato įsigyti </w:t>
      </w:r>
      <w:r>
        <w:rPr>
          <w:rFonts w:cs="Times New Roman" w:ascii="Times New Roman" w:hAnsi="Times New Roman"/>
          <w:color w:val="333333"/>
          <w:sz w:val="24"/>
          <w:szCs w:val="24"/>
        </w:rPr>
        <w:t>Mokymų „Racionalus antimikrobinių vaistinių preparatų skyrimas ir vartojimas“ organizavimo paslaugas.</w:t>
      </w:r>
      <w:r>
        <w:rPr>
          <w:b/>
          <w:bCs/>
          <w:color w:val="333333"/>
          <w:sz w:val="24"/>
          <w:szCs w:val="24"/>
        </w:rPr>
        <w:t xml:space="preserve"> </w:t>
      </w:r>
      <w:r>
        <w:rPr>
          <w:rFonts w:cs="" w:ascii="Times New Roman" w:hAnsi="Times New Roman" w:cstheme="majorBidi"/>
          <w:sz w:val="24"/>
          <w:szCs w:val="24"/>
        </w:rPr>
        <w:t xml:space="preserve">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2.2 Pirkimo objektas į dalis neskaidomas.</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rFonts w:ascii="Times New Roman" w:hAnsi="Times New Roman"/>
        </w:rPr>
      </w:pPr>
      <w:bookmarkStart w:id="5" w:name="_Toc124404947"/>
      <w:r>
        <w:rPr>
          <w:rFonts w:cs="Times New Roman" w:ascii="Times New Roman" w:hAnsi="Times New Roman"/>
          <w:color w:val="auto"/>
        </w:rPr>
        <w:t xml:space="preserve">3. </w:t>
      </w:r>
      <w:bookmarkStart w:id="6" w:name="_Ref39740354"/>
      <w:bookmarkStart w:id="7" w:name="_Ref39427921"/>
      <w:bookmarkStart w:id="8" w:name="_Ref39427927"/>
      <w:r>
        <w:rPr>
          <w:rFonts w:cs="Times New Roman" w:ascii="Times New Roman" w:hAnsi="Times New Roman"/>
          <w:color w:val="auto"/>
        </w:rPr>
        <w:t>Susitikimai su tiekėjais</w:t>
      </w:r>
      <w:bookmarkEnd w:id="7"/>
      <w:bookmarkEnd w:id="8"/>
      <w:r>
        <w:rPr>
          <w:rFonts w:cs="Times New Roman" w:ascii="Times New Roman" w:hAnsi="Times New Roman"/>
          <w:color w:val="auto"/>
        </w:rPr>
        <w:t xml:space="preserve"> ir pirkimo objekto apžiūra</w:t>
      </w:r>
      <w:bookmarkEnd w:id="5"/>
      <w:bookmarkEnd w:id="6"/>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3"/>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rPr>
      </w:pPr>
      <w:bookmarkStart w:id="9" w:name="_Toc124404948"/>
      <w:bookmarkStart w:id="10" w:name="_Ref39473754"/>
      <w:bookmarkStart w:id="11" w:name="_Ref39473761"/>
      <w:bookmarkStart w:id="12" w:name="_Ref39474188"/>
      <w:r>
        <w:rPr>
          <w:rFonts w:cs="Times New Roman" w:ascii="Times New Roman" w:hAnsi="Times New Roman"/>
          <w:color w:val="auto"/>
        </w:rPr>
        <w:t>4. Tiekėjų pašalinimo pagrindai</w:t>
      </w:r>
      <w:bookmarkEnd w:id="10"/>
      <w:bookmarkEnd w:id="11"/>
      <w:bookmarkEnd w:id="12"/>
      <w:r>
        <w:rPr>
          <w:rFonts w:cs="Times New Roman" w:ascii="Times New Roman" w:hAnsi="Times New Roman"/>
          <w:color w:val="auto"/>
        </w:rPr>
        <w:t xml:space="preserve"> ir kvalifikacijos reikalavimai</w:t>
      </w:r>
      <w:bookmarkEnd w:id="9"/>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rPr>
        <w:t>4.1</w:t>
      </w:r>
      <w:r>
        <w:rPr>
          <w:rFonts w:cs="Times New Roman" w:ascii="Times New Roman" w:hAnsi="Times New Roman"/>
          <w:sz w:val="24"/>
          <w:szCs w:val="24"/>
        </w:rPr>
        <w:t>. Reikalavimai dėl tiekėjo ir</w:t>
      </w:r>
      <w:bookmarkStart w:id="13" w:name="_Hlk41039660"/>
      <w:r>
        <w:rPr>
          <w:rFonts w:cs="Times New Roman" w:ascii="Times New Roman" w:hAnsi="Times New Roman"/>
          <w:sz w:val="24"/>
          <w:szCs w:val="24"/>
        </w:rPr>
        <w:t xml:space="preserve"> subtiekėjų (jei taikoma) </w:t>
      </w:r>
      <w:bookmarkEnd w:id="13"/>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rFonts w:ascii="Times New Roman" w:hAnsi="Times New Roman"/>
        </w:rPr>
      </w:pPr>
      <w:bookmarkStart w:id="14" w:name="_Toc124404949"/>
      <w:r>
        <w:rPr>
          <w:rFonts w:cs="Times New Roman" w:ascii="Times New Roman" w:hAnsi="Times New Roman"/>
          <w:color w:val="auto"/>
        </w:rPr>
        <w:t>5.Reikalavimai, susiję su nacionaliniu saugumu</w:t>
      </w:r>
      <w:bookmarkEnd w:id="14"/>
      <w:r>
        <w:rPr>
          <w:rFonts w:cs="Times New Roman" w:ascii="Times New Roman" w:hAnsi="Times New Roman"/>
          <w:color w:val="auto"/>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rPr>
      </w:pPr>
      <w:bookmarkStart w:id="15" w:name="_Ref39666794"/>
      <w:bookmarkStart w:id="16" w:name="_Ref39666796"/>
      <w:bookmarkStart w:id="17" w:name="_Toc124404950"/>
      <w:r>
        <w:rPr>
          <w:rFonts w:cs="Times New Roman" w:ascii="Times New Roman" w:hAnsi="Times New Roman"/>
          <w:color w:val="auto"/>
        </w:rPr>
        <w:t>6. Specialieji reikalavimai pasiūlymų rengimui ir pateikimui</w:t>
      </w:r>
      <w:bookmarkEnd w:id="15"/>
      <w:bookmarkEnd w:id="16"/>
      <w:bookmarkEnd w:id="17"/>
    </w:p>
    <w:p>
      <w:pPr>
        <w:pStyle w:val="ListParagraph"/>
        <w:numPr>
          <w:ilvl w:val="1"/>
          <w:numId w:val="6"/>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6"/>
        </w:numPr>
        <w:spacing w:lineRule="auto" w:line="240" w:before="0" w:after="0"/>
        <w:ind w:firstLine="710" w:left="0"/>
        <w:contextualSpacing/>
        <w:jc w:val="both"/>
        <w:rPr>
          <w:rFonts w:ascii="Times New Roman" w:hAnsi="Times New Roman"/>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6"/>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6"/>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6"/>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6"/>
        </w:numPr>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6"/>
        </w:numPr>
        <w:spacing w:lineRule="auto" w:line="240" w:before="0" w:after="0"/>
        <w:ind w:firstLine="709" w:left="0"/>
        <w:contextualSpacing/>
        <w:jc w:val="both"/>
        <w:rPr>
          <w:rFonts w:ascii="Times New Roman" w:hAnsi="Times New Roman"/>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6"/>
        </w:numPr>
        <w:tabs>
          <w:tab w:val="clear" w:pos="1296"/>
          <w:tab w:val="left" w:pos="709" w:leader="none"/>
        </w:tabs>
        <w:spacing w:before="0" w:after="0"/>
        <w:rPr>
          <w:rFonts w:ascii="Times New Roman" w:hAnsi="Times New Roman"/>
        </w:rPr>
      </w:pPr>
      <w:bookmarkStart w:id="18" w:name="_Ref39430768"/>
      <w:bookmarkStart w:id="19" w:name="_Ref39430779"/>
      <w:bookmarkStart w:id="20" w:name="_Toc124404951"/>
      <w:bookmarkStart w:id="21" w:name="_Toc91497102"/>
      <w:bookmarkStart w:id="22" w:name="_Toc91497103"/>
      <w:bookmarkStart w:id="23" w:name="_Toc91497104"/>
      <w:bookmarkStart w:id="24" w:name="_Toc91497105"/>
      <w:bookmarkStart w:id="25" w:name="_Toc91497106"/>
      <w:bookmarkEnd w:id="21"/>
      <w:bookmarkEnd w:id="22"/>
      <w:bookmarkEnd w:id="23"/>
      <w:bookmarkEnd w:id="24"/>
      <w:bookmarkEnd w:id="25"/>
      <w:r>
        <w:rPr>
          <w:rFonts w:cs="Times New Roman" w:ascii="Times New Roman" w:hAnsi="Times New Roman"/>
          <w:color w:val="auto"/>
        </w:rPr>
        <w:t>Pasiūlymo galiojimo užtikrinimas</w:t>
      </w:r>
      <w:bookmarkEnd w:id="18"/>
      <w:bookmarkEnd w:id="19"/>
      <w:bookmarkEnd w:id="20"/>
    </w:p>
    <w:p>
      <w:pPr>
        <w:pStyle w:val="ListParagraph"/>
        <w:numPr>
          <w:ilvl w:val="1"/>
          <w:numId w:val="9"/>
        </w:numPr>
        <w:tabs>
          <w:tab w:val="clear" w:pos="1296"/>
          <w:tab w:val="left" w:pos="1418" w:leader="none"/>
          <w:tab w:val="left" w:pos="1560"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Iš Tiekėjų neprašo pateikti pasiūlymo galiojimo užtikrinimo.</w:t>
      </w:r>
    </w:p>
    <w:p>
      <w:pPr>
        <w:pStyle w:val="Heading1"/>
        <w:numPr>
          <w:ilvl w:val="0"/>
          <w:numId w:val="10"/>
        </w:numPr>
        <w:tabs>
          <w:tab w:val="clear" w:pos="1296"/>
          <w:tab w:val="left" w:pos="709" w:leader="none"/>
        </w:tabs>
        <w:spacing w:before="0" w:after="0"/>
        <w:contextualSpacing/>
        <w:rPr>
          <w:rFonts w:ascii="Times New Roman" w:hAnsi="Times New Roman"/>
        </w:rPr>
      </w:pPr>
      <w:bookmarkStart w:id="26" w:name="_Ref39658218"/>
      <w:bookmarkStart w:id="27" w:name="_Ref39658226"/>
      <w:bookmarkStart w:id="28" w:name="_Ref39658248"/>
      <w:bookmarkStart w:id="29" w:name="_Ref39658251"/>
      <w:bookmarkStart w:id="30" w:name="_Toc124404952"/>
      <w:r>
        <w:rPr>
          <w:rFonts w:cs="Times New Roman" w:ascii="Times New Roman" w:hAnsi="Times New Roman"/>
          <w:color w:val="auto"/>
        </w:rPr>
        <w:t>Elektroninis aukcionas</w:t>
      </w:r>
      <w:bookmarkEnd w:id="26"/>
      <w:bookmarkEnd w:id="27"/>
      <w:bookmarkEnd w:id="28"/>
      <w:bookmarkEnd w:id="29"/>
      <w:bookmarkEnd w:id="30"/>
    </w:p>
    <w:p>
      <w:pPr>
        <w:pStyle w:val="ListParagraph"/>
        <w:numPr>
          <w:ilvl w:val="1"/>
          <w:numId w:val="10"/>
        </w:numPr>
        <w:tabs>
          <w:tab w:val="clear" w:pos="1296"/>
          <w:tab w:val="left" w:pos="1276" w:leader="none"/>
        </w:tabs>
        <w:spacing w:lineRule="auto" w:line="240" w:before="0" w:after="0"/>
        <w:ind w:firstLine="567" w:left="0"/>
        <w:contextualSpacing/>
        <w:rPr>
          <w:rFonts w:ascii="Times New Roman" w:hAnsi="Times New Roman"/>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10"/>
        </w:numPr>
        <w:tabs>
          <w:tab w:val="clear" w:pos="1296"/>
          <w:tab w:val="left" w:pos="709" w:leader="none"/>
        </w:tabs>
        <w:spacing w:before="0" w:after="0"/>
        <w:contextualSpacing/>
        <w:rPr>
          <w:rFonts w:ascii="Times New Roman" w:hAnsi="Times New Roman"/>
        </w:rPr>
      </w:pPr>
      <w:bookmarkStart w:id="31" w:name="_Ref39667303"/>
      <w:bookmarkStart w:id="32" w:name="_Ref39667308"/>
      <w:bookmarkStart w:id="33" w:name="_Toc124404953"/>
      <w:bookmarkStart w:id="34" w:name="_Ref39485250"/>
      <w:bookmarkStart w:id="35" w:name="_Ref39485258"/>
      <w:r>
        <w:rPr>
          <w:rFonts w:cs="Times New Roman" w:ascii="Times New Roman" w:hAnsi="Times New Roman"/>
          <w:color w:val="auto"/>
        </w:rPr>
        <w:t>Pasiūlymų vertinimas</w:t>
      </w:r>
      <w:bookmarkEnd w:id="31"/>
      <w:bookmarkEnd w:id="32"/>
      <w:bookmarkEnd w:id="33"/>
      <w:bookmarkEnd w:id="34"/>
      <w:bookmarkEnd w:id="35"/>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10"/>
        </w:numPr>
        <w:spacing w:before="0" w:after="0"/>
        <w:ind w:firstLine="567" w:left="0"/>
        <w:contextualSpacing/>
        <w:jc w:val="both"/>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10"/>
        </w:numPr>
        <w:tabs>
          <w:tab w:val="clear" w:pos="1296"/>
          <w:tab w:val="left" w:pos="567" w:leader="none"/>
        </w:tabs>
        <w:spacing w:before="0" w:after="0"/>
        <w:contextualSpacing/>
        <w:rPr>
          <w:rFonts w:ascii="Times New Roman" w:hAnsi="Times New Roman"/>
        </w:rPr>
      </w:pPr>
      <w:bookmarkStart w:id="36" w:name="_Ref39425999"/>
      <w:bookmarkStart w:id="37" w:name="_Ref39426005"/>
      <w:bookmarkStart w:id="38" w:name="_Toc124404954"/>
      <w:r>
        <w:rPr>
          <w:rFonts w:cs="Times New Roman" w:ascii="Times New Roman" w:hAnsi="Times New Roman"/>
          <w:color w:val="auto"/>
        </w:rPr>
        <w:t>Sutarties sudarymas</w:t>
      </w:r>
      <w:bookmarkEnd w:id="36"/>
      <w:bookmarkEnd w:id="37"/>
      <w:bookmarkEnd w:id="38"/>
    </w:p>
    <w:p>
      <w:pPr>
        <w:pStyle w:val="ListParagraph"/>
        <w:numPr>
          <w:ilvl w:val="1"/>
          <w:numId w:val="10"/>
        </w:numPr>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10"/>
        </w:numPr>
        <w:spacing w:lineRule="auto" w:line="240" w:before="0" w:after="0"/>
        <w:ind w:firstLine="567" w:left="0"/>
        <w:contextualSpacing/>
        <w:jc w:val="both"/>
        <w:rPr>
          <w:rFonts w:ascii="Times New Roman" w:hAnsi="Times New Roman"/>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39" w:name="_Toc147739116"/>
      <w:bookmarkStart w:id="40" w:name="_Toc147739116"/>
      <w:bookmarkEnd w:id="40"/>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rPr>
      </w:pPr>
      <w:bookmarkStart w:id="41" w:name="_Toc124404956"/>
      <w:r>
        <w:rPr>
          <w:rFonts w:cs="Times New Roman" w:ascii="Times New Roman" w:hAnsi="Times New Roman"/>
          <w:color w:val="auto"/>
          <w:sz w:val="21"/>
          <w:szCs w:val="21"/>
        </w:rPr>
        <w:t>Pirkimo sąlygų 1 priedas „Terminai“</w:t>
      </w:r>
      <w:bookmarkEnd w:id="41"/>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8"/>
        <w:gridCol w:w="3492"/>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47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 xml:space="preserve">Pradedamas ne anksčiau nei po </w:t>
            </w:r>
            <w:r>
              <w:rPr>
                <w:rFonts w:cs="Times New Roman" w:ascii="Times New Roman" w:hAnsi="Times New Roman"/>
                <w:sz w:val="24"/>
                <w:szCs w:val="24"/>
              </w:rPr>
              <w:t>30</w:t>
            </w:r>
            <w:r>
              <w:rPr>
                <w:rFonts w:cs="Times New Roman" w:ascii="Times New Roman" w:hAnsi="Times New Roman"/>
                <w:sz w:val="24"/>
                <w:szCs w:val="24"/>
              </w:rPr>
              <w:t xml:space="preserve">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90</w:t>
            </w:r>
            <w:r>
              <w:rPr>
                <w:rFonts w:cs="Times New Roman" w:ascii="Times New Roman" w:hAnsi="Times New Roman"/>
                <w:iCs/>
                <w:sz w:val="24"/>
                <w:szCs w:val="24"/>
              </w:rPr>
              <w:t xml:space="preserve"> </w:t>
            </w:r>
            <w:r>
              <w:rPr>
                <w:rFonts w:cs="Times New Roman" w:ascii="Times New Roman" w:hAnsi="Times New Roman"/>
                <w:iCs/>
                <w:sz w:val="24"/>
                <w:szCs w:val="24"/>
              </w:rPr>
              <w:t>dienų</w:t>
            </w:r>
            <w:r>
              <w:rPr>
                <w:rFonts w:cs="Times New Roman" w:ascii="Times New Roman" w:hAnsi="Times New Roman"/>
                <w:iCs/>
                <w:sz w:val="24"/>
                <w:szCs w:val="24"/>
              </w:rPr>
              <w:t xml:space="preserve">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rPr>
      </w:pPr>
      <w:bookmarkStart w:id="42" w:name="_Ref38539939"/>
      <w:bookmarkStart w:id="43" w:name="_Ref38541068"/>
      <w:bookmarkStart w:id="44" w:name="_Ref38885053"/>
      <w:bookmarkStart w:id="45" w:name="_Ref38899023"/>
      <w:bookmarkStart w:id="46" w:name="_Toc124404957"/>
      <w:r>
        <w:rPr>
          <w:rFonts w:eastAsia="Calibri" w:cs="Times New Roman" w:ascii="Times New Roman" w:hAnsi="Times New Roman"/>
          <w:color w:val="auto"/>
          <w:sz w:val="24"/>
          <w:szCs w:val="24"/>
        </w:rPr>
        <w:t>Pirkimo sąlygų 2 priedas „Techninė specifikacija“</w:t>
      </w:r>
      <w:bookmarkEnd w:id="42"/>
      <w:bookmarkEnd w:id="43"/>
      <w:bookmarkEnd w:id="44"/>
      <w:bookmarkEnd w:id="45"/>
      <w:bookmarkEnd w:id="46"/>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t>Pateikiama atskiram priede.</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Normal"/>
        <w:spacing w:before="0" w:after="160"/>
        <w:jc w:val="center"/>
        <w:rPr>
          <w:rFonts w:ascii="Times New Roman" w:hAnsi="Times New Roman" w:cs="" w:cstheme="majorBidi"/>
          <w:b/>
          <w:bCs/>
          <w:sz w:val="24"/>
          <w:szCs w:val="24"/>
        </w:rPr>
      </w:pPr>
      <w:r>
        <w:rPr>
          <w:rFonts w:cs="" w:cstheme="majorBidi" w:ascii="Times New Roman" w:hAnsi="Times New Roman"/>
          <w:b/>
          <w:bCs/>
          <w:sz w:val="24"/>
          <w:szCs w:val="24"/>
        </w:rPr>
      </w:r>
    </w:p>
    <w:p>
      <w:pPr>
        <w:pStyle w:val="Normal"/>
        <w:jc w:val="center"/>
        <w:rPr>
          <w:rFonts w:ascii="Times New Roman" w:hAnsi="Times New Roman" w:cs="" w:cstheme="majorBidi"/>
          <w:b/>
          <w:bCs/>
          <w:sz w:val="24"/>
          <w:szCs w:val="24"/>
        </w:rPr>
      </w:pPr>
      <w:r>
        <w:rPr>
          <w:rFonts w:cs="" w:cstheme="majorBidi" w:ascii="Times New Roman" w:hAnsi="Times New Roman"/>
          <w:b/>
          <w:bCs/>
          <w:sz w:val="24"/>
          <w:szCs w:val="24"/>
        </w:rPr>
      </w:r>
    </w:p>
    <w:p>
      <w:pPr>
        <w:pStyle w:val="Heading2"/>
        <w:spacing w:before="0" w:after="0"/>
        <w:ind w:left="5103"/>
        <w:rPr>
          <w:rFonts w:ascii="Times New Roman" w:hAnsi="Times New Roman"/>
        </w:rPr>
      </w:pPr>
      <w:bookmarkStart w:id="47" w:name="_Ref38285444"/>
      <w:bookmarkStart w:id="48" w:name="_Ref38291496"/>
      <w:bookmarkStart w:id="49" w:name="_Toc124404958"/>
      <w:r>
        <w:rPr>
          <w:rFonts w:eastAsia="Calibri" w:cs="Times New Roman" w:ascii="Times New Roman" w:hAnsi="Times New Roman"/>
          <w:color w:val="auto"/>
          <w:sz w:val="21"/>
          <w:szCs w:val="21"/>
        </w:rPr>
        <w:t>Pirkimo sąlygų 3 priedas „Tiekėjų pašalinimo pagrindai“</w:t>
      </w:r>
      <w:bookmarkEnd w:id="47"/>
      <w:bookmarkEnd w:id="48"/>
      <w:bookmarkEnd w:id="49"/>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ind w:firstLine="851"/>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1"/>
        </w:numPr>
        <w:ind w:firstLine="851"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1"/>
        </w:numPr>
        <w:ind w:firstLine="851"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1"/>
        </w:numPr>
        <w:ind w:firstLine="851"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1"/>
        </w:numPr>
        <w:ind w:firstLine="851"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5">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1"/>
        </w:numPr>
        <w:ind w:firstLine="851"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1"/>
        </w:numPr>
        <w:ind w:firstLine="851" w:left="0"/>
        <w:jc w:val="both"/>
        <w:rPr>
          <w:rFonts w:ascii="Times New Roman" w:hAnsi="Times New Roman"/>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1"/>
        </w:numPr>
        <w:ind w:firstLine="851" w:left="0"/>
        <w:jc w:val="both"/>
        <w:rPr>
          <w:rFonts w:ascii="Times New Roman" w:hAnsi="Times New Roman"/>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1"/>
        </w:numPr>
        <w:ind w:hanging="0"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18" w:type="dxa"/>
        <w:jc w:val="left"/>
        <w:tblInd w:w="-573" w:type="dxa"/>
        <w:tblLayout w:type="fixed"/>
        <w:tblCellMar>
          <w:top w:w="0" w:type="dxa"/>
          <w:left w:w="108" w:type="dxa"/>
          <w:bottom w:w="0" w:type="dxa"/>
          <w:right w:w="108" w:type="dxa"/>
        </w:tblCellMar>
        <w:tblLook w:firstRow="1" w:noVBand="1" w:lastRow="0" w:firstColumn="1" w:lastColumn="0" w:noHBand="0" w:val="04a0"/>
      </w:tblPr>
      <w:tblGrid>
        <w:gridCol w:w="668"/>
        <w:gridCol w:w="3260"/>
        <w:gridCol w:w="1700"/>
        <w:gridCol w:w="4942"/>
        <w:gridCol w:w="48"/>
      </w:tblGrid>
      <w:tr>
        <w:trPr/>
        <w:tc>
          <w:tcPr>
            <w:tcW w:w="668"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rPr>
            </w:pPr>
            <w:r>
              <w:rPr>
                <w:rFonts w:cs="Times New Roman"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Tiekėjo pašalinimo pagrindai</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eastAsia="Yu Mincho" w:cs="Times New Roman" w:ascii="Times New Roman" w:hAnsi="Times New Roman"/>
                <w:b/>
                <w:bCs/>
                <w:sz w:val="24"/>
                <w:szCs w:val="24"/>
              </w:rPr>
              <w:t>VPĮ straipsnis,  dalis, punktas bei EBVPD formos dalis pildymui</w:t>
            </w:r>
          </w:p>
        </w:tc>
        <w:tc>
          <w:tcPr>
            <w:tcW w:w="494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Pašalinimo pagrindų nebuvimą įrodantys dokumentai</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10618"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b/>
                <w:bCs/>
                <w:sz w:val="24"/>
                <w:szCs w:val="24"/>
                <w:lang w:eastAsia="en-US"/>
              </w:rPr>
              <w:t>Privalomi pašalinimo pagrindai pagal VPĮ 46 straipsnio 1 – 4 dalių nuostatas</w:t>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720"/>
              <w:rPr>
                <w:rFonts w:ascii="Times New Roman" w:hAnsi="Times New Roman" w:cs="Times New Roman"/>
                <w:b/>
                <w:bCs/>
                <w:sz w:val="24"/>
                <w:szCs w:val="24"/>
              </w:rPr>
            </w:pPr>
            <w:r>
              <w:rPr>
                <w:rFonts w:cs="Times New Roman" w:ascii="Times New Roman" w:hAnsi="Times New Roman"/>
                <w:b/>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išrašo iš teismo sprendimo arba</w:t>
            </w:r>
          </w:p>
          <w:p>
            <w:pPr>
              <w:pStyle w:val="NoSpacing"/>
              <w:ind w:left="314"/>
              <w:jc w:val="both"/>
              <w:rPr>
                <w:rFonts w:ascii="Times New Roman" w:hAnsi="Times New Roman"/>
              </w:rPr>
            </w:pPr>
            <w:r>
              <w:rPr>
                <w:rFonts w:cs="Times New Roman" w:ascii="Times New Roman" w:hAnsi="Times New Roman"/>
                <w:sz w:val="24"/>
                <w:szCs w:val="24"/>
              </w:rPr>
              <w:t>Informatikos ir ryšių departamento prie Vidaus reikalų ministerijos pažymos, arba</w:t>
            </w:r>
          </w:p>
          <w:p>
            <w:pPr>
              <w:pStyle w:val="NoSpacing"/>
              <w:ind w:left="314"/>
              <w:jc w:val="both"/>
              <w:rPr>
                <w:rFonts w:ascii="Times New Roman" w:hAnsi="Times New Roman"/>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D2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4"/>
                <w:szCs w:val="24"/>
              </w:rPr>
            </w:pPr>
            <w:r>
              <w:rPr>
                <w:rFonts w:cs="Times New Roman" w:ascii="Times New Roman" w:hAnsi="Times New Roman"/>
                <w:b/>
                <w:bCs/>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rPr>
            </w:pPr>
            <w:r>
              <w:rPr>
                <w:rFonts w:eastAsia="Arial" w:cs="Times New Roman" w:ascii="Times New Roman" w:hAnsi="Times New Roman"/>
                <w:sz w:val="24"/>
                <w:szCs w:val="24"/>
              </w:rPr>
              <w:t>EBVPD III dalies B1 ir B2 punktai</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8"/>
              </w:numPr>
              <w:jc w:val="both"/>
              <w:rPr>
                <w:rFonts w:ascii="Times New Roman" w:hAnsi="Times New Roman"/>
              </w:rPr>
            </w:pPr>
            <w:r>
              <w:rPr>
                <w:rFonts w:cs="Times New Roman" w:ascii="Times New Roman" w:hAnsi="Times New Roman"/>
                <w:sz w:val="24"/>
                <w:szCs w:val="24"/>
              </w:rPr>
              <w:t>išrašo iš teismo sprendimo (jei toks yra)</w:t>
            </w:r>
          </w:p>
          <w:p>
            <w:pPr>
              <w:pStyle w:val="NoSpacing"/>
              <w:numPr>
                <w:ilvl w:val="0"/>
                <w:numId w:val="8"/>
              </w:numPr>
              <w:jc w:val="both"/>
              <w:rPr>
                <w:rFonts w:ascii="Times New Roman" w:hAnsi="Times New Roman"/>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7"/>
              </w:numPr>
              <w:jc w:val="both"/>
              <w:rPr>
                <w:rFonts w:ascii="Times New Roman" w:hAnsi="Times New Roman"/>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bookmarkStart w:id="50" w:name="_Hlk90887843"/>
            <w:bookmarkStart w:id="51" w:name="_Hlk90887843"/>
            <w:bookmarkEnd w:id="51"/>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C10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C12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Pažeista konkurencija, kaip nustatyta VPĮ 27 straipsnio 3 ir 4 dalyse, ir atitinkamos padėties negalima ištaisyti.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C13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C15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pPr>
            <w:hyperlink r:id="rId7">
              <w:r>
                <w:rPr>
                  <w:rStyle w:val="Hyperlink"/>
                  <w:rFonts w:cs="Times New Roman" w:ascii="Times New Roman" w:hAnsi="Times New Roman"/>
                  <w:sz w:val="24"/>
                  <w:szCs w:val="24"/>
                </w:rPr>
                <w:t>https://vpt.lrv.lt/lt/nuorodos/kiti-duomenys/powerbi/melaginga-informacija-pateikusiu-tiekeju-sarasas-3/</w:t>
              </w:r>
            </w:hyperlink>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8">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9">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sz w:val="24"/>
                <w:szCs w:val="24"/>
              </w:rPr>
            </w:pPr>
            <w:r>
              <w:rPr>
                <w:rFonts w:cs="Times New Roman" w:ascii="Times New Roman" w:hAnsi="Times New Roman"/>
                <w:sz w:val="24"/>
                <w:szCs w:val="24"/>
              </w:rPr>
              <w:t>1</w:t>
            </w:r>
          </w:p>
          <w:p>
            <w:pPr>
              <w:pStyle w:val="NoSpacing"/>
              <w:rPr>
                <w:rFonts w:ascii="Times New Roman" w:hAnsi="Times New Roman" w:cs="Times New Roman"/>
                <w:sz w:val="24"/>
                <w:szCs w:val="24"/>
              </w:rPr>
            </w:pPr>
            <w:r>
              <w:rPr>
                <w:rFonts w:cs="Times New Roman" w:ascii="Times New Roman" w:hAnsi="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 kai jis</w:t>
            </w:r>
            <w:bookmarkStart w:id="52" w:name="part_030e6c6c64ba4f96a23474e439d1b80c"/>
            <w:bookmarkEnd w:id="52"/>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0">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rPr>
            </w:pPr>
            <w:r>
              <w:rPr>
                <w:rFonts w:cs="Times New Roman" w:ascii="Times New Roman" w:hAnsi="Times New Roman"/>
                <w:sz w:val="24"/>
                <w:szCs w:val="24"/>
              </w:rPr>
              <w:t>paskelbtą informaciją, taip pat į šiame informaciniame pranešime pateiktą informaciją:</w:t>
            </w:r>
          </w:p>
          <w:p>
            <w:pPr>
              <w:pStyle w:val="NoSpacing"/>
              <w:jc w:val="both"/>
              <w:rPr/>
            </w:pPr>
            <w:hyperlink r:id="rId11">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widowControl/>
              <w:suppressAutoHyphens w:val="true"/>
              <w:bidi w:val="0"/>
              <w:spacing w:lineRule="auto" w:line="276" w:before="0" w:after="160"/>
              <w:jc w:val="left"/>
              <w:rPr/>
            </w:pPr>
            <w:hyperlink r:id="rId13">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rPr>
      </w:pPr>
      <w:bookmarkStart w:id="53" w:name="_Ref38291223"/>
      <w:bookmarkStart w:id="54" w:name="_Ref38291334"/>
      <w:bookmarkStart w:id="55" w:name="_Ref38533412"/>
      <w:bookmarkStart w:id="56" w:name="_Toc124404959"/>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3"/>
      <w:bookmarkEnd w:id="54"/>
      <w:bookmarkEnd w:id="55"/>
      <w:bookmarkEnd w:id="56"/>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Subtitle"/>
        <w:spacing w:lineRule="auto" w:line="240" w:before="0" w:after="0"/>
        <w:jc w:val="center"/>
        <w:rPr>
          <w:rFonts w:ascii="Times New Roman" w:hAnsi="Times New Roman"/>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ListParagraph"/>
        <w:numPr>
          <w:ilvl w:val="0"/>
          <w:numId w:val="30"/>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31"/>
        </w:numPr>
        <w:tabs>
          <w:tab w:val="clear" w:pos="1296"/>
          <w:tab w:val="left" w:pos="851"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32"/>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Kai tiekėjas remiasi kitų ūkio subjektų pajėgumais, kad atitiktų nustatytus ekonominio ir finansinio pajėgumo reikalavimus </w:t>
      </w:r>
      <w:r>
        <w:rPr>
          <w:rFonts w:eastAsia="Calibri" w:cs="Times New Roman" w:ascii="Times New Roman" w:hAnsi="Times New Roman"/>
          <w:sz w:val="24"/>
          <w:szCs w:val="24"/>
        </w:rPr>
        <w:t xml:space="preserve">jie </w:t>
      </w:r>
      <w:r>
        <w:rPr>
          <w:rFonts w:cs="Times New Roman" w:ascii="Times New Roman" w:hAnsi="Times New Roman"/>
          <w:sz w:val="24"/>
          <w:szCs w:val="24"/>
        </w:rPr>
        <w:t>privalo prisiimti solidarią atsakomybę už sutarties įvykdymą.</w:t>
      </w:r>
      <w:r>
        <w:rPr>
          <w:rFonts w:eastAsia="Calibri" w:cs="Times New Roman" w:ascii="Times New Roman" w:hAnsi="Times New Roman"/>
          <w:sz w:val="24"/>
          <w:szCs w:val="24"/>
        </w:rPr>
        <w:t xml:space="preserve">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94"/>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Calibri" w:cs="Times New Roman" w:ascii="Times New Roman" w:hAnsi="Times New Roman" w:eastAsiaTheme="minorHAnsi"/>
                <w:b/>
                <w:bCs/>
                <w:kern w:val="0"/>
                <w:sz w:val="24"/>
                <w:szCs w:val="24"/>
                <w:lang w:val="lt-LT" w:bidi="ar-SA"/>
              </w:rPr>
              <w:t>Eil. Nr.</w:t>
            </w:r>
          </w:p>
        </w:tc>
        <w:tc>
          <w:tcPr>
            <w:tcW w:w="46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cs="Times New Roman" w:ascii="Times New Roman" w:hAnsi="Times New Roman"/>
                <w:b/>
                <w:bCs/>
                <w:kern w:val="0"/>
                <w:sz w:val="24"/>
                <w:szCs w:val="24"/>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cs="Times New Roman" w:ascii="Times New Roman" w:hAnsi="Times New Roman"/>
                <w:b/>
                <w:bCs/>
                <w:kern w:val="0"/>
                <w:sz w:val="24"/>
                <w:szCs w:val="24"/>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both"/>
              <w:rPr>
                <w:rFonts w:ascii="Times New Roman" w:hAnsi="Times New Roman"/>
              </w:rPr>
            </w:pPr>
            <w:r>
              <w:rPr>
                <w:rFonts w:cs="Times New Roman" w:ascii="Times New Roman" w:hAnsi="Times New Roman"/>
                <w:kern w:val="0"/>
                <w:sz w:val="24"/>
                <w:lang w:val="lt-LT" w:bidi="ar-SA"/>
              </w:rPr>
              <w:t>1.</w:t>
            </w:r>
          </w:p>
        </w:tc>
        <w:tc>
          <w:tcPr>
            <w:tcW w:w="4694" w:type="dxa"/>
            <w:tcBorders/>
          </w:tcPr>
          <w:p>
            <w:pPr>
              <w:pStyle w:val="Normal"/>
              <w:widowControl/>
              <w:suppressAutoHyphens w:val="true"/>
              <w:spacing w:lineRule="auto" w:line="240" w:before="0" w:after="0"/>
              <w:ind w:right="45"/>
              <w:jc w:val="both"/>
              <w:rPr>
                <w:rFonts w:ascii="Calibri" w:hAnsi="Calibri" w:cs="" w:asciiTheme="minorHAnsi" w:cstheme="minorBidi" w:hAnsiTheme="minorHAnsi"/>
                <w:sz w:val="24"/>
                <w:szCs w:val="24"/>
              </w:rPr>
            </w:pPr>
            <w:r>
              <w:rPr>
                <w:rFonts w:cs="Times New Roman" w:ascii="Times New Roman" w:hAnsi="Times New Roman"/>
                <w:kern w:val="0"/>
                <w:sz w:val="24"/>
                <w:szCs w:val="24"/>
                <w:lang w:val="lt-LT" w:bidi="ar-SA"/>
              </w:rPr>
              <w:t>Tiekėjas turi turėti specialistus paslaugoms suteikti. Vienam asmeniui nėra ribojamas skirtingų specialistų pozicijų, kurioms jis siūlomas, skaičius.</w:t>
            </w:r>
          </w:p>
          <w:p>
            <w:pPr>
              <w:pStyle w:val="Normal"/>
              <w:widowControl/>
              <w:suppressAutoHyphens w:val="true"/>
              <w:spacing w:lineRule="auto" w:line="240" w:before="0" w:after="0"/>
              <w:ind w:right="45"/>
              <w:jc w:val="both"/>
              <w:rPr>
                <w:sz w:val="24"/>
                <w:szCs w:val="24"/>
              </w:rPr>
            </w:pPr>
            <w:r>
              <w:rPr>
                <w:rFonts w:cs="Times New Roman" w:ascii="Times New Roman" w:hAnsi="Times New Roman"/>
                <w:kern w:val="0"/>
                <w:sz w:val="24"/>
                <w:szCs w:val="24"/>
                <w:lang w:val="lt-LT" w:bidi="ar-SA"/>
              </w:rPr>
              <w:t>Tiekėjas turi pasiūlyti tokį specialistų skaičių, kad galėtų laiku ir kokybiškai suteikti paslaugas pagal techninėje specifikacijoje nurodytas sąlygas.</w:t>
            </w:r>
          </w:p>
          <w:p>
            <w:pPr>
              <w:pStyle w:val="Normal"/>
              <w:widowControl/>
              <w:suppressAutoHyphens w:val="true"/>
              <w:spacing w:lineRule="auto" w:line="240" w:before="0" w:after="0"/>
              <w:ind w:right="45"/>
              <w:jc w:val="both"/>
              <w:rPr>
                <w:sz w:val="24"/>
                <w:szCs w:val="24"/>
              </w:rPr>
            </w:pPr>
            <w:r>
              <w:rPr>
                <w:rFonts w:cs="Times New Roman" w:ascii="Times New Roman" w:hAnsi="Times New Roman"/>
                <w:kern w:val="0"/>
                <w:sz w:val="24"/>
                <w:szCs w:val="24"/>
                <w:lang w:val="lt-LT" w:bidi="ar-SA"/>
              </w:rPr>
              <w:t>Perkančioji organizacija bet kuriuo metu iki sutarties pasirašymo turi teisę paprašyti tiekėjo pateikti jo galimybę suteikti perkamas paslaugas įrodančius dokumentus.</w:t>
            </w:r>
          </w:p>
          <w:p>
            <w:pPr>
              <w:pStyle w:val="Normal"/>
              <w:widowControl/>
              <w:suppressAutoHyphens w:val="true"/>
              <w:spacing w:before="0" w:after="0"/>
              <w:ind w:right="45"/>
              <w:jc w:val="both"/>
              <w:rPr>
                <w:rFonts w:eastAsia="Calibri"/>
                <w:sz w:val="24"/>
                <w:szCs w:val="24"/>
              </w:rPr>
            </w:pPr>
            <w:r>
              <w:rPr>
                <w:rFonts w:eastAsia="Calibri"/>
                <w:kern w:val="0"/>
                <w:sz w:val="24"/>
                <w:szCs w:val="24"/>
                <w:lang w:val="lt-LT" w:bidi="ar-SA"/>
              </w:rPr>
            </w:r>
          </w:p>
        </w:tc>
        <w:tc>
          <w:tcPr>
            <w:tcW w:w="4394" w:type="dxa"/>
            <w:tcBorders/>
          </w:tcPr>
          <w:p>
            <w:pPr>
              <w:pStyle w:val="Normal"/>
              <w:widowControl/>
              <w:suppressAutoHyphens w:val="true"/>
              <w:spacing w:lineRule="auto" w:line="240" w:before="0" w:after="0"/>
              <w:ind w:right="45"/>
              <w:jc w:val="both"/>
              <w:rPr>
                <w:iCs/>
                <w:sz w:val="24"/>
                <w:szCs w:val="24"/>
              </w:rPr>
            </w:pPr>
            <w:r>
              <w:rPr>
                <w:rFonts w:cs="Times New Roman" w:ascii="Times New Roman" w:hAnsi="Times New Roman"/>
                <w:iCs/>
                <w:kern w:val="0"/>
                <w:sz w:val="24"/>
                <w:szCs w:val="24"/>
                <w:lang w:val="lt-LT" w:bidi="ar-SA"/>
              </w:rPr>
              <w:t>Pateikiama su pasiūlymu: EBVPD</w:t>
            </w:r>
          </w:p>
          <w:p>
            <w:pPr>
              <w:pStyle w:val="Normal"/>
              <w:widowControl/>
              <w:suppressAutoHyphens w:val="true"/>
              <w:spacing w:lineRule="auto" w:line="240" w:before="0" w:after="0"/>
              <w:ind w:right="45"/>
              <w:jc w:val="both"/>
              <w:rPr>
                <w:iCs/>
                <w:sz w:val="24"/>
                <w:szCs w:val="24"/>
              </w:rPr>
            </w:pPr>
            <w:r>
              <w:rPr>
                <w:rFonts w:cs="Times New Roman" w:ascii="Times New Roman" w:hAnsi="Times New Roman"/>
                <w:iCs/>
                <w:kern w:val="0"/>
                <w:sz w:val="24"/>
                <w:szCs w:val="24"/>
                <w:lang w:val="lt-LT"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uppressAutoHyphens w:val="true"/>
              <w:spacing w:lineRule="auto" w:line="240" w:before="0" w:after="0"/>
              <w:ind w:right="45"/>
              <w:jc w:val="both"/>
              <w:rPr>
                <w:sz w:val="24"/>
                <w:szCs w:val="24"/>
              </w:rPr>
            </w:pPr>
            <w:r>
              <w:rPr>
                <w:rFonts w:cs="Times New Roman" w:ascii="Times New Roman" w:hAnsi="Times New Roman"/>
                <w:kern w:val="0"/>
                <w:sz w:val="24"/>
                <w:szCs w:val="24"/>
                <w:lang w:val="lt-LT"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uppressAutoHyphens w:val="true"/>
              <w:spacing w:lineRule="auto" w:line="240" w:before="0" w:after="0"/>
              <w:ind w:right="45"/>
              <w:jc w:val="both"/>
              <w:rPr>
                <w:sz w:val="24"/>
                <w:szCs w:val="24"/>
              </w:rPr>
            </w:pPr>
            <w:r>
              <w:rPr>
                <w:rFonts w:cs="Times New Roman" w:ascii="Times New Roman" w:hAnsi="Times New Roman"/>
                <w:kern w:val="0"/>
                <w:sz w:val="24"/>
                <w:szCs w:val="24"/>
                <w:lang w:val="lt-LT"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uppressAutoHyphens w:val="true"/>
              <w:spacing w:before="0" w:after="0"/>
              <w:ind w:right="45"/>
              <w:jc w:val="both"/>
              <w:rPr>
                <w:rFonts w:eastAsia="Calibri"/>
                <w:sz w:val="24"/>
                <w:szCs w:val="24"/>
              </w:rPr>
            </w:pPr>
            <w:r>
              <w:rPr>
                <w:rFonts w:cs="Times New Roman" w:ascii="Times New Roman" w:hAnsi="Times New Roman"/>
                <w:b/>
                <w:i/>
                <w:kern w:val="0"/>
                <w:sz w:val="24"/>
                <w:szCs w:val="24"/>
                <w:lang w:val="lt-LT" w:bidi="ar-SA"/>
              </w:rPr>
              <w:t>CVP IS priemonėmis pateikiamos skaitmeninės dokumentų kopijos.</w:t>
            </w:r>
          </w:p>
        </w:tc>
      </w:tr>
      <w:tr>
        <w:trPr/>
        <w:tc>
          <w:tcPr>
            <w:tcW w:w="830" w:type="dxa"/>
            <w:tcBorders>
              <w:top w:val="nil"/>
            </w:tcBorders>
          </w:tcPr>
          <w:p>
            <w:pPr>
              <w:pStyle w:val="Normal"/>
              <w:widowControl/>
              <w:suppressAutoHyphens w:val="true"/>
              <w:spacing w:lineRule="auto" w:line="240" w:before="0" w:after="0"/>
              <w:ind w:right="45"/>
              <w:jc w:val="both"/>
              <w:rPr>
                <w:rFonts w:ascii="Times New Roman" w:hAnsi="Times New Roman"/>
                <w:lang w:val="en-US"/>
              </w:rPr>
            </w:pPr>
            <w:r>
              <w:rPr>
                <w:rFonts w:ascii="Times New Roman" w:hAnsi="Times New Roman"/>
                <w:kern w:val="0"/>
                <w:lang w:val="en-US" w:bidi="ar-SA"/>
              </w:rPr>
              <w:t>1.1.</w:t>
            </w:r>
          </w:p>
        </w:tc>
        <w:tc>
          <w:tcPr>
            <w:tcW w:w="4694" w:type="dxa"/>
            <w:tcBorders>
              <w:top w:val="nil"/>
            </w:tcBorders>
          </w:tcPr>
          <w:p>
            <w:pPr>
              <w:pStyle w:val="Normal"/>
              <w:widowControl/>
              <w:suppressAutoHyphens w:val="true"/>
              <w:spacing w:before="0" w:after="160"/>
              <w:jc w:val="left"/>
              <w:rPr>
                <w:kern w:val="0"/>
                <w:lang w:val="lt-LT" w:bidi="ar-SA"/>
              </w:rPr>
            </w:pPr>
            <w:r>
              <w:rPr>
                <w:rStyle w:val="Normaltextrun"/>
                <w:rFonts w:cs="Times New Roman" w:ascii="Times New Roman" w:hAnsi="Times New Roman"/>
                <w:color w:val="000000"/>
                <w:kern w:val="0"/>
                <w:sz w:val="24"/>
                <w:szCs w:val="24"/>
                <w:lang w:val="lt-LT" w:bidi="ar-SA"/>
              </w:rPr>
              <w:t xml:space="preserve">Tiekėjo siūlomas </w:t>
            </w:r>
            <w:r>
              <w:rPr>
                <w:rFonts w:cs="Times New Roman" w:ascii="Times New Roman" w:hAnsi="Times New Roman"/>
                <w:b/>
                <w:bCs/>
                <w:color w:val="000000"/>
                <w:kern w:val="0"/>
                <w:sz w:val="24"/>
                <w:szCs w:val="24"/>
                <w:lang w:val="lt-LT" w:bidi="ar-SA"/>
              </w:rPr>
              <w:t>Lektorius Nr.1</w:t>
            </w:r>
            <w:r>
              <w:rPr>
                <w:rStyle w:val="Normaltextrun"/>
                <w:rFonts w:cs="Times New Roman" w:ascii="Times New Roman" w:hAnsi="Times New Roman"/>
                <w:color w:val="000000"/>
                <w:kern w:val="0"/>
                <w:sz w:val="24"/>
                <w:szCs w:val="24"/>
                <w:lang w:val="lt-LT" w:bidi="ar-SA"/>
              </w:rPr>
              <w:t xml:space="preserve"> </w:t>
            </w:r>
            <w:r>
              <w:rPr>
                <w:rFonts w:eastAsia="Calibri" w:cs="Times New Roman" w:ascii="Times New Roman" w:hAnsi="Times New Roman"/>
                <w:color w:val="000000"/>
                <w:kern w:val="0"/>
                <w:sz w:val="24"/>
                <w:szCs w:val="24"/>
                <w:shd w:fill="FFFFFF" w:val="clear"/>
                <w:lang w:val="lt-LT" w:eastAsia="en-US" w:bidi="ar-SA"/>
              </w:rPr>
              <w:t xml:space="preserve">per 3 metus iki pasiūlymo pateikimo pabaigos turi turėti nemažiau kaip 6 akad. val. mokymų vedimo patirtį </w:t>
            </w:r>
            <w:r>
              <w:rPr>
                <w:rFonts w:eastAsia="Times New Roman" w:cs="Times New Roman" w:ascii="Times New Roman" w:hAnsi="Times New Roman"/>
                <w:color w:val="000000"/>
                <w:kern w:val="0"/>
                <w:sz w:val="24"/>
                <w:szCs w:val="24"/>
                <w:shd w:fill="FFFFFF" w:val="clear"/>
                <w:lang w:val="lt-LT" w:eastAsia="en-US" w:bidi="ar-SA"/>
              </w:rPr>
              <w:t xml:space="preserve">racionalaus antimikrobinių vaistų vartojimo  ir skyrimo </w:t>
            </w:r>
            <w:r>
              <w:rPr>
                <w:rFonts w:eastAsia="Calibri" w:cs="Times New Roman" w:ascii="Times New Roman" w:hAnsi="Times New Roman"/>
                <w:color w:val="000000"/>
                <w:kern w:val="0"/>
                <w:sz w:val="24"/>
                <w:szCs w:val="24"/>
                <w:shd w:fill="FFFFFF" w:val="clear"/>
                <w:lang w:val="lt-LT" w:eastAsia="en-US" w:bidi="ar-SA"/>
              </w:rPr>
              <w:t>tema.</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ascii="Times New Roman" w:hAnsi="Times New Roman"/>
                <w:kern w:val="0"/>
                <w:sz w:val="24"/>
                <w:szCs w:val="24"/>
                <w:shd w:fill="FFFFFF" w:val="clear"/>
                <w:lang w:val="lt-LT" w:bidi="ar-SA"/>
              </w:rPr>
            </w:r>
          </w:p>
        </w:tc>
        <w:tc>
          <w:tcPr>
            <w:tcW w:w="4394" w:type="dxa"/>
            <w:tcBorders>
              <w:top w:val="nil"/>
            </w:tcBorders>
          </w:tcPr>
          <w:p>
            <w:pPr>
              <w:pStyle w:val="Normal"/>
              <w:widowControl/>
              <w:suppressAutoHyphens w:val="true"/>
              <w:spacing w:before="0" w:after="160"/>
              <w:ind w:right="45"/>
              <w:jc w:val="both"/>
              <w:rPr>
                <w:color w:val="000000"/>
              </w:rPr>
            </w:pPr>
            <w:r>
              <w:rPr>
                <w:rFonts w:cs="Times New Roman" w:ascii="Times New Roman" w:hAnsi="Times New Roman"/>
                <w:b/>
                <w:bCs/>
                <w:iCs/>
                <w:color w:val="000000"/>
                <w:kern w:val="0"/>
                <w:sz w:val="24"/>
                <w:szCs w:val="24"/>
                <w:lang w:val="lt-LT" w:bidi="ar-SA"/>
              </w:rPr>
              <w:t>Pateikiama su pasiūlymu: EBVPD</w:t>
            </w:r>
          </w:p>
          <w:p>
            <w:pPr>
              <w:pStyle w:val="Normal"/>
              <w:widowControl/>
              <w:suppressAutoHyphens w:val="true"/>
              <w:spacing w:before="0" w:after="160"/>
              <w:ind w:right="45"/>
              <w:jc w:val="both"/>
              <w:rPr>
                <w:iCs/>
                <w:color w:val="000000"/>
                <w:sz w:val="24"/>
                <w:szCs w:val="24"/>
              </w:rPr>
            </w:pPr>
            <w:r>
              <w:rPr>
                <w:iCs/>
                <w:color w:val="000000"/>
                <w:kern w:val="0"/>
                <w:sz w:val="24"/>
                <w:szCs w:val="24"/>
                <w:lang w:val="lt-LT" w:bidi="ar-SA"/>
              </w:rPr>
            </w:r>
          </w:p>
          <w:p>
            <w:pPr>
              <w:pStyle w:val="Normal"/>
              <w:widowControl/>
              <w:suppressAutoHyphens w:val="true"/>
              <w:spacing w:before="0" w:after="160"/>
              <w:ind w:right="45"/>
              <w:jc w:val="both"/>
              <w:rPr>
                <w:color w:val="000000"/>
              </w:rPr>
            </w:pPr>
            <w:r>
              <w:rPr>
                <w:rFonts w:cs="Times New Roman" w:ascii="Times New Roman" w:hAnsi="Times New Roman"/>
                <w:iCs/>
                <w:color w:val="000000"/>
                <w:kern w:val="0"/>
                <w:sz w:val="24"/>
                <w:szCs w:val="24"/>
                <w:lang w:val="lt-LT" w:bidi="ar-SA"/>
              </w:rPr>
              <w:t>Perkančiajai organizacijai atlikus EBVPD patikrinimo procedūrą, patikrinus pasiūlymus ir išrinkus galimą laimėtoją, tik jo yra prašoma šių dokumentų, patvirtinančių atitiktį kvalifikaciniams reikalavimams:</w:t>
            </w:r>
          </w:p>
          <w:p>
            <w:pPr>
              <w:pStyle w:val="ListParagraph"/>
              <w:widowControl/>
              <w:numPr>
                <w:ilvl w:val="0"/>
                <w:numId w:val="33"/>
              </w:numPr>
              <w:tabs>
                <w:tab w:val="clear" w:pos="1296"/>
                <w:tab w:val="left" w:pos="270" w:leader="none"/>
              </w:tabs>
              <w:suppressAutoHyphens w:val="false"/>
              <w:spacing w:lineRule="auto" w:line="240" w:before="0" w:after="0"/>
              <w:ind w:hanging="36" w:left="36" w:right="45"/>
              <w:contextualSpacing/>
              <w:jc w:val="both"/>
              <w:textAlignment w:val="baseline"/>
              <w:rPr>
                <w:color w:val="000000"/>
              </w:rPr>
            </w:pPr>
            <w:r>
              <w:rPr>
                <w:rFonts w:cs="Times New Roman" w:ascii="Times New Roman" w:hAnsi="Times New Roman"/>
                <w:color w:val="000000"/>
                <w:kern w:val="0"/>
                <w:sz w:val="24"/>
                <w:szCs w:val="24"/>
                <w:lang w:val="lt-LT" w:bidi="ar-SA"/>
              </w:rPr>
              <w:t>pažyma apie siūlomo specialisto patirtį;</w:t>
            </w:r>
          </w:p>
          <w:p>
            <w:pPr>
              <w:pStyle w:val="ListParagraph"/>
              <w:widowControl/>
              <w:numPr>
                <w:ilvl w:val="0"/>
                <w:numId w:val="34"/>
              </w:numPr>
              <w:tabs>
                <w:tab w:val="clear" w:pos="1296"/>
                <w:tab w:val="left" w:pos="38" w:leader="none"/>
                <w:tab w:val="left" w:pos="314" w:leader="none"/>
                <w:tab w:val="left" w:pos="432" w:leader="none"/>
              </w:tabs>
              <w:suppressAutoHyphens w:val="false"/>
              <w:spacing w:lineRule="auto" w:line="240" w:before="0" w:after="0"/>
              <w:ind w:hanging="0" w:left="30" w:right="45"/>
              <w:contextualSpacing/>
              <w:jc w:val="both"/>
              <w:textAlignment w:val="baseline"/>
              <w:rPr>
                <w:color w:val="000000"/>
              </w:rPr>
            </w:pPr>
            <w:r>
              <w:rPr>
                <w:rFonts w:cs="Times New Roman" w:ascii="Times New Roman" w:hAnsi="Times New Roman"/>
                <w:color w:val="000000"/>
                <w:kern w:val="0"/>
                <w:sz w:val="24"/>
                <w:szCs w:val="24"/>
                <w:shd w:fill="FFFFFF" w:val="clear"/>
                <w:lang w:val="lt-LT" w:bidi="ar-SA"/>
              </w:rPr>
              <w:t>suteiktų paslaugų perdavimo–priėmimo akto (-us) arba užsakovų pasirašytos pažymos apie tinkamai įgyvendintą sutartį/projektą ar kt.</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cs="Times New Roman" w:ascii="Times New Roman" w:hAnsi="Times New Roman"/>
                <w:b/>
                <w:bCs/>
                <w:i/>
                <w:iCs/>
                <w:color w:val="000000"/>
                <w:kern w:val="0"/>
                <w:sz w:val="24"/>
                <w:szCs w:val="24"/>
                <w:lang w:val="lt-LT" w:bidi="ar-SA"/>
              </w:rPr>
              <w:t>CVP IS priemonėmis pateikiamos skaitmeninės dokumentų kopijos.</w:t>
            </w:r>
          </w:p>
        </w:tc>
      </w:tr>
    </w:tbl>
    <w:p>
      <w:pPr>
        <w:pStyle w:val="Normal"/>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7" w:name="_Ref38291379"/>
      <w:bookmarkStart w:id="58" w:name="_Ref38291394"/>
      <w:bookmarkStart w:id="59" w:name="_Ref38898251"/>
      <w:bookmarkStart w:id="60" w:name="_Toc124404960"/>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57"/>
      <w:bookmarkEnd w:id="58"/>
      <w:bookmarkEnd w:id="59"/>
      <w:bookmarkEnd w:id="60"/>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rPr>
      </w:pPr>
      <w:bookmarkStart w:id="61" w:name="_Ref38540913"/>
      <w:bookmarkStart w:id="62" w:name="_Ref38898051"/>
      <w:bookmarkStart w:id="63" w:name="_Ref38901392"/>
      <w:bookmarkStart w:id="64" w:name="_Toc124404961"/>
      <w:r>
        <w:rPr>
          <w:rFonts w:eastAsia="Calibri" w:cs="Times New Roman" w:ascii="Times New Roman" w:hAnsi="Times New Roman"/>
          <w:color w:val="auto"/>
          <w:sz w:val="21"/>
          <w:szCs w:val="21"/>
        </w:rPr>
        <w:t>Pirkimo sąlygų 6 priedas „Pasiūlymo forma“</w:t>
      </w:r>
      <w:bookmarkEnd w:id="61"/>
      <w:bookmarkEnd w:id="62"/>
      <w:bookmarkEnd w:id="63"/>
      <w:bookmarkEnd w:id="64"/>
    </w:p>
    <w:p>
      <w:pPr>
        <w:pStyle w:val="Normal"/>
        <w:tabs>
          <w:tab w:val="clear" w:pos="1296"/>
          <w:tab w:val="left" w:pos="0" w:leader="none"/>
          <w:tab w:val="left" w:pos="1080" w:leader="none"/>
        </w:tabs>
        <w:spacing w:lineRule="auto" w:line="240" w:before="0" w:after="0"/>
        <w:ind w:firstLine="450"/>
        <w:rPr>
          <w:rFonts w:cs="Times New Roman"/>
          <w:sz w:val="24"/>
          <w:szCs w:val="24"/>
        </w:rPr>
      </w:pPr>
      <w:r>
        <w:rPr>
          <w:rFonts w:cs="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rFonts w:ascii="Times New Roman" w:hAnsi="Times New Roman" w:cs="Times New Roman"/>
          <w:b/>
          <w:bCs/>
          <w:color w:val="333333"/>
          <w:sz w:val="24"/>
          <w:szCs w:val="24"/>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w:t>
      </w:r>
      <w:r>
        <w:rPr>
          <w:rFonts w:cs="Times New Roman" w:ascii="Times New Roman" w:hAnsi="Times New Roman"/>
          <w:b/>
          <w:bCs/>
          <w:color w:val="333333"/>
          <w:sz w:val="24"/>
          <w:szCs w:val="24"/>
        </w:rPr>
        <w:t>MOKYMŲ „RACIONALUS ANTIMIKROBINIŲ VAISTINIŲ PREPARATŲ SKYRIMAS IR VARTOJIMAS“ ORGANIZAVIMO PASLAUGOS</w:t>
      </w:r>
    </w:p>
    <w:p>
      <w:pPr>
        <w:pStyle w:val="Normal"/>
        <w:jc w:val="center"/>
        <w:rPr>
          <w:rFonts w:ascii="Times New Roman" w:hAnsi="Times New Roman" w:cs="Times New Roman"/>
          <w:b/>
          <w:bCs/>
          <w:caps/>
          <w:sz w:val="24"/>
          <w:szCs w:val="24"/>
        </w:rPr>
      </w:pPr>
      <w:r>
        <w:rPr>
          <w:rFonts w:cs="Times New Roman" w:ascii="Times New Roman" w:hAnsi="Times New Roman"/>
          <w:b/>
          <w:bCs/>
          <w:caps/>
          <w:sz w:val="24"/>
          <w:szCs w:val="24"/>
        </w:rPr>
        <w:t>“</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5"/>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8"/>
        <w:gridCol w:w="2373"/>
        <w:gridCol w:w="2467"/>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67"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5" w:name="_Hlk64018374"/>
      <w:r>
        <w:rPr>
          <w:rStyle w:val="Numatytasispastraiposriftas1"/>
          <w:rFonts w:ascii="Times New Roman" w:hAnsi="Times New Roman"/>
          <w:b/>
          <w:bCs/>
          <w:i/>
          <w:sz w:val="24"/>
        </w:rPr>
        <w:t xml:space="preserve">ūkio subjekto, kurio pajėgumais remiamasi, </w:t>
      </w:r>
      <w:bookmarkEnd w:id="65"/>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599"/>
        <w:gridCol w:w="3038"/>
        <w:gridCol w:w="3619"/>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9"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24"/>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raopastraipa1"/>
        <w:numPr>
          <w:ilvl w:val="0"/>
          <w:numId w:val="35"/>
        </w:numPr>
        <w:jc w:val="both"/>
        <w:rPr/>
      </w:pPr>
      <w:r>
        <w:rPr>
          <w:rStyle w:val="Numatytasispastraiposriftas1"/>
          <w:rFonts w:ascii="Times New Roman" w:hAnsi="Times New Roman"/>
          <w:b/>
          <w:iCs/>
          <w:sz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Style w:val="Normaltextrun"/>
          <w:rFonts w:ascii="Times New Roman" w:hAnsi="Times New Roman" w:cs="Times New Roman"/>
          <w:b/>
          <w:bCs/>
          <w:sz w:val="24"/>
          <w:szCs w:val="24"/>
        </w:rPr>
      </w:pPr>
      <w:r>
        <w:rPr>
          <w:rFonts w:cs="Times New Roman" w:ascii="Times New Roman" w:hAnsi="Times New Roman"/>
          <w:b/>
          <w:bCs/>
          <w:sz w:val="24"/>
          <w:szCs w:val="24"/>
        </w:rPr>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2"/>
        <w:gridCol w:w="4250"/>
        <w:gridCol w:w="1555"/>
        <w:gridCol w:w="993"/>
        <w:gridCol w:w="2129"/>
      </w:tblGrid>
      <w:tr>
        <w:trPr/>
        <w:tc>
          <w:tcPr>
            <w:tcW w:w="7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425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rPr>
            </w:pPr>
            <w:r>
              <w:rPr>
                <w:rFonts w:ascii="Times New Roman" w:hAnsi="Times New Roman"/>
                <w:b/>
                <w:bCs/>
                <w:i/>
                <w:iCs/>
                <w:sz w:val="24"/>
                <w:szCs w:val="24"/>
              </w:rPr>
              <w:t>Paslaugų pavadinimas</w:t>
            </w:r>
          </w:p>
        </w:tc>
        <w:tc>
          <w:tcPr>
            <w:tcW w:w="155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i/>
                <w:i/>
                <w:iCs/>
                <w:sz w:val="24"/>
                <w:szCs w:val="24"/>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Eur be PVM*</w:t>
            </w:r>
          </w:p>
        </w:tc>
        <w:tc>
          <w:tcPr>
            <w:tcW w:w="9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Kiekis, vnt.</w:t>
            </w:r>
          </w:p>
        </w:tc>
        <w:tc>
          <w:tcPr>
            <w:tcW w:w="212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vertAlign w:val="superscript"/>
              </w:rPr>
            </w:pPr>
            <w:r>
              <w:rPr>
                <w:rFonts w:ascii="Times New Roman" w:hAnsi="Times New Roman"/>
                <w:i/>
                <w:iCs/>
                <w:sz w:val="24"/>
                <w:szCs w:val="24"/>
              </w:rPr>
              <w:t>Viso kaina (5=3x4), Eur be PVM*</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4250" w:type="dxa"/>
            <w:tcBorders>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1555" w:type="dxa"/>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4</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5</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cs="Times New Roman" w:ascii="Times New Roman" w:hAnsi="Times New Roman"/>
                <w:b/>
                <w:bCs/>
                <w:kern w:val="2"/>
                <w:sz w:val="24"/>
                <w:szCs w:val="24"/>
                <w:lang w:eastAsia="en-US"/>
                <w14:ligatures w14:val="standardContextual"/>
              </w:rPr>
              <w:t>Kontaktinių mokymų organizavimas</w:t>
            </w:r>
          </w:p>
        </w:tc>
        <w:tc>
          <w:tcPr>
            <w:tcW w:w="1555"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10 grupių</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cs="Times New Roman" w:ascii="Times New Roman" w:hAnsi="Times New Roman"/>
                <w:b/>
                <w:bCs/>
                <w:kern w:val="2"/>
                <w:sz w:val="24"/>
                <w:szCs w:val="24"/>
                <w:lang w:eastAsia="en-US"/>
                <w14:ligatures w14:val="standardContextual"/>
              </w:rPr>
              <w:t>Salės nuoma kontaktinių mokymų organizavimui</w:t>
            </w:r>
          </w:p>
        </w:tc>
        <w:tc>
          <w:tcPr>
            <w:tcW w:w="1555"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10 vnt.</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3.</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cs="Times New Roman" w:ascii="Times New Roman" w:hAnsi="Times New Roman"/>
                <w:b/>
                <w:bCs/>
                <w:kern w:val="2"/>
                <w:sz w:val="24"/>
                <w:szCs w:val="24"/>
                <w:lang w:eastAsia="en-US"/>
                <w14:ligatures w14:val="standardContextual"/>
              </w:rPr>
              <w:t>Kontaktiniuose mokymuose dalyvaujančių asmenų maitinimo paslaugos</w:t>
            </w:r>
          </w:p>
        </w:tc>
        <w:tc>
          <w:tcPr>
            <w:tcW w:w="1555"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250 porcijų</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4.</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cs="Times New Roman" w:ascii="Times New Roman" w:hAnsi="Times New Roman"/>
                <w:b/>
                <w:bCs/>
                <w:kern w:val="2"/>
                <w:sz w:val="24"/>
                <w:szCs w:val="24"/>
                <w:lang w:eastAsia="en-US"/>
                <w14:ligatures w14:val="standardContextual"/>
              </w:rPr>
              <w:t>Nuotolinių mokymų organizavimas</w:t>
            </w:r>
          </w:p>
        </w:tc>
        <w:tc>
          <w:tcPr>
            <w:tcW w:w="1555"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10 grupių</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c>
          <w:tcPr>
            <w:tcW w:w="7510"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10"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hd w:val="clear" w:color="auto" w:fill="FFFFFF"/>
        <w:jc w:val="both"/>
        <w:rPr>
          <w:rFonts w:ascii="Times New Roman" w:hAnsi="Times New Roman" w:cs="Times New Roman"/>
          <w:sz w:val="24"/>
          <w:szCs w:val="24"/>
        </w:rPr>
      </w:pPr>
      <w:r>
        <w:rPr>
          <w:rFonts w:cs="Times New Roman" w:ascii="Times New Roman" w:hAnsi="Times New Roman"/>
          <w:b/>
          <w:bCs/>
          <w:sz w:val="24"/>
          <w:szCs w:val="24"/>
        </w:rPr>
        <w:t>5. INFORMACIJA APIE TIEKĖJO SIŪLOMAS EKONOMIŠKAI NAUDINGIAUSIO PASIŪLYMO VERTINIMO REIKŠMES:</w:t>
      </w:r>
    </w:p>
    <w:p>
      <w:pPr>
        <w:pStyle w:val="ListParagraph"/>
        <w:shd w:val="clear" w:color="auto" w:fill="FFFFFF"/>
        <w:rPr>
          <w:rFonts w:ascii="Times New Roman" w:hAnsi="Times New Roman" w:cs="Times New Roman"/>
          <w:sz w:val="24"/>
          <w:szCs w:val="24"/>
        </w:rPr>
      </w:pPr>
      <w:r>
        <w:rPr>
          <w:rFonts w:cs="Times New Roman" w:ascii="Times New Roman" w:hAnsi="Times New Roman"/>
          <w:sz w:val="24"/>
          <w:szCs w:val="24"/>
        </w:rPr>
      </w:r>
    </w:p>
    <w:tbl>
      <w:tblPr>
        <w:tblW w:w="9498" w:type="dxa"/>
        <w:jc w:val="left"/>
        <w:tblInd w:w="-8" w:type="dxa"/>
        <w:tblLayout w:type="fixed"/>
        <w:tblCellMar>
          <w:top w:w="0" w:type="dxa"/>
          <w:left w:w="40" w:type="dxa"/>
          <w:bottom w:w="0" w:type="dxa"/>
          <w:right w:w="40" w:type="dxa"/>
        </w:tblCellMar>
        <w:tblLook w:firstRow="0" w:noVBand="0" w:lastRow="0" w:firstColumn="0" w:lastColumn="0" w:noHBand="0" w:val="0000"/>
      </w:tblPr>
      <w:tblGrid>
        <w:gridCol w:w="702"/>
        <w:gridCol w:w="3834"/>
        <w:gridCol w:w="4962"/>
      </w:tblGrid>
      <w:tr>
        <w:trPr/>
        <w:tc>
          <w:tcPr>
            <w:tcW w:w="70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ascii="Times New Roman" w:hAnsi="Times New Roman" w:cs="Times New Roman"/>
                <w:b/>
                <w:bCs/>
                <w:sz w:val="24"/>
                <w:szCs w:val="24"/>
              </w:rPr>
            </w:pPr>
            <w:r>
              <w:rPr>
                <w:rFonts w:cs="Times New Roman" w:ascii="Times New Roman" w:hAnsi="Times New Roman"/>
                <w:b/>
                <w:bCs/>
                <w:sz w:val="24"/>
                <w:szCs w:val="24"/>
              </w:rPr>
              <w:t>Eil.</w:t>
            </w:r>
          </w:p>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Nr.</w:t>
            </w:r>
          </w:p>
        </w:tc>
        <w:tc>
          <w:tcPr>
            <w:tcW w:w="38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Kriterijaus parametras pagal pirkimo dokumentuose nustatytą pasiūlymų vertinimo sąlygas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Tiekėjo siūloma kriterijaus parametro reikšmė</w:t>
            </w:r>
          </w:p>
        </w:tc>
      </w:tr>
      <w:tr>
        <w:trPr/>
        <w:tc>
          <w:tcPr>
            <w:tcW w:w="70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38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70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cs="Times New Roman" w:ascii="Times New Roman" w:hAnsi="Times New Roman"/>
                <w:i/>
                <w:iCs/>
                <w:sz w:val="24"/>
                <w:szCs w:val="24"/>
              </w:rPr>
              <w:t>1.</w:t>
            </w:r>
          </w:p>
        </w:tc>
        <w:tc>
          <w:tcPr>
            <w:tcW w:w="38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eastAsia="Times New Roman" w:cs="Times New Roman" w:ascii="Times New Roman" w:hAnsi="Times New Roman"/>
                <w:b/>
                <w:sz w:val="24"/>
                <w:szCs w:val="24"/>
              </w:rPr>
              <w:t>Pasiūlytų lektorių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cs="Times New Roman" w:ascii="Times New Roman" w:hAnsi="Times New Roman"/>
                <w:i/>
                <w:iCs/>
                <w:sz w:val="24"/>
                <w:szCs w:val="24"/>
              </w:rPr>
            </w:r>
          </w:p>
        </w:tc>
      </w:tr>
      <w:tr>
        <w:trPr/>
        <w:tc>
          <w:tcPr>
            <w:tcW w:w="70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1.</w:t>
            </w:r>
          </w:p>
        </w:tc>
        <w:tc>
          <w:tcPr>
            <w:tcW w:w="383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160"/>
              <w:ind w:right="105"/>
              <w:rPr>
                <w:rFonts w:ascii="Times New Roman" w:hAnsi="Times New Roman" w:cs="Times New Roman"/>
                <w:sz w:val="24"/>
                <w:szCs w:val="24"/>
              </w:rPr>
            </w:pPr>
            <w:r>
              <w:rPr>
                <w:rFonts w:eastAsia="Calibri" w:cs="Times New Roman" w:ascii="Times New Roman" w:hAnsi="Times New Roman"/>
                <w:b/>
                <w:bCs/>
                <w:sz w:val="24"/>
                <w:szCs w:val="24"/>
              </w:rPr>
              <w:t>Lektoriaus mokymų vedimo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4"/>
                <w:szCs w:val="24"/>
              </w:rPr>
            </w:pPr>
            <w:r>
              <w:rPr>
                <w:rFonts w:cs="Times New Roman" w:ascii="Times New Roman" w:hAnsi="Times New Roman"/>
                <w:i/>
                <w:sz w:val="24"/>
                <w:szCs w:val="24"/>
              </w:rPr>
              <w:t>Tiekėjas nurodo siūlomo lektoriaus vardą, pavardę, per paskutinius 3  metus vestų r</w:t>
            </w:r>
            <w:r>
              <w:rPr>
                <w:rStyle w:val="Normaltextrun"/>
                <w:rFonts w:eastAsia="Times New Roman" w:cs="Times New Roman" w:ascii="Times New Roman" w:hAnsi="Times New Roman"/>
                <w:i/>
                <w:color w:val="000000"/>
                <w:sz w:val="24"/>
                <w:szCs w:val="24"/>
                <w:shd w:fill="FFFFFF" w:val="clear"/>
                <w:lang w:eastAsia="en-US"/>
              </w:rPr>
              <w:t xml:space="preserve">acionalaus antimikrobinių vaistų vartojimo  ir skyrimo </w:t>
            </w:r>
            <w:r>
              <w:rPr>
                <w:rStyle w:val="Normaltextrun"/>
                <w:rFonts w:eastAsia="Calibri" w:cs="Times New Roman" w:ascii="Times New Roman" w:hAnsi="Times New Roman"/>
                <w:i/>
                <w:color w:val="000000"/>
                <w:sz w:val="24"/>
                <w:szCs w:val="24"/>
                <w:shd w:fill="FFFFFF" w:val="clear"/>
                <w:lang w:eastAsia="en-US"/>
              </w:rPr>
              <w:t xml:space="preserve"> tema</w:t>
            </w:r>
            <w:r>
              <w:rPr>
                <w:rFonts w:cs="Times New Roman" w:ascii="Times New Roman" w:hAnsi="Times New Roman"/>
                <w:i/>
                <w:sz w:val="24"/>
                <w:szCs w:val="24"/>
              </w:rPr>
              <w:t xml:space="preserve"> mokymų, datos, trukmė, užsakovas, užsakovo kontaktai, mokymų trukmė kad. valandomis</w:t>
            </w:r>
          </w:p>
        </w:tc>
      </w:tr>
      <w:tr>
        <w:trPr/>
        <w:tc>
          <w:tcPr>
            <w:tcW w:w="70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2.</w:t>
            </w:r>
          </w:p>
        </w:tc>
        <w:tc>
          <w:tcPr>
            <w:tcW w:w="383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160"/>
              <w:ind w:right="45"/>
              <w:jc w:val="both"/>
              <w:rPr>
                <w:rFonts w:ascii="Times New Roman" w:hAnsi="Times New Roman" w:cs="Times New Roman"/>
                <w:sz w:val="24"/>
                <w:szCs w:val="24"/>
              </w:rPr>
            </w:pPr>
            <w:r>
              <w:rPr>
                <w:rFonts w:eastAsia="Times New Roman" w:cs="Times New Roman" w:ascii="Times New Roman" w:hAnsi="Times New Roman"/>
                <w:b/>
                <w:bCs/>
                <w:sz w:val="24"/>
                <w:szCs w:val="24"/>
              </w:rPr>
              <w:t>Lektoriaus praktinio darbo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4"/>
                <w:szCs w:val="24"/>
              </w:rPr>
            </w:pPr>
            <w:r>
              <w:rPr>
                <w:rFonts w:cs="Times New Roman" w:ascii="Times New Roman" w:hAnsi="Times New Roman"/>
                <w:i/>
                <w:sz w:val="24"/>
                <w:szCs w:val="24"/>
              </w:rPr>
              <w:t xml:space="preserve">Tiekėjas nurodo siūlomo lektoriaus vardą ir pavardę, praktinio darbo patirtį </w:t>
            </w:r>
            <w:r>
              <w:rPr>
                <w:rFonts w:eastAsia="Calibri" w:cs="Times New Roman" w:ascii="Times New Roman" w:hAnsi="Times New Roman"/>
                <w:i/>
                <w:sz w:val="24"/>
                <w:szCs w:val="24"/>
                <w:shd w:fill="FFFFFF" w:val="clear"/>
                <w:lang w:eastAsia="en-US"/>
              </w:rPr>
              <w:t>mikrobiologinių tyrimų srityje</w:t>
            </w:r>
            <w:r>
              <w:rPr>
                <w:rFonts w:cs="Times New Roman" w:ascii="Times New Roman" w:hAnsi="Times New Roman"/>
                <w:i/>
                <w:sz w:val="24"/>
                <w:szCs w:val="24"/>
              </w:rPr>
              <w:t xml:space="preserve"> mėnesiais, kur įgyta patirtis, nuo kada iki kada.</w:t>
            </w:r>
          </w:p>
        </w:tc>
      </w:tr>
      <w:tr>
        <w:trPr/>
        <w:tc>
          <w:tcPr>
            <w:tcW w:w="702"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3.</w:t>
            </w:r>
          </w:p>
        </w:tc>
        <w:tc>
          <w:tcPr>
            <w:tcW w:w="3834" w:type="dxa"/>
            <w:tcBorders>
              <w:left w:val="single" w:sz="6" w:space="0" w:color="000000"/>
              <w:bottom w:val="single" w:sz="6" w:space="0" w:color="000000"/>
              <w:right w:val="single" w:sz="6" w:space="0" w:color="000000"/>
            </w:tcBorders>
            <w:shd w:color="auto" w:fill="auto" w:val="clear"/>
          </w:tcPr>
          <w:p>
            <w:pPr>
              <w:pStyle w:val="Normal"/>
              <w:spacing w:before="0" w:after="160"/>
              <w:ind w:right="45"/>
              <w:jc w:val="both"/>
              <w:rPr>
                <w:rFonts w:ascii="Times New Roman" w:hAnsi="Times New Roman" w:cs="Times New Roman"/>
                <w:sz w:val="24"/>
                <w:szCs w:val="24"/>
              </w:rPr>
            </w:pPr>
            <w:r>
              <w:rPr>
                <w:rFonts w:eastAsia="Times New Roman" w:cs="Times New Roman" w:ascii="Times New Roman" w:hAnsi="Times New Roman"/>
                <w:b/>
                <w:bCs/>
                <w:sz w:val="24"/>
                <w:szCs w:val="24"/>
              </w:rPr>
              <w:t>Lektoriaus praktinio darbo patirtis</w:t>
            </w:r>
          </w:p>
        </w:tc>
        <w:tc>
          <w:tcPr>
            <w:tcW w:w="4962"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4"/>
                <w:szCs w:val="24"/>
              </w:rPr>
            </w:pPr>
            <w:r>
              <w:rPr>
                <w:rFonts w:cs="Times New Roman" w:ascii="Times New Roman" w:hAnsi="Times New Roman"/>
                <w:i/>
                <w:sz w:val="24"/>
                <w:szCs w:val="24"/>
              </w:rPr>
              <w:t xml:space="preserve">Tiekėjas nurodo siūlomo lektoriaus vardą ir pavardę, praktinio darbo patirtį </w:t>
            </w:r>
            <w:r>
              <w:rPr>
                <w:rFonts w:eastAsia="Times New Roman" w:cs="Times New Roman" w:ascii="Times New Roman" w:hAnsi="Times New Roman"/>
                <w:i/>
                <w:sz w:val="24"/>
                <w:szCs w:val="24"/>
                <w:shd w:fill="FFFFFF" w:val="clear"/>
                <w:lang w:eastAsia="en-US"/>
              </w:rPr>
              <w:t xml:space="preserve">antimikrobinių vaistinių preparatų skyrimo konsultavimo </w:t>
            </w:r>
            <w:r>
              <w:rPr>
                <w:rFonts w:eastAsia="Calibri" w:cs="Times New Roman" w:ascii="Times New Roman" w:hAnsi="Times New Roman"/>
                <w:i/>
                <w:sz w:val="24"/>
                <w:szCs w:val="24"/>
                <w:shd w:fill="FFFFFF" w:val="clear"/>
                <w:lang w:eastAsia="en-US"/>
              </w:rPr>
              <w:t xml:space="preserve"> srityje</w:t>
            </w:r>
            <w:r>
              <w:rPr>
                <w:rFonts w:cs="Times New Roman" w:ascii="Times New Roman" w:hAnsi="Times New Roman"/>
                <w:i/>
                <w:sz w:val="24"/>
                <w:szCs w:val="24"/>
              </w:rPr>
              <w:t xml:space="preserve"> mėnesiais, kur įgyta patirtis, nuo kada iki kada.</w:t>
            </w:r>
          </w:p>
        </w:tc>
      </w:tr>
    </w:tbl>
    <w:p>
      <w:pPr>
        <w:pStyle w:val="ListParagraph"/>
        <w:shd w:val="clear" w:color="auto" w:fill="FFFFFF"/>
        <w:ind w:left="108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5"/>
        </w:numPr>
        <w:shd w:val="clear" w:color="auto" w:fill="FFFFFF"/>
        <w:tabs>
          <w:tab w:val="clear" w:pos="1296"/>
          <w:tab w:val="left" w:pos="360" w:leader="none"/>
        </w:tabs>
        <w:suppressAutoHyphens w:val="false"/>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Teikdami šį pasiūlymą, mes patvirtiname, kad visa pasiūlyme pateikta informacija yra teisinga, atitinka tikrovę ir apima viską, ko reikia visiškam ir tinkamam sutarties įvykdymui;</w:t>
      </w:r>
    </w:p>
    <w:p>
      <w:pPr>
        <w:pStyle w:val="Normal"/>
        <w:widowControl w:val="false"/>
        <w:numPr>
          <w:ilvl w:val="0"/>
          <w:numId w:val="25"/>
        </w:numPr>
        <w:shd w:val="clear" w:color="auto" w:fill="FFFFFF"/>
        <w:tabs>
          <w:tab w:val="clear" w:pos="1296"/>
          <w:tab w:val="left" w:pos="360" w:leader="none"/>
        </w:tabs>
        <w:suppressAutoHyphens w:val="false"/>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Patvirtiname, kad pirkimo objektas atitinka Pirkimo sąlygų priede Nr. 2 pateiktoje techninėje specifikacijoje nurodytus reikalavimus.</w:t>
      </w:r>
    </w:p>
    <w:p>
      <w:pPr>
        <w:pStyle w:val="Normal"/>
        <w:widowControl w:val="false"/>
        <w:numPr>
          <w:ilvl w:val="0"/>
          <w:numId w:val="25"/>
        </w:numPr>
        <w:shd w:val="clear" w:color="auto" w:fill="FFFFFF"/>
        <w:tabs>
          <w:tab w:val="clear" w:pos="1296"/>
          <w:tab w:val="left" w:pos="360" w:leader="none"/>
        </w:tabs>
        <w:suppressAutoHyphens w:val="false"/>
        <w:spacing w:lineRule="auto" w:line="240" w:before="0" w:after="0"/>
        <w:jc w:val="both"/>
        <w:textAlignment w:val="baseline"/>
        <w:rPr>
          <w:rFonts w:ascii="Times New Roman" w:hAnsi="Times New Roman" w:cs="Times New Roman"/>
          <w:sz w:val="24"/>
          <w:szCs w:val="24"/>
        </w:rPr>
      </w:pPr>
      <w:r>
        <w:rPr>
          <w:rStyle w:val="Numatytasispastraiposriftas1"/>
          <w:rFonts w:cs="Times New Roman" w:ascii="Times New Roman" w:hAnsi="Times New Roman"/>
          <w:sz w:val="24"/>
          <w:szCs w:val="24"/>
        </w:rPr>
        <w:t>Patvirtiname, kad pirkimo sutartį vykdys tik teisę verstis atitinkama veikla turintys asmenys.</w:t>
      </w:r>
    </w:p>
    <w:p>
      <w:pPr>
        <w:pStyle w:val="Standard"/>
        <w:tabs>
          <w:tab w:val="clear" w:pos="1296"/>
          <w:tab w:val="left" w:pos="720" w:leader="none"/>
        </w:tabs>
        <w:jc w:val="both"/>
        <w:rPr>
          <w:rFonts w:ascii="Times New Roman" w:hAnsi="Times New Roman"/>
          <w:sz w:val="24"/>
        </w:rPr>
      </w:pPr>
      <w:r>
        <w:rPr>
          <w:rFonts w:ascii="Times New Roman" w:hAnsi="Times New Roman"/>
          <w:sz w:val="24"/>
        </w:rPr>
      </w:r>
    </w:p>
    <w:p>
      <w:pPr>
        <w:pStyle w:val="Sraopastraipa1"/>
        <w:ind w:left="644"/>
        <w:jc w:val="both"/>
        <w:rPr/>
      </w:pPr>
      <w:r>
        <w:rPr>
          <w:rStyle w:val="Numatytasispastraiposriftas1"/>
          <w:rFonts w:eastAsia="" w:ascii="Times New Roman" w:hAnsi="Times New Roman" w:eastAsiaTheme="majorEastAsia"/>
          <w:sz w:val="24"/>
        </w:rPr>
        <w:t>6. Kartu su pasiūlymu pateikiami šie dokumentai:</w:t>
      </w:r>
    </w:p>
    <w:tbl>
      <w:tblPr>
        <w:tblW w:w="960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eastAsia="" w:ascii="Times New Roman" w:hAnsi="Times New Roman" w:eastAsiaTheme="majorEastAsia"/>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eastAsia="" w:ascii="Times New Roman" w:hAnsi="Times New Roman" w:eastAsiaTheme="majorEastAsia"/>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eastAsia="" w:ascii="Times New Roman" w:hAnsi="Times New Roman" w:eastAsiaTheme="majorEastAsia"/>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eastAsia="" w:ascii="Times New Roman" w:hAnsi="Times New Roman" w:eastAsiaTheme="majorEastAsia"/>
          <w:sz w:val="24"/>
          <w:lang w:val="en-US"/>
        </w:rPr>
        <w:t>6</w:t>
      </w:r>
      <w:r>
        <w:rPr>
          <w:rStyle w:val="Numatytasispastraiposriftas1"/>
          <w:rFonts w:eastAsia="" w:ascii="Times New Roman" w:hAnsi="Times New Roman" w:eastAsiaTheme="majorEastAsia"/>
          <w:sz w:val="24"/>
        </w:rPr>
        <w:t>. Pasiūlymas galioja _________________________________</w:t>
      </w:r>
    </w:p>
    <w:p>
      <w:pPr>
        <w:pStyle w:val="Standard"/>
        <w:shd w:val="clear" w:color="auto" w:fill="FFFFFF"/>
        <w:ind w:firstLine="720"/>
        <w:jc w:val="both"/>
        <w:rPr/>
      </w:pPr>
      <w:r>
        <w:rPr>
          <w:rStyle w:val="Numatytasispastraiposriftas1"/>
          <w:rFonts w:eastAsia="" w:ascii="Times New Roman" w:hAnsi="Times New Roman" w:eastAsiaTheme="majorEastAsia"/>
          <w:bCs/>
          <w:i/>
          <w:sz w:val="24"/>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3"/>
        <w:gridCol w:w="607"/>
        <w:gridCol w:w="1989"/>
        <w:gridCol w:w="709"/>
        <w:gridCol w:w="2667"/>
      </w:tblGrid>
      <w:tr>
        <w:trPr>
          <w:trHeight w:val="186" w:hRule="atLeast"/>
        </w:trPr>
        <w:tc>
          <w:tcPr>
            <w:tcW w:w="3883" w:type="dxa"/>
            <w:tcBorders>
              <w:top w:val="single" w:sz="4" w:space="0" w:color="000000"/>
            </w:tcBorders>
            <w:shd w:color="auto" w:fill="auto" w:val="clear"/>
          </w:tcPr>
          <w:p>
            <w:pPr>
              <w:pStyle w:val="Standard"/>
              <w:rPr/>
            </w:pPr>
            <w:r>
              <w:rPr>
                <w:rStyle w:val="Numatytasispastraiposriftas1"/>
                <w:rFonts w:eastAsia="" w:ascii="Times New Roman" w:hAnsi="Times New Roman" w:eastAsiaTheme="majorEastAsia"/>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eastAsia="" w:ascii="Times New Roman" w:hAnsi="Times New Roman" w:eastAsiaTheme="majorEastAsia"/>
                <w:i/>
                <w:sz w:val="24"/>
                <w:vertAlign w:val="superscript"/>
              </w:rPr>
              <w:t>(Parašas)</w:t>
            </w:r>
          </w:p>
        </w:tc>
        <w:tc>
          <w:tcPr>
            <w:tcW w:w="709"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eastAsia="" w:ascii="Times New Roman" w:hAnsi="Times New Roman" w:eastAsiaTheme="majorEastAsia"/>
                <w:i/>
                <w:sz w:val="24"/>
                <w:vertAlign w:val="superscript"/>
              </w:rPr>
              <w:t>(Vardas, pavardė)</w:t>
            </w:r>
          </w:p>
        </w:tc>
      </w:tr>
    </w:tbl>
    <w:p>
      <w:pPr>
        <w:pStyle w:val="Standard"/>
        <w:rPr/>
      </w:pPr>
      <w:r>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b/>
          <w:sz w:val="24"/>
          <w:szCs w:val="24"/>
        </w:rPr>
      </w:pPr>
      <w:r>
        <w:rPr>
          <w:rFonts w:cs="Times New Roman" w:ascii="Times New Roman" w:hAnsi="Times New Roman"/>
          <w:b/>
          <w:sz w:val="24"/>
          <w:szCs w:val="24"/>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rFonts w:ascii="Times New Roman" w:hAnsi="Times New Roman"/>
        </w:rPr>
      </w:pPr>
      <w:bookmarkStart w:id="66" w:name="_Ref39484039"/>
      <w:bookmarkStart w:id="67" w:name="_Ref40278562"/>
      <w:bookmarkStart w:id="68" w:name="_Toc124404962"/>
      <w:r>
        <w:rPr>
          <w:rFonts w:eastAsia="Calibri" w:cs="Times New Roman" w:ascii="Times New Roman" w:hAnsi="Times New Roman"/>
          <w:color w:val="auto"/>
          <w:sz w:val="21"/>
          <w:szCs w:val="21"/>
        </w:rPr>
        <w:t>Pirkimo sąlygų 7 priedas „Pasiūlymų vertinimo kriterijai ir sąlygos“</w:t>
      </w:r>
      <w:bookmarkEnd w:id="66"/>
      <w:bookmarkEnd w:id="67"/>
      <w:bookmarkEnd w:id="68"/>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tandard"/>
        <w:jc w:val="center"/>
        <w:rPr>
          <w:rFonts w:ascii="Times New Roman" w:hAnsi="Times New Roman"/>
          <w:b/>
          <w:sz w:val="24"/>
        </w:rPr>
      </w:pPr>
      <w:r>
        <w:rPr>
          <w:rFonts w:ascii="Times New Roman" w:hAnsi="Times New Roman"/>
          <w:b/>
          <w:sz w:val="24"/>
        </w:rPr>
      </w:r>
    </w:p>
    <w:p>
      <w:pPr>
        <w:pStyle w:val="Standard"/>
        <w:jc w:val="center"/>
        <w:rPr/>
      </w:pPr>
      <w:r>
        <w:rPr>
          <w:rStyle w:val="Numatytasispastraiposriftas1"/>
          <w:rFonts w:eastAsia="" w:ascii="Times New Roman" w:hAnsi="Times New Roman" w:eastAsiaTheme="majorEastAsia"/>
          <w:color w:val="7030A0"/>
          <w:sz w:val="24"/>
        </w:rPr>
        <w:t xml:space="preserve"> </w:t>
      </w:r>
      <w:r>
        <w:rPr>
          <w:rStyle w:val="Numatytasispastraiposriftas1"/>
          <w:rFonts w:eastAsia="" w:ascii="Times New Roman" w:hAnsi="Times New Roman" w:eastAsiaTheme="majorEastAsia"/>
          <w:b/>
          <w:sz w:val="24"/>
        </w:rPr>
        <w:t>PASIŪLYMŲ VERTINIMO KRITERIJAI IR SĄLYGOS</w:t>
      </w:r>
    </w:p>
    <w:p>
      <w:pPr>
        <w:pStyle w:val="Standard"/>
        <w:ind w:firstLine="567"/>
        <w:jc w:val="both"/>
        <w:rPr>
          <w:rFonts w:ascii="Times New Roman" w:hAnsi="Times New Roman"/>
          <w:bCs/>
          <w:sz w:val="24"/>
        </w:rPr>
      </w:pPr>
      <w:r>
        <w:rPr>
          <w:rFonts w:ascii="Times New Roman" w:hAnsi="Times New Roman"/>
          <w:bCs/>
          <w:sz w:val="24"/>
        </w:rPr>
      </w:r>
    </w:p>
    <w:p>
      <w:pPr>
        <w:pStyle w:val="Normal"/>
        <w:ind w:left="7314"/>
        <w:jc w:val="center"/>
        <w:rPr>
          <w:rFonts w:ascii="Times New Roman" w:hAnsi="Times New Roman" w:cs="Times New Roman"/>
          <w:b/>
          <w:bCs/>
          <w:sz w:val="28"/>
          <w:szCs w:val="28"/>
        </w:rPr>
      </w:pPr>
      <w:r>
        <w:rPr>
          <w:rFonts w:cs="Times New Roman" w:ascii="Times New Roman" w:hAnsi="Times New Roman"/>
          <w:b/>
          <w:bCs/>
          <w:sz w:val="28"/>
          <w:szCs w:val="28"/>
        </w:rPr>
      </w:r>
    </w:p>
    <w:p>
      <w:pPr>
        <w:pStyle w:val="Standard"/>
        <w:tabs>
          <w:tab w:val="clear" w:pos="1296"/>
          <w:tab w:val="left" w:pos="450" w:leader="none"/>
          <w:tab w:val="left" w:pos="851" w:leader="none"/>
        </w:tabs>
        <w:jc w:val="both"/>
        <w:rPr/>
      </w:pPr>
      <w:r>
        <w:rPr>
          <w:rFonts w:ascii="Times New Roman" w:hAnsi="Times New Roman"/>
          <w:sz w:val="24"/>
        </w:rPr>
        <w:t xml:space="preserve">          </w:t>
      </w:r>
      <w:r>
        <w:rPr>
          <w:rFonts w:ascii="Times New Roman" w:hAnsi="Times New Roman"/>
          <w:sz w:val="24"/>
        </w:rPr>
        <w:t>1. Ekonomiškai naudingiausias pasiūlymas išrenkamas pagal kainos ir kokybės (pasirinktas kokybės vertinimo charakteristikos įvertinamos kiekybiškai) santykį. Pasiūlymų vertinimo kriterijai:</w:t>
      </w:r>
    </w:p>
    <w:p>
      <w:pPr>
        <w:pStyle w:val="Paragrafesrasas2lygis"/>
        <w:spacing w:lineRule="auto" w:line="240" w:before="0" w:after="0"/>
        <w:ind w:left="360"/>
        <w:jc w:val="left"/>
        <w:rPr>
          <w:color w:val="7030A0"/>
          <w:sz w:val="24"/>
          <w:szCs w:val="24"/>
        </w:rPr>
      </w:pPr>
      <w:r>
        <w:rPr>
          <w:color w:val="7030A0"/>
          <w:sz w:val="24"/>
          <w:szCs w:val="24"/>
        </w:rPr>
      </w:r>
    </w:p>
    <w:tbl>
      <w:tblPr>
        <w:tblStyle w:val="Lentelstinklelis"/>
        <w:tblW w:w="10100"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815"/>
        <w:gridCol w:w="4165"/>
        <w:gridCol w:w="1035"/>
        <w:gridCol w:w="1744"/>
        <w:gridCol w:w="2341"/>
      </w:tblGrid>
      <w:tr>
        <w:trPr/>
        <w:tc>
          <w:tcPr>
            <w:tcW w:w="6015" w:type="dxa"/>
            <w:gridSpan w:val="3"/>
            <w:tcBorders/>
          </w:tcPr>
          <w:p>
            <w:pPr>
              <w:pStyle w:val="Normal"/>
              <w:widowControl/>
              <w:suppressAutoHyphens w:val="true"/>
              <w:spacing w:before="0" w:after="160"/>
              <w:ind w:left="720"/>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Vertinimo kriterijai</w:t>
            </w:r>
          </w:p>
        </w:tc>
        <w:tc>
          <w:tcPr>
            <w:tcW w:w="1744" w:type="dxa"/>
            <w:tcBorders/>
          </w:tcPr>
          <w:p>
            <w:pPr>
              <w:pStyle w:val="Normal"/>
              <w:widowControl/>
              <w:suppressAutoHyphens w:val="true"/>
              <w:spacing w:before="0" w:after="160"/>
              <w:ind w:left="180"/>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Funkcinio parametro lyginamasis svoris</w:t>
            </w:r>
          </w:p>
        </w:tc>
        <w:tc>
          <w:tcPr>
            <w:tcW w:w="2341" w:type="dxa"/>
            <w:tcBorders/>
          </w:tcPr>
          <w:p>
            <w:pPr>
              <w:pStyle w:val="Normal"/>
              <w:widowControl/>
              <w:suppressAutoHyphens w:val="true"/>
              <w:spacing w:before="0" w:after="160"/>
              <w:ind w:right="269"/>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Lyginamasis svoris ekonominio naudingumo įvertinime</w:t>
            </w:r>
          </w:p>
        </w:tc>
      </w:tr>
      <w:tr>
        <w:trPr/>
        <w:tc>
          <w:tcPr>
            <w:tcW w:w="6015" w:type="dxa"/>
            <w:gridSpan w:val="3"/>
            <w:tcBorders/>
          </w:tcPr>
          <w:p>
            <w:pPr>
              <w:pStyle w:val="Normal"/>
              <w:widowControl/>
              <w:suppressAutoHyphens w:val="true"/>
              <w:spacing w:before="0" w:after="160"/>
              <w:ind w:left="720"/>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Pirmas kriterijus (C) – kaina</w:t>
            </w:r>
          </w:p>
        </w:tc>
        <w:tc>
          <w:tcPr>
            <w:tcW w:w="1744" w:type="dxa"/>
            <w:tcBorders/>
            <w:vAlign w:val="center"/>
          </w:tcPr>
          <w:p>
            <w:pPr>
              <w:pStyle w:val="Normal"/>
              <w:widowControl/>
              <w:suppressAutoHyphens w:val="true"/>
              <w:spacing w:before="0" w:after="160"/>
              <w:ind w:left="720"/>
              <w:contextualSpacing/>
              <w:jc w:val="left"/>
              <w:rPr>
                <w:rFonts w:eastAsia="Times New Roman" w:cs="Times New Roman"/>
                <w:sz w:val="24"/>
                <w:szCs w:val="24"/>
              </w:rPr>
            </w:pPr>
            <w:r>
              <w:rPr>
                <w:rFonts w:eastAsia="Times New Roman" w:cs="Times New Roman"/>
                <w:kern w:val="0"/>
                <w:sz w:val="24"/>
                <w:szCs w:val="24"/>
                <w:lang w:val="lt-LT" w:bidi="ar-SA"/>
              </w:rPr>
            </w:r>
          </w:p>
        </w:tc>
        <w:tc>
          <w:tcPr>
            <w:tcW w:w="2341" w:type="dxa"/>
            <w:tcBorders/>
          </w:tcPr>
          <w:p>
            <w:pPr>
              <w:pStyle w:val="Normal"/>
              <w:widowControl/>
              <w:suppressAutoHyphens w:val="true"/>
              <w:spacing w:before="0" w:after="160"/>
              <w:ind w:left="720"/>
              <w:contextualSpacing/>
              <w:jc w:val="center"/>
              <w:rPr>
                <w:rFonts w:eastAsia="Times New Roman" w:cs="Times New Roman"/>
                <w:b/>
                <w:bCs/>
                <w:sz w:val="24"/>
                <w:szCs w:val="24"/>
              </w:rPr>
            </w:pPr>
            <w:r>
              <w:rPr>
                <w:rFonts w:eastAsia="Times New Roman" w:cs="Times New Roman" w:ascii="Times New Roman" w:hAnsi="Times New Roman"/>
                <w:b/>
                <w:bCs/>
                <w:kern w:val="0"/>
                <w:sz w:val="24"/>
                <w:szCs w:val="24"/>
                <w:lang w:val="lt-LT" w:eastAsia="en-US" w:bidi="ar-SA"/>
              </w:rPr>
              <w:t>X=50</w:t>
            </w:r>
          </w:p>
        </w:tc>
      </w:tr>
      <w:tr>
        <w:trPr/>
        <w:tc>
          <w:tcPr>
            <w:tcW w:w="6015" w:type="dxa"/>
            <w:gridSpan w:val="3"/>
            <w:tcBorders/>
          </w:tcPr>
          <w:p>
            <w:pPr>
              <w:pStyle w:val="Normal"/>
              <w:widowControl/>
              <w:suppressAutoHyphens w:val="true"/>
              <w:spacing w:before="0" w:after="160"/>
              <w:ind w:left="720"/>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Antras kriterijus (T) – kokybė</w:t>
            </w:r>
          </w:p>
        </w:tc>
        <w:tc>
          <w:tcPr>
            <w:tcW w:w="1744" w:type="dxa"/>
            <w:tcBorders/>
          </w:tcPr>
          <w:p>
            <w:pPr>
              <w:pStyle w:val="Normal"/>
              <w:widowControl/>
              <w:suppressAutoHyphens w:val="true"/>
              <w:spacing w:before="0" w:after="160"/>
              <w:ind w:left="720"/>
              <w:contextualSpacing/>
              <w:jc w:val="left"/>
              <w:rPr>
                <w:rFonts w:eastAsia="Times New Roman" w:cs="Times New Roman"/>
                <w:sz w:val="24"/>
                <w:szCs w:val="24"/>
              </w:rPr>
            </w:pPr>
            <w:r>
              <w:rPr>
                <w:rFonts w:eastAsia="Times New Roman" w:cs="Times New Roman"/>
                <w:kern w:val="0"/>
                <w:sz w:val="24"/>
                <w:szCs w:val="24"/>
                <w:lang w:val="lt-LT" w:bidi="ar-SA"/>
              </w:rPr>
            </w:r>
          </w:p>
        </w:tc>
        <w:tc>
          <w:tcPr>
            <w:tcW w:w="2341" w:type="dxa"/>
            <w:tcBorders/>
          </w:tcPr>
          <w:p>
            <w:pPr>
              <w:pStyle w:val="Normal"/>
              <w:widowControl/>
              <w:suppressAutoHyphens w:val="true"/>
              <w:spacing w:before="0" w:after="160"/>
              <w:ind w:left="720"/>
              <w:contextualSpacing/>
              <w:jc w:val="center"/>
              <w:rPr>
                <w:rFonts w:eastAsia="Times New Roman" w:cs="Times New Roman"/>
                <w:b/>
                <w:bCs/>
                <w:sz w:val="24"/>
                <w:szCs w:val="24"/>
              </w:rPr>
            </w:pPr>
            <w:r>
              <w:rPr>
                <w:rFonts w:eastAsia="Times New Roman" w:cs="Times New Roman" w:ascii="Times New Roman" w:hAnsi="Times New Roman"/>
                <w:b/>
                <w:bCs/>
                <w:kern w:val="0"/>
                <w:sz w:val="24"/>
                <w:szCs w:val="24"/>
                <w:lang w:val="lt-LT" w:eastAsia="en-US" w:bidi="ar-SA"/>
              </w:rPr>
              <w:t>Y=5</w:t>
            </w:r>
            <w:r>
              <w:rPr>
                <w:rFonts w:eastAsia="Times New Roman" w:cs="Times New Roman" w:ascii="Times New Roman" w:hAnsi="Times New Roman"/>
                <w:b/>
                <w:bCs/>
                <w:kern w:val="0"/>
                <w:sz w:val="24"/>
                <w:szCs w:val="24"/>
                <w:lang w:val="en-US" w:eastAsia="en-US" w:bidi="ar-SA"/>
              </w:rPr>
              <w:t>0</w:t>
            </w:r>
          </w:p>
        </w:tc>
      </w:tr>
      <w:tr>
        <w:trPr/>
        <w:tc>
          <w:tcPr>
            <w:tcW w:w="815" w:type="dxa"/>
            <w:tcBorders/>
          </w:tcPr>
          <w:p>
            <w:pPr>
              <w:pStyle w:val="Normal"/>
              <w:widowControl/>
              <w:numPr>
                <w:ilvl w:val="0"/>
                <w:numId w:val="27"/>
              </w:numPr>
              <w:suppressAutoHyphens w:val="true"/>
              <w:spacing w:lineRule="auto" w:line="240" w:before="0" w:after="0"/>
              <w:jc w:val="left"/>
              <w:textAlignment w:val="baseline"/>
              <w:rPr>
                <w:rFonts w:eastAsia="Times New Roman" w:cs="Times New Roman"/>
                <w:sz w:val="24"/>
                <w:szCs w:val="24"/>
              </w:rPr>
            </w:pPr>
            <w:r>
              <w:rPr>
                <w:rFonts w:eastAsia="Times New Roman" w:cs="Times New Roman" w:ascii="Times New Roman" w:hAnsi="Times New Roman"/>
                <w:kern w:val="0"/>
                <w:sz w:val="24"/>
                <w:szCs w:val="24"/>
                <w:lang w:val="lt-LT" w:eastAsia="en-US" w:bidi="ar-SA"/>
              </w:rPr>
              <w:t>P</w:t>
            </w:r>
            <w:r>
              <w:rPr>
                <w:rFonts w:eastAsia="Times New Roman" w:cs="Times New Roman" w:ascii="Times New Roman" w:hAnsi="Times New Roman"/>
                <w:kern w:val="0"/>
                <w:sz w:val="24"/>
                <w:szCs w:val="24"/>
                <w:vertAlign w:val="subscript"/>
                <w:lang w:val="lt-LT" w:eastAsia="en-US" w:bidi="ar-SA"/>
              </w:rPr>
              <w:t>1</w:t>
            </w:r>
          </w:p>
        </w:tc>
        <w:tc>
          <w:tcPr>
            <w:tcW w:w="4165" w:type="dxa"/>
            <w:tcBorders/>
          </w:tcPr>
          <w:p>
            <w:pPr>
              <w:pStyle w:val="Normal"/>
              <w:widowControl/>
              <w:suppressAutoHyphens w:val="true"/>
              <w:spacing w:before="0" w:after="160"/>
              <w:ind w:left="89"/>
              <w:contextualSpacing/>
              <w:jc w:val="left"/>
              <w:rPr>
                <w:rFonts w:eastAsia="Times New Roman" w:cs="Times New Roman"/>
                <w:color w:val="FF0000"/>
              </w:rPr>
            </w:pPr>
            <w:r>
              <w:rPr>
                <w:rFonts w:eastAsia="Times New Roman" w:cs="Times New Roman" w:ascii="Times New Roman" w:hAnsi="Times New Roman"/>
                <w:kern w:val="0"/>
                <w:sz w:val="24"/>
                <w:szCs w:val="24"/>
                <w:lang w:val="lt-LT" w:eastAsia="en-US" w:bidi="ar-SA"/>
              </w:rPr>
              <w:t>Pirmas parametras – Lektoriaus mokymų vedimo patirtis</w:t>
            </w:r>
          </w:p>
        </w:tc>
        <w:tc>
          <w:tcPr>
            <w:tcW w:w="1035" w:type="dxa"/>
            <w:tcBorders/>
          </w:tcPr>
          <w:p>
            <w:pPr>
              <w:pStyle w:val="Normal"/>
              <w:widowControl/>
              <w:suppressAutoHyphens w:val="true"/>
              <w:spacing w:before="0" w:after="160"/>
              <w:ind w:left="89"/>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R</w:t>
            </w:r>
            <w:r>
              <w:rPr>
                <w:rFonts w:eastAsia="Times New Roman" w:cs="Times New Roman" w:ascii="Times New Roman" w:hAnsi="Times New Roman"/>
                <w:kern w:val="0"/>
                <w:sz w:val="24"/>
                <w:szCs w:val="24"/>
                <w:vertAlign w:val="subscript"/>
                <w:lang w:val="lt-LT" w:eastAsia="en-US" w:bidi="ar-SA"/>
              </w:rPr>
              <w:t>1max</w:t>
            </w:r>
            <w:r>
              <w:rPr>
                <w:rFonts w:eastAsia="Times New Roman" w:cs="Times New Roman" w:ascii="Times New Roman" w:hAnsi="Times New Roman"/>
                <w:kern w:val="0"/>
                <w:sz w:val="24"/>
                <w:szCs w:val="24"/>
                <w:lang w:val="lt-LT" w:eastAsia="en-US" w:bidi="ar-SA"/>
              </w:rPr>
              <w:t>=9</w:t>
            </w:r>
          </w:p>
        </w:tc>
        <w:tc>
          <w:tcPr>
            <w:tcW w:w="1744" w:type="dxa"/>
            <w:tcBorders/>
          </w:tcPr>
          <w:p>
            <w:pPr>
              <w:pStyle w:val="Normal"/>
              <w:widowControl/>
              <w:suppressAutoHyphens w:val="true"/>
              <w:spacing w:before="0" w:after="160"/>
              <w:ind w:left="269"/>
              <w:contextualSpacing/>
              <w:jc w:val="center"/>
              <w:rPr>
                <w:rFonts w:eastAsia="Times New Roman" w:cs="Times New Roman"/>
                <w:sz w:val="24"/>
                <w:szCs w:val="24"/>
              </w:rPr>
            </w:pPr>
            <w:r>
              <w:rPr>
                <w:rFonts w:eastAsia="Times New Roman" w:cs="Times New Roman" w:ascii="Times New Roman" w:hAnsi="Times New Roman"/>
                <w:kern w:val="0"/>
                <w:sz w:val="24"/>
                <w:szCs w:val="24"/>
                <w:lang w:val="lt-LT" w:eastAsia="en-US" w:bidi="ar-SA"/>
              </w:rPr>
              <w:t>L</w:t>
            </w:r>
            <w:r>
              <w:rPr>
                <w:rFonts w:eastAsia="Times New Roman" w:cs="Times New Roman" w:ascii="Times New Roman" w:hAnsi="Times New Roman"/>
                <w:kern w:val="0"/>
                <w:sz w:val="24"/>
                <w:szCs w:val="24"/>
                <w:vertAlign w:val="subscript"/>
                <w:lang w:val="lt-LT" w:eastAsia="en-US" w:bidi="ar-SA"/>
              </w:rPr>
              <w:t>1</w:t>
            </w:r>
            <w:r>
              <w:rPr>
                <w:rFonts w:eastAsia="Times New Roman" w:cs="Times New Roman" w:ascii="Times New Roman" w:hAnsi="Times New Roman"/>
                <w:kern w:val="0"/>
                <w:sz w:val="24"/>
                <w:szCs w:val="24"/>
                <w:lang w:val="lt-LT" w:eastAsia="en-US" w:bidi="ar-SA"/>
              </w:rPr>
              <w:t>=0,6</w:t>
            </w:r>
          </w:p>
        </w:tc>
        <w:tc>
          <w:tcPr>
            <w:tcW w:w="2341" w:type="dxa"/>
            <w:tcBorders/>
          </w:tcPr>
          <w:p>
            <w:pPr>
              <w:pStyle w:val="Normal"/>
              <w:widowControl/>
              <w:suppressAutoHyphens w:val="true"/>
              <w:spacing w:before="0" w:after="160"/>
              <w:ind w:left="720"/>
              <w:contextualSpacing/>
              <w:jc w:val="center"/>
              <w:rPr>
                <w:rFonts w:eastAsia="Times New Roman" w:cs="Times New Roman"/>
                <w:sz w:val="24"/>
                <w:szCs w:val="24"/>
                <w:lang w:val="en-US"/>
              </w:rPr>
            </w:pPr>
            <w:r>
              <w:rPr>
                <w:rFonts w:eastAsia="Times New Roman" w:cs="Times New Roman"/>
                <w:kern w:val="0"/>
                <w:sz w:val="24"/>
                <w:szCs w:val="24"/>
                <w:lang w:val="en-US" w:bidi="ar-SA"/>
              </w:rPr>
            </w:r>
          </w:p>
        </w:tc>
      </w:tr>
      <w:tr>
        <w:trPr/>
        <w:tc>
          <w:tcPr>
            <w:tcW w:w="815" w:type="dxa"/>
            <w:tcBorders/>
          </w:tcPr>
          <w:p>
            <w:pPr>
              <w:pStyle w:val="Normal"/>
              <w:widowControl/>
              <w:numPr>
                <w:ilvl w:val="0"/>
                <w:numId w:val="27"/>
              </w:numPr>
              <w:suppressAutoHyphens w:val="true"/>
              <w:spacing w:lineRule="auto" w:line="240" w:before="0" w:after="0"/>
              <w:jc w:val="left"/>
              <w:textAlignment w:val="baseline"/>
              <w:rPr>
                <w:rFonts w:eastAsia="Times New Roman" w:cs="Times New Roman"/>
                <w:sz w:val="24"/>
                <w:szCs w:val="24"/>
              </w:rPr>
            </w:pPr>
            <w:r>
              <w:rPr>
                <w:rFonts w:eastAsia="Times New Roman" w:cs="Times New Roman" w:ascii="Times New Roman" w:hAnsi="Times New Roman"/>
                <w:kern w:val="0"/>
                <w:sz w:val="24"/>
                <w:szCs w:val="24"/>
                <w:lang w:val="lt-LT" w:eastAsia="en-US" w:bidi="ar-SA"/>
              </w:rPr>
              <w:t>P</w:t>
            </w:r>
            <w:r>
              <w:rPr>
                <w:rFonts w:eastAsia="Times New Roman" w:cs="Times New Roman" w:ascii="Times New Roman" w:hAnsi="Times New Roman"/>
                <w:kern w:val="0"/>
                <w:sz w:val="24"/>
                <w:szCs w:val="24"/>
                <w:vertAlign w:val="subscript"/>
                <w:lang w:val="lt-LT" w:eastAsia="en-US" w:bidi="ar-SA"/>
              </w:rPr>
              <w:t>2</w:t>
            </w:r>
          </w:p>
        </w:tc>
        <w:tc>
          <w:tcPr>
            <w:tcW w:w="4165" w:type="dxa"/>
            <w:tcBorders/>
          </w:tcPr>
          <w:p>
            <w:pPr>
              <w:pStyle w:val="Normal"/>
              <w:widowControl/>
              <w:suppressAutoHyphens w:val="true"/>
              <w:spacing w:before="0" w:after="160"/>
              <w:ind w:left="180"/>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 xml:space="preserve">Antras parametras – Lektoriaus praktinio darbo patirtis  </w:t>
            </w:r>
            <w:r>
              <w:rPr>
                <w:rFonts w:eastAsia="Calibri" w:cs="Times New Roman" w:ascii="Times New Roman" w:hAnsi="Times New Roman"/>
                <w:kern w:val="0"/>
                <w:sz w:val="24"/>
                <w:szCs w:val="24"/>
                <w:shd w:fill="FFFFFF" w:val="clear"/>
                <w:lang w:val="lt-LT" w:eastAsia="en-US" w:bidi="ar-SA"/>
              </w:rPr>
              <w:t>mikrobiologinių tyrimų srityje</w:t>
            </w:r>
          </w:p>
        </w:tc>
        <w:tc>
          <w:tcPr>
            <w:tcW w:w="1035" w:type="dxa"/>
            <w:tcBorders/>
            <w:vAlign w:val="center"/>
          </w:tcPr>
          <w:p>
            <w:pPr>
              <w:pStyle w:val="Normal"/>
              <w:widowControl/>
              <w:suppressAutoHyphens w:val="true"/>
              <w:spacing w:before="0" w:after="160"/>
              <w:ind w:left="89"/>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R</w:t>
            </w:r>
            <w:r>
              <w:rPr>
                <w:rFonts w:eastAsia="Times New Roman" w:cs="Times New Roman" w:ascii="Times New Roman" w:hAnsi="Times New Roman"/>
                <w:kern w:val="0"/>
                <w:sz w:val="24"/>
                <w:szCs w:val="24"/>
                <w:vertAlign w:val="subscript"/>
                <w:lang w:val="lt-LT" w:eastAsia="en-US" w:bidi="ar-SA"/>
              </w:rPr>
              <w:t>2max</w:t>
            </w:r>
            <w:r>
              <w:rPr>
                <w:rFonts w:eastAsia="Times New Roman" w:cs="Times New Roman" w:ascii="Times New Roman" w:hAnsi="Times New Roman"/>
                <w:kern w:val="0"/>
                <w:sz w:val="24"/>
                <w:szCs w:val="24"/>
                <w:lang w:val="lt-LT" w:eastAsia="en-US" w:bidi="ar-SA"/>
              </w:rPr>
              <w:t>=2</w:t>
            </w:r>
          </w:p>
        </w:tc>
        <w:tc>
          <w:tcPr>
            <w:tcW w:w="1744" w:type="dxa"/>
            <w:tcBorders/>
            <w:vAlign w:val="center"/>
          </w:tcPr>
          <w:p>
            <w:pPr>
              <w:pStyle w:val="Normal"/>
              <w:widowControl/>
              <w:suppressAutoHyphens w:val="true"/>
              <w:spacing w:before="0" w:after="160"/>
              <w:ind w:left="360"/>
              <w:contextualSpacing/>
              <w:jc w:val="center"/>
              <w:rPr>
                <w:rFonts w:eastAsia="Times New Roman" w:cs="Times New Roman"/>
                <w:sz w:val="24"/>
                <w:szCs w:val="24"/>
              </w:rPr>
            </w:pPr>
            <w:r>
              <w:rPr>
                <w:rFonts w:eastAsia="Times New Roman" w:cs="Times New Roman" w:ascii="Times New Roman" w:hAnsi="Times New Roman"/>
                <w:kern w:val="0"/>
                <w:sz w:val="24"/>
                <w:szCs w:val="24"/>
                <w:lang w:val="lt-LT" w:eastAsia="en-US" w:bidi="ar-SA"/>
              </w:rPr>
              <w:t>L</w:t>
            </w:r>
            <w:r>
              <w:rPr>
                <w:rFonts w:eastAsia="Times New Roman" w:cs="Times New Roman" w:ascii="Times New Roman" w:hAnsi="Times New Roman"/>
                <w:kern w:val="0"/>
                <w:sz w:val="24"/>
                <w:szCs w:val="24"/>
                <w:vertAlign w:val="subscript"/>
                <w:lang w:val="lt-LT" w:eastAsia="en-US" w:bidi="ar-SA"/>
              </w:rPr>
              <w:t>2</w:t>
            </w:r>
            <w:r>
              <w:rPr>
                <w:rFonts w:eastAsia="Times New Roman" w:cs="Times New Roman" w:ascii="Times New Roman" w:hAnsi="Times New Roman"/>
                <w:kern w:val="0"/>
                <w:sz w:val="24"/>
                <w:szCs w:val="24"/>
                <w:lang w:val="lt-LT" w:eastAsia="en-US" w:bidi="ar-SA"/>
              </w:rPr>
              <w:t>=0,2</w:t>
            </w:r>
          </w:p>
        </w:tc>
        <w:tc>
          <w:tcPr>
            <w:tcW w:w="2341" w:type="dxa"/>
            <w:tcBorders/>
          </w:tcPr>
          <w:p>
            <w:pPr>
              <w:pStyle w:val="Normal"/>
              <w:widowControl/>
              <w:suppressAutoHyphens w:val="true"/>
              <w:spacing w:before="0" w:after="160"/>
              <w:contextualSpacing/>
              <w:jc w:val="center"/>
              <w:rPr>
                <w:rFonts w:eastAsia="Times New Roman" w:cs="Times New Roman"/>
                <w:sz w:val="24"/>
                <w:szCs w:val="24"/>
              </w:rPr>
            </w:pPr>
            <w:r>
              <w:rPr>
                <w:rFonts w:eastAsia="Times New Roman" w:cs="Times New Roman"/>
                <w:kern w:val="0"/>
                <w:sz w:val="24"/>
                <w:szCs w:val="24"/>
                <w:lang w:val="lt-LT" w:bidi="ar-SA"/>
              </w:rPr>
            </w:r>
            <w:bookmarkStart w:id="69" w:name="_Hlk104880440"/>
            <w:bookmarkStart w:id="70" w:name="_Hlk104880440"/>
            <w:bookmarkEnd w:id="70"/>
          </w:p>
        </w:tc>
      </w:tr>
      <w:tr>
        <w:trPr/>
        <w:tc>
          <w:tcPr>
            <w:tcW w:w="815" w:type="dxa"/>
            <w:tcBorders>
              <w:top w:val="nil"/>
            </w:tcBorders>
          </w:tcPr>
          <w:p>
            <w:pPr>
              <w:pStyle w:val="Normal"/>
              <w:widowControl/>
              <w:numPr>
                <w:ilvl w:val="0"/>
                <w:numId w:val="27"/>
              </w:numPr>
              <w:suppressAutoHyphens w:val="true"/>
              <w:spacing w:lineRule="auto" w:line="240" w:before="0" w:after="0"/>
              <w:jc w:val="left"/>
              <w:textAlignment w:val="baseline"/>
              <w:rPr>
                <w:rFonts w:eastAsia="Times New Roman" w:cs="Times New Roman"/>
                <w:sz w:val="24"/>
                <w:szCs w:val="24"/>
              </w:rPr>
            </w:pPr>
            <w:r>
              <w:rPr>
                <w:rFonts w:eastAsia="Times New Roman" w:cs="Times New Roman"/>
                <w:kern w:val="0"/>
                <w:sz w:val="24"/>
                <w:szCs w:val="24"/>
                <w:lang w:val="lt-LT" w:bidi="ar-SA"/>
              </w:rPr>
            </w:r>
          </w:p>
        </w:tc>
        <w:tc>
          <w:tcPr>
            <w:tcW w:w="4165" w:type="dxa"/>
            <w:tcBorders>
              <w:top w:val="nil"/>
            </w:tcBorders>
          </w:tcPr>
          <w:p>
            <w:pPr>
              <w:pStyle w:val="Normal"/>
              <w:widowControl/>
              <w:suppressAutoHyphens w:val="true"/>
              <w:spacing w:before="0" w:after="160"/>
              <w:ind w:left="180"/>
              <w:contextualSpacing/>
              <w:jc w:val="left"/>
              <w:rPr>
                <w:rFonts w:eastAsia="Times New Roman" w:cs="Times New Roman"/>
                <w:sz w:val="24"/>
                <w:szCs w:val="24"/>
              </w:rPr>
            </w:pPr>
            <w:r>
              <w:rPr>
                <w:rFonts w:eastAsia="Times New Roman" w:cs="Times New Roman" w:ascii="Times New Roman" w:hAnsi="Times New Roman"/>
                <w:kern w:val="0"/>
                <w:sz w:val="24"/>
                <w:szCs w:val="24"/>
                <w:lang w:val="lt-LT" w:eastAsia="en-US" w:bidi="ar-SA"/>
              </w:rPr>
              <w:t xml:space="preserve">Trečias parametras – Lektoriaus praktinio darbo patirtis  </w:t>
            </w:r>
            <w:r>
              <w:rPr>
                <w:rFonts w:eastAsia="Times New Roman" w:cs="Times New Roman" w:ascii="Times New Roman" w:hAnsi="Times New Roman"/>
                <w:kern w:val="0"/>
                <w:sz w:val="24"/>
                <w:szCs w:val="24"/>
                <w:shd w:fill="FFFFFF" w:val="clear"/>
                <w:lang w:val="lt-LT" w:eastAsia="en-US" w:bidi="ar-SA"/>
              </w:rPr>
              <w:t xml:space="preserve">antimikrobinių vaistinių preparatų skyrimo konsultavimo </w:t>
            </w:r>
            <w:r>
              <w:rPr>
                <w:rFonts w:eastAsia="Calibri" w:cs="Times New Roman" w:ascii="Times New Roman" w:hAnsi="Times New Roman"/>
                <w:kern w:val="0"/>
                <w:sz w:val="24"/>
                <w:szCs w:val="24"/>
                <w:shd w:fill="FFFFFF" w:val="clear"/>
                <w:lang w:val="lt-LT" w:eastAsia="en-US" w:bidi="ar-SA"/>
              </w:rPr>
              <w:t xml:space="preserve"> srityje</w:t>
            </w:r>
          </w:p>
        </w:tc>
        <w:tc>
          <w:tcPr>
            <w:tcW w:w="1035" w:type="dxa"/>
            <w:tcBorders>
              <w:top w:val="nil"/>
            </w:tcBorders>
            <w:vAlign w:val="center"/>
          </w:tcPr>
          <w:p>
            <w:pPr>
              <w:pStyle w:val="Normal"/>
              <w:widowControl/>
              <w:suppressAutoHyphens w:val="true"/>
              <w:spacing w:before="0" w:after="160"/>
              <w:ind w:left="89"/>
              <w:contextualSpacing/>
              <w:jc w:val="left"/>
              <w:rPr>
                <w:rFonts w:eastAsia="Times New Roman" w:cs="Times New Roman"/>
                <w:sz w:val="24"/>
                <w:szCs w:val="24"/>
              </w:rPr>
            </w:pPr>
            <w:r>
              <w:rPr>
                <w:rFonts w:eastAsia="Times New Roman" w:cs="Times New Roman" w:ascii="Times New Roman" w:hAnsi="Times New Roman"/>
                <w:kern w:val="0"/>
                <w:sz w:val="24"/>
                <w:szCs w:val="24"/>
                <w:lang w:val="en-US" w:eastAsia="en-US" w:bidi="ar-SA"/>
              </w:rPr>
              <w:t>R</w:t>
            </w:r>
            <w:r>
              <w:rPr>
                <w:rFonts w:eastAsia="Times New Roman" w:cs="Times New Roman" w:ascii="Times New Roman" w:hAnsi="Times New Roman"/>
                <w:kern w:val="0"/>
                <w:sz w:val="24"/>
                <w:szCs w:val="24"/>
                <w:vertAlign w:val="subscript"/>
                <w:lang w:val="en-US" w:eastAsia="en-US" w:bidi="ar-SA"/>
              </w:rPr>
              <w:t>3max</w:t>
            </w:r>
            <w:r>
              <w:rPr>
                <w:rFonts w:eastAsia="Times New Roman" w:cs="Times New Roman" w:ascii="Times New Roman" w:hAnsi="Times New Roman"/>
                <w:kern w:val="0"/>
                <w:sz w:val="24"/>
                <w:szCs w:val="24"/>
                <w:lang w:val="lt-LT" w:eastAsia="en-US" w:bidi="ar-SA"/>
              </w:rPr>
              <w:t>=2</w:t>
            </w:r>
          </w:p>
        </w:tc>
        <w:tc>
          <w:tcPr>
            <w:tcW w:w="1744" w:type="dxa"/>
            <w:tcBorders>
              <w:top w:val="nil"/>
            </w:tcBorders>
            <w:vAlign w:val="center"/>
          </w:tcPr>
          <w:p>
            <w:pPr>
              <w:pStyle w:val="Normal"/>
              <w:widowControl/>
              <w:suppressAutoHyphens w:val="true"/>
              <w:spacing w:before="0" w:after="160"/>
              <w:ind w:left="360"/>
              <w:contextualSpacing/>
              <w:jc w:val="center"/>
              <w:rPr>
                <w:rFonts w:eastAsia="Times New Roman" w:cs="Times New Roman"/>
                <w:sz w:val="24"/>
                <w:szCs w:val="24"/>
              </w:rPr>
            </w:pPr>
            <w:r>
              <w:rPr>
                <w:rFonts w:eastAsia="Times New Roman" w:cs="Times New Roman" w:ascii="Times New Roman" w:hAnsi="Times New Roman"/>
                <w:kern w:val="0"/>
                <w:sz w:val="24"/>
                <w:szCs w:val="24"/>
                <w:lang w:val="lt-LT" w:eastAsia="en-US" w:bidi="ar-SA"/>
              </w:rPr>
              <w:t>L</w:t>
            </w:r>
            <w:r>
              <w:rPr>
                <w:rFonts w:eastAsia="Times New Roman" w:cs="Times New Roman" w:ascii="Times New Roman" w:hAnsi="Times New Roman"/>
                <w:kern w:val="0"/>
                <w:sz w:val="24"/>
                <w:szCs w:val="24"/>
                <w:vertAlign w:val="subscript"/>
                <w:lang w:val="lt-LT" w:eastAsia="en-US" w:bidi="ar-SA"/>
              </w:rPr>
              <w:t>2</w:t>
            </w:r>
            <w:r>
              <w:rPr>
                <w:rFonts w:eastAsia="Times New Roman" w:cs="Times New Roman" w:ascii="Times New Roman" w:hAnsi="Times New Roman"/>
                <w:kern w:val="0"/>
                <w:sz w:val="24"/>
                <w:szCs w:val="24"/>
                <w:lang w:val="lt-LT" w:eastAsia="en-US" w:bidi="ar-SA"/>
              </w:rPr>
              <w:t>=0,2</w:t>
            </w:r>
          </w:p>
        </w:tc>
        <w:tc>
          <w:tcPr>
            <w:tcW w:w="2341" w:type="dxa"/>
            <w:tcBorders>
              <w:top w:val="nil"/>
            </w:tcBorders>
          </w:tcPr>
          <w:p>
            <w:pPr>
              <w:pStyle w:val="Normal"/>
              <w:widowControl/>
              <w:suppressAutoHyphens w:val="true"/>
              <w:spacing w:before="0" w:after="160"/>
              <w:contextualSpacing/>
              <w:jc w:val="center"/>
              <w:rPr>
                <w:rFonts w:eastAsia="Times New Roman" w:cs="Times New Roman"/>
                <w:sz w:val="24"/>
                <w:szCs w:val="24"/>
              </w:rPr>
            </w:pPr>
            <w:r>
              <w:rPr>
                <w:rFonts w:eastAsia="Times New Roman" w:cs="Times New Roman"/>
                <w:kern w:val="0"/>
                <w:sz w:val="24"/>
                <w:szCs w:val="24"/>
                <w:lang w:val="lt-LT" w:bidi="ar-SA"/>
              </w:rPr>
            </w:r>
          </w:p>
        </w:tc>
      </w:tr>
    </w:tbl>
    <w:p>
      <w:pPr>
        <w:pStyle w:val="Paragrafesrasas2lygis"/>
        <w:spacing w:lineRule="auto" w:line="240" w:before="0" w:after="0"/>
        <w:jc w:val="left"/>
        <w:rPr>
          <w:color w:val="7030A0"/>
          <w:sz w:val="24"/>
          <w:szCs w:val="24"/>
        </w:rPr>
      </w:pPr>
      <w:r>
        <w:rPr>
          <w:color w:val="7030A0"/>
          <w:sz w:val="24"/>
          <w:szCs w:val="24"/>
        </w:rPr>
      </w:r>
    </w:p>
    <w:p>
      <w:pPr>
        <w:pStyle w:val="ListParagraph"/>
        <w:tabs>
          <w:tab w:val="clear" w:pos="1296"/>
          <w:tab w:val="left" w:pos="284" w:leader="none"/>
          <w:tab w:val="left" w:pos="851" w:leader="none"/>
        </w:tabs>
        <w:ind w:left="0"/>
        <w:jc w:val="both"/>
        <w:rPr>
          <w:rFonts w:ascii="Times New Roman" w:hAnsi="Times New Roman" w:cs="Times New Roman"/>
          <w:sz w:val="24"/>
          <w:szCs w:val="24"/>
        </w:rPr>
      </w:pPr>
      <w:r>
        <w:rPr>
          <w:rFonts w:cs="Times New Roman" w:ascii="Times New Roman" w:hAnsi="Times New Roman"/>
          <w:sz w:val="24"/>
          <w:szCs w:val="24"/>
        </w:rPr>
        <w:t>2. Pasiūlymo ekonominis naudingumas (EN) apskaičiuojamas sudedant tiekėjo Pasiūlymo kainos (C) ir kokybės kriterijaus (T) balus (ekonominio naudingumo balas apvalinimas dviejų skaitmenų po kablelio tikslumu):</w:t>
      </w:r>
    </w:p>
    <w:p>
      <w:pPr>
        <w:pStyle w:val="Standard"/>
        <w:tabs>
          <w:tab w:val="clear" w:pos="1296"/>
          <w:tab w:val="left" w:pos="0" w:leader="none"/>
          <w:tab w:val="left" w:pos="567" w:leader="none"/>
        </w:tabs>
        <w:ind w:left="720"/>
        <w:jc w:val="center"/>
        <w:rPr>
          <w:rFonts w:ascii="Times New Roman" w:hAnsi="Times New Roman"/>
          <w:sz w:val="24"/>
        </w:rPr>
      </w:pPr>
      <w:r>
        <w:rPr>
          <w:rFonts w:ascii="Times New Roman" w:hAnsi="Times New Roman"/>
          <w:b/>
          <w:i/>
          <w:sz w:val="24"/>
        </w:rPr>
        <w:t>EN = C + T</w:t>
      </w:r>
    </w:p>
    <w:p>
      <w:pPr>
        <w:pStyle w:val="Standard"/>
        <w:numPr>
          <w:ilvl w:val="0"/>
          <w:numId w:val="27"/>
        </w:numPr>
        <w:tabs>
          <w:tab w:val="clear" w:pos="1296"/>
          <w:tab w:val="left" w:pos="0" w:leader="none"/>
          <w:tab w:val="left" w:pos="567" w:leader="none"/>
        </w:tabs>
        <w:ind w:hanging="0" w:left="0"/>
        <w:jc w:val="center"/>
        <w:textAlignment w:val="baseline"/>
        <w:rPr>
          <w:rFonts w:ascii="Times New Roman" w:hAnsi="Times New Roman"/>
          <w:sz w:val="24"/>
        </w:rPr>
      </w:pPr>
      <w:r>
        <w:rPr>
          <w:rFonts w:ascii="Times New Roman" w:hAnsi="Times New Roman"/>
          <w:sz w:val="24"/>
        </w:rPr>
        <w:t>Kriterijaus „Pasiūlymo kaina“ (C) balai apskaičiuojami mažiausios pasiūlytos pasiūlymo kainos (C</w:t>
      </w:r>
      <w:r>
        <w:rPr>
          <w:rFonts w:ascii="Times New Roman" w:hAnsi="Times New Roman"/>
          <w:sz w:val="24"/>
          <w:vertAlign w:val="subscript"/>
        </w:rPr>
        <w:t>min</w:t>
      </w:r>
      <w:r>
        <w:rPr>
          <w:rFonts w:ascii="Times New Roman" w:hAnsi="Times New Roman"/>
          <w:sz w:val="24"/>
        </w:rPr>
        <w:t>) ir vertinamo pasiūlymo kainos (C</w:t>
      </w:r>
      <w:r>
        <w:rPr>
          <w:rFonts w:ascii="Times New Roman" w:hAnsi="Times New Roman"/>
          <w:sz w:val="24"/>
          <w:vertAlign w:val="subscript"/>
        </w:rPr>
        <w:t>p</w:t>
      </w:r>
      <w:r>
        <w:rPr>
          <w:rFonts w:ascii="Times New Roman" w:hAnsi="Times New Roman"/>
          <w:sz w:val="24"/>
        </w:rPr>
        <w:t>) santykį padauginant iš kainos lyginamojo svorio (X) pagal šią formulę:</w:t>
      </w:r>
    </w:p>
    <w:p>
      <w:pPr>
        <w:pStyle w:val="Standard"/>
        <w:tabs>
          <w:tab w:val="clear" w:pos="1296"/>
          <w:tab w:val="left" w:pos="284" w:leader="none"/>
        </w:tabs>
        <w:ind w:left="720"/>
        <w:jc w:val="center"/>
        <w:rPr>
          <w:rFonts w:ascii="Times New Roman" w:hAnsi="Times New Roman"/>
          <w:sz w:val="24"/>
        </w:rPr>
      </w:pPr>
      <w:r>
        <w:rPr/>
        <w:drawing>
          <wp:inline distT="0" distB="0" distL="0" distR="0">
            <wp:extent cx="777240" cy="464820"/>
            <wp:effectExtent l="0" t="0" r="0" b="0"/>
            <wp:docPr id="1" name="image1.png"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  Description automatically generated with medium confidence"/>
                    <pic:cNvPicPr>
                      <a:picLocks noChangeAspect="1" noChangeArrowheads="1"/>
                    </pic:cNvPicPr>
                  </pic:nvPicPr>
                  <pic:blipFill>
                    <a:blip r:embed="rId14"/>
                    <a:stretch>
                      <a:fillRect/>
                    </a:stretch>
                  </pic:blipFill>
                  <pic:spPr bwMode="auto">
                    <a:xfrm>
                      <a:off x="0" y="0"/>
                      <a:ext cx="777240" cy="464820"/>
                    </a:xfrm>
                    <a:prstGeom prst="rect">
                      <a:avLst/>
                    </a:prstGeom>
                  </pic:spPr>
                </pic:pic>
              </a:graphicData>
            </a:graphic>
          </wp:inline>
        </w:drawing>
      </w:r>
    </w:p>
    <w:p>
      <w:pPr>
        <w:pStyle w:val="Standard"/>
        <w:tabs>
          <w:tab w:val="clear" w:pos="1296"/>
          <w:tab w:val="left" w:pos="284" w:leader="none"/>
        </w:tabs>
        <w:ind w:left="720"/>
        <w:jc w:val="center"/>
        <w:rPr>
          <w:rFonts w:ascii="Times New Roman" w:hAnsi="Times New Roman"/>
          <w:sz w:val="24"/>
        </w:rPr>
      </w:pPr>
      <w:r>
        <w:rPr>
          <w:rFonts w:ascii="Times New Roman" w:hAnsi="Times New Roman"/>
          <w:sz w:val="24"/>
        </w:rPr>
      </w:r>
    </w:p>
    <w:p>
      <w:pPr>
        <w:pStyle w:val="Standard"/>
        <w:ind w:left="720"/>
        <w:jc w:val="both"/>
        <w:rPr>
          <w:rFonts w:ascii="Times New Roman" w:hAnsi="Times New Roman"/>
          <w:sz w:val="24"/>
        </w:rPr>
      </w:pPr>
      <w:r>
        <w:rPr>
          <w:rFonts w:ascii="Times New Roman" w:hAnsi="Times New Roman"/>
          <w:i/>
          <w:sz w:val="24"/>
        </w:rPr>
        <w:t>C</w:t>
      </w:r>
      <w:r>
        <w:rPr>
          <w:rFonts w:ascii="Times New Roman" w:hAnsi="Times New Roman"/>
          <w:sz w:val="24"/>
        </w:rPr>
        <w:t xml:space="preserve"> – Pasiūlymo kaina konkretaus dalyvio pagal nurodytą kriterijų (balais);</w:t>
      </w:r>
    </w:p>
    <w:p>
      <w:pPr>
        <w:pStyle w:val="Standard"/>
        <w:tabs>
          <w:tab w:val="clear" w:pos="1296"/>
          <w:tab w:val="left" w:pos="709" w:leader="none"/>
        </w:tabs>
        <w:ind w:left="720"/>
        <w:jc w:val="both"/>
        <w:rPr>
          <w:rFonts w:ascii="Times New Roman" w:hAnsi="Times New Roman"/>
          <w:sz w:val="24"/>
        </w:rPr>
      </w:pPr>
      <w:r>
        <w:rPr>
          <w:rFonts w:ascii="Times New Roman" w:hAnsi="Times New Roman"/>
          <w:i/>
          <w:sz w:val="24"/>
        </w:rPr>
        <w:t>C</w:t>
      </w:r>
      <w:r>
        <w:rPr>
          <w:rFonts w:ascii="Times New Roman" w:hAnsi="Times New Roman"/>
          <w:i/>
          <w:sz w:val="24"/>
          <w:vertAlign w:val="subscript"/>
        </w:rPr>
        <w:t xml:space="preserve">min </w:t>
      </w:r>
      <w:r>
        <w:rPr>
          <w:rFonts w:ascii="Times New Roman" w:hAnsi="Times New Roman"/>
          <w:sz w:val="24"/>
        </w:rPr>
        <w:t>– visų dalyvių pasiūlymų mažiausia Pasiūlymo kaina (eurais);</w:t>
      </w:r>
    </w:p>
    <w:p>
      <w:pPr>
        <w:pStyle w:val="Standard"/>
        <w:ind w:left="720"/>
        <w:jc w:val="both"/>
        <w:rPr>
          <w:rFonts w:ascii="Times New Roman" w:hAnsi="Times New Roman"/>
          <w:sz w:val="24"/>
        </w:rPr>
      </w:pPr>
      <w:r>
        <w:rPr>
          <w:rFonts w:ascii="Times New Roman" w:hAnsi="Times New Roman"/>
          <w:i/>
          <w:sz w:val="24"/>
        </w:rPr>
        <w:t>C</w:t>
      </w:r>
      <w:r>
        <w:rPr>
          <w:rFonts w:ascii="Times New Roman" w:hAnsi="Times New Roman"/>
          <w:i/>
          <w:sz w:val="24"/>
          <w:vertAlign w:val="subscript"/>
        </w:rPr>
        <w:t>p</w:t>
      </w:r>
      <w:r>
        <w:rPr>
          <w:rFonts w:ascii="Times New Roman" w:hAnsi="Times New Roman"/>
          <w:i/>
          <w:sz w:val="24"/>
        </w:rPr>
        <w:t xml:space="preserve"> </w:t>
      </w:r>
      <w:r>
        <w:rPr>
          <w:rFonts w:ascii="Times New Roman" w:hAnsi="Times New Roman"/>
          <w:sz w:val="24"/>
        </w:rPr>
        <w:t xml:space="preserve"> – konkretaus dalyvio pasiūlyta Pasiūlymo kaina (eurais);</w:t>
      </w:r>
    </w:p>
    <w:p>
      <w:pPr>
        <w:pStyle w:val="Standard"/>
        <w:tabs>
          <w:tab w:val="clear" w:pos="1296"/>
          <w:tab w:val="left" w:pos="714" w:leader="none"/>
          <w:tab w:val="left" w:pos="851" w:leader="none"/>
          <w:tab w:val="left" w:pos="1134" w:leader="none"/>
        </w:tabs>
        <w:ind w:left="720"/>
        <w:jc w:val="both"/>
        <w:rPr>
          <w:rFonts w:ascii="Times New Roman" w:hAnsi="Times New Roman"/>
          <w:sz w:val="24"/>
        </w:rPr>
      </w:pPr>
      <w:r>
        <w:rPr>
          <w:rFonts w:ascii="Times New Roman" w:hAnsi="Times New Roman"/>
          <w:i/>
          <w:sz w:val="24"/>
        </w:rPr>
        <w:t>X</w:t>
      </w:r>
      <w:r>
        <w:rPr>
          <w:rFonts w:ascii="Times New Roman" w:hAnsi="Times New Roman"/>
          <w:sz w:val="24"/>
        </w:rPr>
        <w:t xml:space="preserve"> – lyginamojo svorio ekonominio naudingumo įvertinime koeficientas.</w:t>
      </w:r>
    </w:p>
    <w:p>
      <w:pPr>
        <w:pStyle w:val="Standard"/>
        <w:tabs>
          <w:tab w:val="clear" w:pos="1296"/>
          <w:tab w:val="left" w:pos="714" w:leader="none"/>
          <w:tab w:val="left" w:pos="851" w:leader="none"/>
          <w:tab w:val="left" w:pos="1134" w:leader="none"/>
        </w:tabs>
        <w:ind w:left="720"/>
        <w:jc w:val="both"/>
        <w:rPr>
          <w:rFonts w:ascii="Times New Roman" w:hAnsi="Times New Roman"/>
          <w:sz w:val="24"/>
        </w:rPr>
      </w:pPr>
      <w:r>
        <w:rPr>
          <w:rFonts w:ascii="Times New Roman" w:hAnsi="Times New Roman"/>
          <w:sz w:val="24"/>
        </w:rPr>
      </w:r>
    </w:p>
    <w:p>
      <w:pPr>
        <w:pStyle w:val="Skaiiai2lygis"/>
        <w:numPr>
          <w:ilvl w:val="0"/>
          <w:numId w:val="36"/>
        </w:numPr>
        <w:tabs>
          <w:tab w:val="clear" w:pos="1296"/>
          <w:tab w:val="left" w:pos="851" w:leader="none"/>
        </w:tabs>
        <w:ind w:hanging="0" w:left="0"/>
        <w:rPr>
          <w:sz w:val="24"/>
          <w:szCs w:val="24"/>
          <w:lang w:val="lt-LT"/>
        </w:rPr>
      </w:pPr>
      <w:r>
        <w:rPr>
          <w:sz w:val="24"/>
          <w:szCs w:val="24"/>
          <w:lang w:val="lt-LT"/>
        </w:rPr>
        <w:t>Kriterijaus</w:t>
      </w:r>
      <w:r>
        <w:rPr>
          <w:b/>
          <w:sz w:val="24"/>
          <w:szCs w:val="24"/>
          <w:lang w:val="lt-LT"/>
        </w:rPr>
        <w:t xml:space="preserve"> „</w:t>
      </w:r>
      <w:r>
        <w:rPr>
          <w:sz w:val="24"/>
          <w:szCs w:val="24"/>
          <w:lang w:val="lt-LT"/>
        </w:rPr>
        <w:t>Kokybės kriterijus“ (T)</w:t>
      </w:r>
      <w:r>
        <w:rPr>
          <w:b/>
          <w:sz w:val="24"/>
          <w:szCs w:val="24"/>
          <w:lang w:val="lt-LT"/>
        </w:rPr>
        <w:t xml:space="preserve"> </w:t>
      </w:r>
      <w:r>
        <w:rPr>
          <w:sz w:val="24"/>
          <w:szCs w:val="24"/>
          <w:lang w:val="lt-LT"/>
        </w:rPr>
        <w:t>balai apskaičiuojami sudedant atskirų kriterijų (P</w:t>
      </w:r>
      <w:r>
        <w:rPr>
          <w:sz w:val="24"/>
          <w:szCs w:val="24"/>
          <w:vertAlign w:val="subscript"/>
          <w:lang w:val="lt-LT"/>
        </w:rPr>
        <w:t>1</w:t>
      </w:r>
      <w:r>
        <w:rPr>
          <w:sz w:val="24"/>
          <w:szCs w:val="24"/>
          <w:lang w:val="lt-LT"/>
        </w:rPr>
        <w:t>) ir (P</w:t>
      </w:r>
      <w:r>
        <w:rPr>
          <w:sz w:val="24"/>
          <w:szCs w:val="24"/>
          <w:vertAlign w:val="subscript"/>
          <w:lang w:val="lt-LT"/>
        </w:rPr>
        <w:t>2</w:t>
      </w:r>
      <w:r>
        <w:rPr>
          <w:sz w:val="24"/>
          <w:szCs w:val="24"/>
          <w:lang w:val="lt-LT"/>
        </w:rPr>
        <w:t>) balus.</w:t>
      </w:r>
    </w:p>
    <w:p>
      <w:pPr>
        <w:pStyle w:val="Standard"/>
        <w:tabs>
          <w:tab w:val="clear" w:pos="1296"/>
          <w:tab w:val="left" w:pos="1080" w:leader="none"/>
        </w:tabs>
        <w:ind w:left="720"/>
        <w:jc w:val="center"/>
        <w:rPr>
          <w:rFonts w:ascii="Times New Roman" w:hAnsi="Times New Roman"/>
          <w:sz w:val="24"/>
        </w:rPr>
      </w:pPr>
      <w:r>
        <w:rPr>
          <w:rFonts w:ascii="Times New Roman" w:hAnsi="Times New Roman"/>
          <w:b/>
          <w:sz w:val="24"/>
        </w:rPr>
        <w:t>T= (P</w:t>
      </w:r>
      <w:r>
        <w:rPr>
          <w:rFonts w:ascii="Times New Roman" w:hAnsi="Times New Roman"/>
          <w:b/>
          <w:sz w:val="24"/>
          <w:vertAlign w:val="subscript"/>
        </w:rPr>
        <w:t>1</w:t>
      </w:r>
      <w:r>
        <w:rPr>
          <w:rFonts w:ascii="Times New Roman" w:hAnsi="Times New Roman"/>
          <w:b/>
          <w:sz w:val="24"/>
        </w:rPr>
        <w:t xml:space="preserve"> + P</w:t>
      </w:r>
      <w:r>
        <w:rPr>
          <w:rFonts w:ascii="Times New Roman" w:hAnsi="Times New Roman"/>
          <w:b/>
          <w:sz w:val="24"/>
          <w:vertAlign w:val="subscript"/>
        </w:rPr>
        <w:t>2</w:t>
      </w:r>
      <w:r>
        <w:rPr>
          <w:rFonts w:ascii="Times New Roman" w:hAnsi="Times New Roman"/>
          <w:b/>
          <w:sz w:val="24"/>
        </w:rPr>
        <w:t>)*Y</w:t>
      </w:r>
    </w:p>
    <w:p>
      <w:pPr>
        <w:pStyle w:val="Standard"/>
        <w:tabs>
          <w:tab w:val="clear" w:pos="1296"/>
          <w:tab w:val="left" w:pos="284" w:leader="none"/>
        </w:tabs>
        <w:ind w:left="720"/>
        <w:jc w:val="center"/>
        <w:rPr>
          <w:rFonts w:ascii="Times New Roman" w:hAnsi="Times New Roman"/>
          <w:sz w:val="24"/>
        </w:rPr>
      </w:pPr>
      <w:r>
        <w:rPr>
          <w:rFonts w:ascii="Times New Roman" w:hAnsi="Times New Roman"/>
          <w:sz w:val="24"/>
        </w:rPr>
      </w:r>
    </w:p>
    <w:p>
      <w:pPr>
        <w:pStyle w:val="Standard"/>
        <w:tabs>
          <w:tab w:val="clear" w:pos="1296"/>
          <w:tab w:val="left" w:pos="284" w:leader="none"/>
        </w:tabs>
        <w:jc w:val="both"/>
        <w:rPr>
          <w:rFonts w:ascii="Times New Roman" w:hAnsi="Times New Roman"/>
          <w:sz w:val="24"/>
        </w:rPr>
      </w:pPr>
      <w:bookmarkStart w:id="71" w:name="_2et92p0"/>
      <w:bookmarkEnd w:id="71"/>
      <w:r>
        <w:rPr>
          <w:rFonts w:ascii="Times New Roman" w:hAnsi="Times New Roman"/>
          <w:sz w:val="24"/>
        </w:rPr>
        <w:t>5. Kriterijaus parametro „Lektoriaus mokymų vedimo patirtis“ (P</w:t>
      </w:r>
      <w:r>
        <w:rPr>
          <w:rFonts w:ascii="Times New Roman" w:hAnsi="Times New Roman"/>
          <w:sz w:val="24"/>
          <w:vertAlign w:val="subscript"/>
        </w:rPr>
        <w:t>1</w:t>
      </w:r>
      <w:r>
        <w:rPr>
          <w:rFonts w:ascii="Times New Roman" w:hAnsi="Times New Roman"/>
          <w:sz w:val="24"/>
        </w:rPr>
        <w:t>) įvertinimas  apskaičiuojamas kriterijaus įvertinimo sumą (P</w:t>
      </w:r>
      <w:r>
        <w:rPr>
          <w:rFonts w:ascii="Times New Roman" w:hAnsi="Times New Roman"/>
          <w:sz w:val="24"/>
          <w:vertAlign w:val="subscript"/>
        </w:rPr>
        <w:t>s</w:t>
      </w:r>
      <w:r>
        <w:rPr>
          <w:rFonts w:ascii="Times New Roman" w:hAnsi="Times New Roman"/>
          <w:sz w:val="24"/>
        </w:rPr>
        <w:t>) padalinant iš maksimalios (didžiausios galimos) šio kriterijaus parametrų reikšmės (P</w:t>
      </w:r>
      <w:r>
        <w:rPr>
          <w:rFonts w:ascii="Times New Roman" w:hAnsi="Times New Roman"/>
          <w:sz w:val="24"/>
          <w:vertAlign w:val="subscript"/>
        </w:rPr>
        <w:t>max</w:t>
      </w:r>
      <w:r>
        <w:rPr>
          <w:rFonts w:ascii="Times New Roman" w:hAnsi="Times New Roman"/>
          <w:sz w:val="24"/>
        </w:rPr>
        <w:t>) bei padauginant iš vertinamo kriterijaus lyginamojo svorio ekonominio naudingumo įvertinime (L</w:t>
      </w:r>
      <w:r>
        <w:rPr>
          <w:rFonts w:ascii="Times New Roman" w:hAnsi="Times New Roman"/>
          <w:sz w:val="24"/>
          <w:vertAlign w:val="subscript"/>
        </w:rPr>
        <w:t>1</w:t>
      </w:r>
      <w:r>
        <w:rPr>
          <w:rFonts w:ascii="Times New Roman" w:hAnsi="Times New Roman"/>
          <w:sz w:val="24"/>
        </w:rPr>
        <w:t>) pagal šią formulę:</w:t>
      </w:r>
    </w:p>
    <w:p>
      <w:pPr>
        <w:pStyle w:val="Standard"/>
        <w:tabs>
          <w:tab w:val="clear" w:pos="1296"/>
          <w:tab w:val="left" w:pos="284" w:leader="none"/>
        </w:tabs>
        <w:ind w:left="720"/>
        <w:jc w:val="center"/>
        <w:rPr>
          <w:rFonts w:ascii="Times New Roman" w:hAnsi="Times New Roman"/>
          <w:sz w:val="24"/>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s</m:t>
                  </m:r>
                </m:sub>
              </m:sSub>
            </m:num>
            <m:den>
              <m:sSub>
                <m:e>
                  <m:r>
                    <w:rPr>
                      <w:rFonts w:ascii="Cambria Math" w:hAnsi="Cambria Math"/>
                    </w:rPr>
                    <m:t xml:space="preserve">P</m:t>
                  </m:r>
                </m:e>
                <m:sub>
                  <m:r>
                    <w:rPr>
                      <w:rFonts w:ascii="Cambria Math" w:hAnsi="Cambria Math"/>
                    </w:rPr>
                    <m:t xml:space="preserve">max</m:t>
                  </m:r>
                </m:sub>
              </m:sSub>
            </m:den>
          </m:f>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oMath>
      </m:oMathPara>
    </w:p>
    <w:p>
      <w:pPr>
        <w:pStyle w:val="Standard"/>
        <w:ind w:left="720"/>
        <w:jc w:val="both"/>
        <w:rPr>
          <w:rFonts w:ascii="Times New Roman" w:hAnsi="Times New Roman"/>
          <w:sz w:val="24"/>
        </w:rPr>
      </w:pPr>
      <w:r>
        <w:rPr>
          <w:rFonts w:ascii="Times New Roman" w:hAnsi="Times New Roman"/>
          <w:sz w:val="24"/>
        </w:rPr>
      </w:r>
    </w:p>
    <w:p>
      <w:pPr>
        <w:pStyle w:val="Standard"/>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 xml:space="preserve">1 </w:t>
      </w:r>
      <w:r>
        <w:rPr>
          <w:rFonts w:ascii="Times New Roman" w:hAnsi="Times New Roman"/>
          <w:iCs/>
          <w:sz w:val="24"/>
        </w:rPr>
        <w:t>–</w:t>
      </w:r>
      <w:r>
        <w:rPr>
          <w:rFonts w:ascii="Times New Roman" w:hAnsi="Times New Roman"/>
          <w:b/>
          <w:bCs/>
          <w:iCs/>
          <w:sz w:val="24"/>
          <w:vertAlign w:val="subscript"/>
        </w:rPr>
        <w:t xml:space="preserve"> </w:t>
      </w:r>
      <w:r>
        <w:rPr>
          <w:rFonts w:ascii="Times New Roman" w:hAnsi="Times New Roman"/>
          <w:iCs/>
          <w:sz w:val="24"/>
        </w:rPr>
        <w:t>konkretaus dalyvio pasiūlymo įvertinimas pagal nurodytą kriterijų (balais);</w:t>
      </w:r>
    </w:p>
    <w:p>
      <w:pPr>
        <w:pStyle w:val="Standard"/>
        <w:tabs>
          <w:tab w:val="clear" w:pos="1296"/>
          <w:tab w:val="left" w:pos="709" w:leader="none"/>
        </w:tabs>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w:t>
      </w:r>
      <w:r>
        <w:rPr>
          <w:rFonts w:ascii="Times New Roman" w:hAnsi="Times New Roman"/>
          <w:iCs/>
          <w:color w:val="000000"/>
          <w:sz w:val="24"/>
        </w:rPr>
        <w:t xml:space="preserve"> –  9 bala</w:t>
      </w:r>
      <w:r>
        <w:rPr>
          <w:rFonts w:ascii="Times New Roman" w:hAnsi="Times New Roman"/>
          <w:iCs/>
          <w:sz w:val="24"/>
        </w:rPr>
        <w:t>i;</w:t>
      </w:r>
    </w:p>
    <w:p>
      <w:pPr>
        <w:pStyle w:val="Standard"/>
        <w:tabs>
          <w:tab w:val="clear" w:pos="1296"/>
          <w:tab w:val="left" w:pos="714" w:leader="none"/>
          <w:tab w:val="left" w:pos="851" w:leader="none"/>
          <w:tab w:val="left" w:pos="1134" w:leader="none"/>
        </w:tabs>
        <w:ind w:left="720"/>
        <w:jc w:val="both"/>
        <w:rPr>
          <w:rFonts w:ascii="Times New Roman" w:hAnsi="Times New Roman"/>
          <w:sz w:val="24"/>
        </w:rPr>
      </w:pPr>
      <w:r>
        <w:rPr>
          <w:rFonts w:ascii="Times New Roman" w:hAnsi="Times New Roman"/>
          <w:iCs/>
          <w:sz w:val="24"/>
        </w:rPr>
        <w:t>L</w:t>
      </w:r>
      <w:r>
        <w:rPr>
          <w:rFonts w:ascii="Times New Roman" w:hAnsi="Times New Roman"/>
          <w:iCs/>
          <w:sz w:val="24"/>
          <w:vertAlign w:val="subscript"/>
        </w:rPr>
        <w:t>1</w:t>
      </w:r>
      <w:r>
        <w:rPr>
          <w:rFonts w:ascii="Times New Roman" w:hAnsi="Times New Roman"/>
          <w:sz w:val="24"/>
        </w:rPr>
        <w:t xml:space="preserve"> – lyginamojo svorio ekonominio naudingumo įvertinime koeficientas.</w:t>
      </w:r>
    </w:p>
    <w:p>
      <w:pPr>
        <w:pStyle w:val="Standard"/>
        <w:tabs>
          <w:tab w:val="clear" w:pos="1296"/>
          <w:tab w:val="left" w:pos="714" w:leader="none"/>
          <w:tab w:val="left" w:pos="851" w:leader="none"/>
          <w:tab w:val="left" w:pos="1134" w:leader="none"/>
        </w:tabs>
        <w:ind w:left="720"/>
        <w:jc w:val="both"/>
        <w:rPr>
          <w:rFonts w:ascii="Times New Roman" w:hAnsi="Times New Roman"/>
          <w:sz w:val="24"/>
        </w:rPr>
      </w:pPr>
      <w:r>
        <w:rPr>
          <w:rFonts w:ascii="Times New Roman" w:hAnsi="Times New Roman"/>
          <w:sz w:val="24"/>
        </w:rPr>
        <w:t>Jei yra siūlomi keli lektoriai, tai yra vertinama mažiausią patirtį turinčio lektoriaus patirtis.</w:t>
      </w:r>
    </w:p>
    <w:p>
      <w:pPr>
        <w:pStyle w:val="ListParagraph"/>
        <w:tabs>
          <w:tab w:val="clear" w:pos="1296"/>
          <w:tab w:val="left" w:pos="1985" w:leader="none"/>
          <w:tab w:val="left" w:pos="2127" w:leader="none"/>
        </w:tabs>
        <w:ind w:left="851"/>
        <w:jc w:val="center"/>
        <w:rPr>
          <w:rFonts w:ascii="Times New Roman" w:hAnsi="Times New Roman" w:cs="Times New Roman"/>
          <w:sz w:val="24"/>
          <w:szCs w:val="24"/>
        </w:rPr>
      </w:pPr>
      <w:r>
        <w:rPr>
          <w:rFonts w:cs="Times New Roman" w:ascii="Times New Roman" w:hAnsi="Times New Roman"/>
          <w:sz w:val="24"/>
          <w:szCs w:val="24"/>
        </w:rPr>
      </w:r>
    </w:p>
    <w:p>
      <w:pPr>
        <w:pStyle w:val="Standard"/>
        <w:tabs>
          <w:tab w:val="clear" w:pos="1296"/>
          <w:tab w:val="left" w:pos="284" w:leader="none"/>
        </w:tabs>
        <w:jc w:val="both"/>
        <w:rPr>
          <w:rFonts w:ascii="Times New Roman" w:hAnsi="Times New Roman"/>
          <w:sz w:val="24"/>
        </w:rPr>
      </w:pPr>
      <w:r>
        <w:rPr>
          <w:rFonts w:ascii="Times New Roman" w:hAnsi="Times New Roman"/>
          <w:sz w:val="24"/>
        </w:rPr>
        <w:t xml:space="preserve">6. Kriterijaus parametro „Lektoriaus praktinio darbo </w:t>
      </w:r>
      <w:r>
        <w:rPr>
          <w:rFonts w:eastAsia="Calibri" w:ascii="Times New Roman" w:hAnsi="Times New Roman"/>
          <w:sz w:val="24"/>
          <w:shd w:fill="FFFFFF" w:val="clear"/>
          <w:lang w:eastAsia="en-US"/>
        </w:rPr>
        <w:t>mikrobiologinių tyrimų srityje</w:t>
      </w:r>
      <w:r>
        <w:rPr>
          <w:rFonts w:ascii="Times New Roman" w:hAnsi="Times New Roman"/>
          <w:sz w:val="24"/>
        </w:rPr>
        <w:t>“ (P</w:t>
      </w:r>
      <w:r>
        <w:rPr>
          <w:rFonts w:ascii="Times New Roman" w:hAnsi="Times New Roman"/>
          <w:sz w:val="24"/>
          <w:vertAlign w:val="subscript"/>
        </w:rPr>
        <w:t>2</w:t>
      </w:r>
      <w:r>
        <w:rPr>
          <w:rFonts w:ascii="Times New Roman" w:hAnsi="Times New Roman"/>
          <w:sz w:val="24"/>
        </w:rPr>
        <w:t>) įvertinimas apskaičiuojamas kriterijaus įvertinimą (P</w:t>
      </w:r>
      <w:r>
        <w:rPr>
          <w:rFonts w:ascii="Times New Roman" w:hAnsi="Times New Roman"/>
          <w:sz w:val="24"/>
          <w:vertAlign w:val="subscript"/>
        </w:rPr>
        <w:t>p</w:t>
      </w:r>
      <w:r>
        <w:rPr>
          <w:rFonts w:ascii="Times New Roman" w:hAnsi="Times New Roman"/>
          <w:sz w:val="24"/>
        </w:rPr>
        <w:t>) padalinant iš maksimalios (didžiausios galimos) šio kriterijaus parametrų reikšmės (P</w:t>
      </w:r>
      <w:r>
        <w:rPr>
          <w:rFonts w:ascii="Times New Roman" w:hAnsi="Times New Roman"/>
          <w:sz w:val="24"/>
          <w:vertAlign w:val="subscript"/>
        </w:rPr>
        <w:t>max</w:t>
      </w:r>
      <w:r>
        <w:rPr>
          <w:rFonts w:ascii="Times New Roman" w:hAnsi="Times New Roman"/>
          <w:sz w:val="24"/>
        </w:rPr>
        <w:t>) bei padauginant iš vertinamo kriterijaus lyginamojo svorio ekonominio naudingumo įvertinime (Y</w:t>
      </w:r>
      <w:r>
        <w:rPr>
          <w:rFonts w:ascii="Times New Roman" w:hAnsi="Times New Roman"/>
          <w:sz w:val="24"/>
          <w:vertAlign w:val="subscript"/>
        </w:rPr>
        <w:t>2</w:t>
      </w:r>
      <w:r>
        <w:rPr>
          <w:rFonts w:ascii="Times New Roman" w:hAnsi="Times New Roman"/>
          <w:sz w:val="24"/>
        </w:rPr>
        <w:t>) pagal šią formulę:</w:t>
      </w:r>
    </w:p>
    <w:p>
      <w:pPr>
        <w:pStyle w:val="Standard"/>
        <w:tabs>
          <w:tab w:val="clear" w:pos="1296"/>
          <w:tab w:val="left" w:pos="284" w:leader="none"/>
        </w:tabs>
        <w:jc w:val="both"/>
        <w:rPr>
          <w:rFonts w:ascii="Times New Roman" w:hAnsi="Times New Roman"/>
          <w:sz w:val="24"/>
        </w:rPr>
      </w:pPr>
      <w:r>
        <w:rPr>
          <w:rFonts w:ascii="Times New Roman" w:hAnsi="Times New Roman"/>
          <w:sz w:val="24"/>
        </w:rPr>
      </w:r>
    </w:p>
    <w:p>
      <w:pPr>
        <w:pStyle w:val="Standard"/>
        <w:tabs>
          <w:tab w:val="clear" w:pos="1296"/>
          <w:tab w:val="left" w:pos="284" w:leader="none"/>
        </w:tabs>
        <w:jc w:val="center"/>
        <w:rPr>
          <w:rFonts w:ascii="Times New Roman" w:hAnsi="Times New Roman"/>
          <w:sz w:val="24"/>
        </w:rPr>
      </w:pPr>
      <w:r>
        <w:rPr>
          <w:rFonts w:ascii="Times New Roman" w:hAnsi="Times New Roman"/>
          <w:sz w:val="24"/>
        </w:rPr>
        <w:t>P</w:t>
      </w:r>
      <w:r>
        <w:rPr>
          <w:rFonts w:ascii="Times New Roman" w:hAnsi="Times New Roman"/>
          <w:sz w:val="24"/>
          <w:vertAlign w:val="subscript"/>
        </w:rPr>
        <w:t>2</w:t>
      </w:r>
      <w:r>
        <w:rPr>
          <w:rFonts w:ascii="Times New Roman" w:hAnsi="Times New Roman"/>
          <w:sz w:val="24"/>
        </w:rPr>
        <w:t>=(P</w:t>
      </w:r>
      <w:r>
        <w:rPr>
          <w:rFonts w:ascii="Times New Roman" w:hAnsi="Times New Roman"/>
          <w:sz w:val="24"/>
          <w:vertAlign w:val="subscript"/>
        </w:rPr>
        <w:t>p</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)xL</w:t>
      </w:r>
      <w:r>
        <w:rPr>
          <w:rFonts w:ascii="Times New Roman" w:hAnsi="Times New Roman"/>
          <w:sz w:val="24"/>
          <w:vertAlign w:val="subscript"/>
        </w:rPr>
        <w:t>2</w:t>
      </w:r>
    </w:p>
    <w:p>
      <w:pPr>
        <w:pStyle w:val="Standard"/>
        <w:tabs>
          <w:tab w:val="clear" w:pos="1296"/>
          <w:tab w:val="left" w:pos="284" w:leader="none"/>
        </w:tabs>
        <w:jc w:val="both"/>
        <w:rPr>
          <w:rFonts w:ascii="Times New Roman" w:hAnsi="Times New Roman"/>
          <w:sz w:val="24"/>
        </w:rPr>
      </w:pPr>
      <w:r>
        <w:rPr>
          <w:rFonts w:ascii="Times New Roman" w:hAnsi="Times New Roman"/>
          <w:sz w:val="24"/>
        </w:rPr>
      </w:r>
    </w:p>
    <w:p>
      <w:pPr>
        <w:pStyle w:val="Standard"/>
        <w:tabs>
          <w:tab w:val="clear" w:pos="1296"/>
          <w:tab w:val="left" w:pos="284" w:leader="none"/>
        </w:tabs>
        <w:jc w:val="both"/>
        <w:rPr>
          <w:rFonts w:ascii="Times New Roman" w:hAnsi="Times New Roman"/>
          <w:sz w:val="24"/>
        </w:rPr>
      </w:pPr>
      <w:r>
        <w:rPr>
          <w:rFonts w:ascii="Times New Roman" w:hAnsi="Times New Roman"/>
          <w:sz w:val="24"/>
        </w:rPr>
      </w:r>
    </w:p>
    <w:p>
      <w:pPr>
        <w:pStyle w:val="Standard"/>
        <w:ind w:left="720"/>
        <w:jc w:val="both"/>
        <w:rPr>
          <w:rFonts w:ascii="Times New Roman" w:hAnsi="Times New Roman"/>
          <w:sz w:val="24"/>
        </w:rPr>
      </w:pPr>
      <w:r>
        <w:rPr>
          <w:rFonts w:ascii="Times New Roman" w:hAnsi="Times New Roman"/>
          <w:sz w:val="24"/>
        </w:rPr>
        <w:t>P</w:t>
      </w:r>
      <w:r>
        <w:rPr>
          <w:rFonts w:ascii="Times New Roman" w:hAnsi="Times New Roman"/>
          <w:sz w:val="24"/>
          <w:vertAlign w:val="subscript"/>
        </w:rPr>
        <w:t xml:space="preserve">2 </w:t>
      </w:r>
      <w:r>
        <w:rPr>
          <w:rFonts w:ascii="Times New Roman" w:hAnsi="Times New Roman"/>
          <w:iCs/>
          <w:sz w:val="24"/>
        </w:rPr>
        <w:t>–</w:t>
      </w:r>
      <w:r>
        <w:rPr>
          <w:rFonts w:ascii="Times New Roman" w:hAnsi="Times New Roman"/>
          <w:b/>
          <w:bCs/>
          <w:sz w:val="24"/>
          <w:vertAlign w:val="subscript"/>
        </w:rPr>
        <w:t xml:space="preserve"> </w:t>
      </w:r>
      <w:r>
        <w:rPr>
          <w:rFonts w:ascii="Times New Roman" w:hAnsi="Times New Roman"/>
          <w:sz w:val="24"/>
        </w:rPr>
        <w:t>konkretaus dalyvio pasiūlymo įvertinimas pagal nurodytą kriterijų (balais);</w:t>
      </w:r>
    </w:p>
    <w:p>
      <w:pPr>
        <w:pStyle w:val="Standard"/>
        <w:tabs>
          <w:tab w:val="clear" w:pos="1296"/>
          <w:tab w:val="left" w:pos="709" w:leader="none"/>
        </w:tabs>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 –  2 balai;</w:t>
      </w:r>
    </w:p>
    <w:p>
      <w:pPr>
        <w:pStyle w:val="Standard"/>
        <w:tabs>
          <w:tab w:val="clear" w:pos="1296"/>
          <w:tab w:val="left" w:pos="714" w:leader="none"/>
          <w:tab w:val="left" w:pos="851" w:leader="none"/>
          <w:tab w:val="left" w:pos="1134" w:leader="none"/>
        </w:tabs>
        <w:ind w:left="720"/>
        <w:jc w:val="both"/>
        <w:rPr>
          <w:rFonts w:ascii="Times New Roman" w:hAnsi="Times New Roman"/>
          <w:sz w:val="24"/>
        </w:rPr>
      </w:pPr>
      <w:r>
        <w:rPr>
          <w:rFonts w:ascii="Times New Roman" w:hAnsi="Times New Roman"/>
          <w:iCs/>
          <w:sz w:val="24"/>
        </w:rPr>
        <w:t>L</w:t>
      </w:r>
      <w:r>
        <w:rPr>
          <w:rFonts w:ascii="Times New Roman" w:hAnsi="Times New Roman"/>
          <w:iCs/>
          <w:sz w:val="24"/>
          <w:vertAlign w:val="subscript"/>
        </w:rPr>
        <w:t>2</w:t>
      </w:r>
      <w:r>
        <w:rPr>
          <w:rFonts w:ascii="Times New Roman" w:hAnsi="Times New Roman"/>
          <w:sz w:val="24"/>
        </w:rPr>
        <w:t xml:space="preserve"> – lyginamojo svorio ekonominio naudingumo įvertinime koeficientas.</w:t>
      </w:r>
    </w:p>
    <w:p>
      <w:pPr>
        <w:pStyle w:val="Standard"/>
        <w:tabs>
          <w:tab w:val="clear" w:pos="1296"/>
          <w:tab w:val="left" w:pos="714" w:leader="none"/>
          <w:tab w:val="left" w:pos="851" w:leader="none"/>
          <w:tab w:val="left" w:pos="1134" w:leader="none"/>
        </w:tabs>
        <w:ind w:left="720"/>
        <w:jc w:val="both"/>
        <w:rPr/>
      </w:pPr>
      <w:r>
        <w:rPr/>
      </w:r>
    </w:p>
    <w:p>
      <w:pPr>
        <w:pStyle w:val="ListParagraph"/>
        <w:tabs>
          <w:tab w:val="clear" w:pos="1296"/>
          <w:tab w:val="left" w:pos="1985" w:leader="none"/>
          <w:tab w:val="left" w:pos="2127" w:leader="none"/>
        </w:tabs>
        <w:ind w:left="851"/>
        <w:jc w:val="center"/>
        <w:rPr>
          <w:rFonts w:ascii="Times New Roman" w:hAnsi="Times New Roman" w:cs="Times New Roman"/>
          <w:b/>
          <w:sz w:val="24"/>
          <w:szCs w:val="24"/>
          <w:vertAlign w:val="subscript"/>
        </w:rPr>
      </w:pPr>
      <w:r>
        <w:rPr>
          <w:rFonts w:cs="Times New Roman" w:ascii="Times New Roman" w:hAnsi="Times New Roman"/>
          <w:b/>
          <w:sz w:val="24"/>
          <w:szCs w:val="24"/>
          <w:vertAlign w:val="subscript"/>
        </w:rPr>
      </w:r>
    </w:p>
    <w:p>
      <w:pPr>
        <w:pStyle w:val="ListParagraph"/>
        <w:tabs>
          <w:tab w:val="clear" w:pos="1296"/>
          <w:tab w:val="left" w:pos="1134" w:leader="none"/>
          <w:tab w:val="left" w:pos="1276" w:leader="none"/>
        </w:tabs>
        <w:ind w:left="0"/>
        <w:rPr>
          <w:rFonts w:ascii="Times New Roman" w:hAnsi="Times New Roman" w:cs="Times New Roman"/>
          <w:sz w:val="24"/>
          <w:szCs w:val="24"/>
        </w:rPr>
      </w:pPr>
      <w:r>
        <w:rPr>
          <w:rFonts w:cs="Times New Roman" w:ascii="Times New Roman" w:hAnsi="Times New Roman"/>
          <w:sz w:val="24"/>
          <w:szCs w:val="24"/>
        </w:rPr>
        <w:t xml:space="preserve">7. kriterijaus parametro „Lektoriaus praktinio darbo </w:t>
      </w:r>
      <w:r>
        <w:rPr>
          <w:rFonts w:eastAsia="Times New Roman" w:cs="Times New Roman" w:ascii="Times New Roman" w:hAnsi="Times New Roman"/>
          <w:sz w:val="24"/>
          <w:szCs w:val="24"/>
        </w:rPr>
        <w:t>antimikrobinių vaistinių preparatų skyrimo konsultavimo</w:t>
      </w:r>
      <w:r>
        <w:rPr>
          <w:rFonts w:cs="Times New Roman" w:ascii="Times New Roman" w:hAnsi="Times New Roman"/>
          <w:sz w:val="24"/>
          <w:szCs w:val="24"/>
        </w:rPr>
        <w:t xml:space="preserve"> </w:t>
      </w:r>
      <w:r>
        <w:rPr>
          <w:rFonts w:eastAsia="Times New Roman" w:cs="Times New Roman" w:ascii="Times New Roman" w:hAnsi="Times New Roman"/>
          <w:sz w:val="24"/>
          <w:szCs w:val="24"/>
        </w:rPr>
        <w:t xml:space="preserve"> patirtis</w:t>
      </w:r>
      <w:r>
        <w:rPr>
          <w:rFonts w:cs="Times New Roman" w:ascii="Times New Roman" w:hAnsi="Times New Roman"/>
          <w:sz w:val="24"/>
          <w:szCs w:val="24"/>
        </w:rPr>
        <w:t>“ (P</w:t>
      </w:r>
      <w:r>
        <w:rPr>
          <w:rFonts w:cs="Times New Roman" w:ascii="Times New Roman" w:hAnsi="Times New Roman"/>
          <w:sz w:val="24"/>
          <w:szCs w:val="24"/>
          <w:vertAlign w:val="subscript"/>
        </w:rPr>
        <w:t>3</w:t>
      </w:r>
      <w:r>
        <w:rPr>
          <w:rFonts w:cs="Times New Roman" w:ascii="Times New Roman" w:hAnsi="Times New Roman"/>
          <w:sz w:val="24"/>
          <w:szCs w:val="24"/>
        </w:rPr>
        <w:t>) įvertinimas  apskaičiuojamas kriterijaus įvertinimą (P</w:t>
      </w:r>
      <w:r>
        <w:rPr>
          <w:rFonts w:cs="Times New Roman" w:ascii="Times New Roman" w:hAnsi="Times New Roman"/>
          <w:sz w:val="24"/>
          <w:szCs w:val="24"/>
          <w:vertAlign w:val="subscript"/>
        </w:rPr>
        <w:t>p</w:t>
      </w:r>
      <w:r>
        <w:rPr>
          <w:rFonts w:cs="Times New Roman" w:ascii="Times New Roman" w:hAnsi="Times New Roman"/>
          <w:sz w:val="24"/>
          <w:szCs w:val="24"/>
        </w:rPr>
        <w:t>) padalinant iš maksimalios (didžiausios galimos) šio kriterijaus parametrų reikšmės (P</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lyginamojo svorio ekonominio naudingumo įvertinime (Y</w:t>
      </w:r>
      <w:r>
        <w:rPr>
          <w:rFonts w:cs="Times New Roman" w:ascii="Times New Roman" w:hAnsi="Times New Roman"/>
          <w:sz w:val="24"/>
          <w:szCs w:val="24"/>
          <w:vertAlign w:val="subscript"/>
        </w:rPr>
        <w:t>3</w:t>
      </w:r>
      <w:r>
        <w:rPr>
          <w:rFonts w:cs="Times New Roman" w:ascii="Times New Roman" w:hAnsi="Times New Roman"/>
          <w:sz w:val="24"/>
          <w:szCs w:val="24"/>
        </w:rPr>
        <w:t>) pagal šią formulę:</w:t>
      </w:r>
    </w:p>
    <w:p>
      <w:pPr>
        <w:pStyle w:val="ListParagraph"/>
        <w:tabs>
          <w:tab w:val="clear" w:pos="1296"/>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Standard"/>
        <w:tabs>
          <w:tab w:val="clear" w:pos="1296"/>
          <w:tab w:val="left" w:pos="284" w:leader="none"/>
        </w:tabs>
        <w:jc w:val="center"/>
        <w:rPr>
          <w:rFonts w:ascii="Times New Roman" w:hAnsi="Times New Roman"/>
          <w:sz w:val="24"/>
        </w:rPr>
      </w:pPr>
      <w:r>
        <w:rPr>
          <w:rFonts w:ascii="Times New Roman" w:hAnsi="Times New Roman"/>
          <w:sz w:val="24"/>
        </w:rPr>
        <w:t>P</w:t>
      </w:r>
      <w:r>
        <w:rPr>
          <w:rFonts w:ascii="Times New Roman" w:hAnsi="Times New Roman"/>
          <w:sz w:val="24"/>
          <w:vertAlign w:val="subscript"/>
        </w:rPr>
        <w:t>3</w:t>
      </w:r>
      <w:r>
        <w:rPr>
          <w:rFonts w:ascii="Times New Roman" w:hAnsi="Times New Roman"/>
          <w:sz w:val="24"/>
        </w:rPr>
        <w:t>=(P</w:t>
      </w:r>
      <w:r>
        <w:rPr>
          <w:rFonts w:ascii="Times New Roman" w:hAnsi="Times New Roman"/>
          <w:sz w:val="24"/>
          <w:vertAlign w:val="subscript"/>
        </w:rPr>
        <w:t>p</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)xL</w:t>
      </w:r>
      <w:r>
        <w:rPr>
          <w:rFonts w:ascii="Times New Roman" w:hAnsi="Times New Roman"/>
          <w:sz w:val="24"/>
          <w:vertAlign w:val="subscript"/>
        </w:rPr>
        <w:t>3</w:t>
      </w:r>
    </w:p>
    <w:p>
      <w:pPr>
        <w:pStyle w:val="ListParagraph"/>
        <w:tabs>
          <w:tab w:val="clear" w:pos="1296"/>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Standard"/>
        <w:tabs>
          <w:tab w:val="clear" w:pos="1296"/>
          <w:tab w:val="left" w:pos="284" w:leader="none"/>
        </w:tabs>
        <w:ind w:left="720"/>
        <w:jc w:val="center"/>
        <w:rPr>
          <w:rFonts w:ascii="Times New Roman" w:hAnsi="Times New Roman"/>
          <w:sz w:val="24"/>
        </w:rPr>
      </w:pPr>
      <w:r>
        <w:rPr>
          <w:rFonts w:ascii="Times New Roman" w:hAnsi="Times New Roman"/>
          <w:sz w:val="24"/>
        </w:rPr>
      </w:r>
    </w:p>
    <w:p>
      <w:pPr>
        <w:pStyle w:val="Standard"/>
        <w:ind w:left="720"/>
        <w:jc w:val="both"/>
        <w:rPr>
          <w:rFonts w:ascii="Times New Roman" w:hAnsi="Times New Roman"/>
          <w:sz w:val="24"/>
        </w:rPr>
      </w:pPr>
      <w:r>
        <w:rPr>
          <w:rFonts w:ascii="Times New Roman" w:hAnsi="Times New Roman"/>
          <w:sz w:val="24"/>
        </w:rPr>
        <w:t>P</w:t>
      </w:r>
      <w:r>
        <w:rPr>
          <w:rFonts w:ascii="Times New Roman" w:hAnsi="Times New Roman"/>
          <w:sz w:val="24"/>
          <w:vertAlign w:val="subscript"/>
        </w:rPr>
        <w:t xml:space="preserve">3 </w:t>
      </w:r>
      <w:r>
        <w:rPr>
          <w:rFonts w:ascii="Times New Roman" w:hAnsi="Times New Roman"/>
          <w:iCs/>
          <w:sz w:val="24"/>
        </w:rPr>
        <w:t>–</w:t>
      </w:r>
      <w:r>
        <w:rPr>
          <w:rFonts w:ascii="Times New Roman" w:hAnsi="Times New Roman"/>
          <w:b/>
          <w:bCs/>
          <w:sz w:val="24"/>
          <w:vertAlign w:val="subscript"/>
        </w:rPr>
        <w:t xml:space="preserve"> </w:t>
      </w:r>
      <w:r>
        <w:rPr>
          <w:rFonts w:ascii="Times New Roman" w:hAnsi="Times New Roman"/>
          <w:sz w:val="24"/>
        </w:rPr>
        <w:t>konkretaus dalyvio pasiūlymo įvertinimas pagal nurodytą kriterijų (balais);</w:t>
      </w:r>
    </w:p>
    <w:p>
      <w:pPr>
        <w:pStyle w:val="Standard"/>
        <w:tabs>
          <w:tab w:val="clear" w:pos="1296"/>
          <w:tab w:val="left" w:pos="709" w:leader="none"/>
        </w:tabs>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sz w:val="24"/>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 –  2 balai;</w:t>
      </w:r>
    </w:p>
    <w:p>
      <w:pPr>
        <w:pStyle w:val="ListParagraph"/>
        <w:tabs>
          <w:tab w:val="clear" w:pos="1296"/>
          <w:tab w:val="left" w:pos="1134" w:leader="none"/>
          <w:tab w:val="left" w:pos="1276" w:leader="none"/>
        </w:tabs>
        <w:ind w:left="0"/>
        <w:rPr>
          <w:rFonts w:ascii="Times New Roman" w:hAnsi="Times New Roman" w:cs="Times New Roman"/>
          <w:sz w:val="24"/>
          <w:szCs w:val="24"/>
        </w:rPr>
      </w:pPr>
      <w:r>
        <w:rPr>
          <w:rFonts w:cs="Times New Roman" w:ascii="Times New Roman" w:hAnsi="Times New Roman"/>
          <w:iCs/>
          <w:sz w:val="24"/>
          <w:szCs w:val="24"/>
        </w:rPr>
        <w:t xml:space="preserve">           </w:t>
      </w:r>
      <w:r>
        <w:rPr>
          <w:rFonts w:cs="Times New Roman" w:ascii="Times New Roman" w:hAnsi="Times New Roman"/>
          <w:iCs/>
          <w:sz w:val="24"/>
          <w:szCs w:val="24"/>
        </w:rPr>
        <w:t>L</w:t>
      </w:r>
      <w:r>
        <w:rPr>
          <w:rFonts w:cs="Times New Roman" w:ascii="Times New Roman" w:hAnsi="Times New Roman"/>
          <w:iCs/>
          <w:sz w:val="24"/>
          <w:szCs w:val="24"/>
          <w:vertAlign w:val="subscript"/>
        </w:rPr>
        <w:t>3</w:t>
      </w:r>
      <w:r>
        <w:rPr>
          <w:rFonts w:cs="Times New Roman" w:ascii="Times New Roman" w:hAnsi="Times New Roman"/>
          <w:sz w:val="24"/>
          <w:szCs w:val="24"/>
        </w:rPr>
        <w:t xml:space="preserve"> – lyginamojo svorio ekonominio naudingumo įvertinime koeficientas.</w:t>
      </w:r>
    </w:p>
    <w:p>
      <w:pPr>
        <w:pStyle w:val="ListParagraph"/>
        <w:tabs>
          <w:tab w:val="clear" w:pos="1296"/>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1296"/>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1296"/>
          <w:tab w:val="left" w:pos="1134" w:leader="none"/>
          <w:tab w:val="left" w:pos="1276" w:leader="none"/>
        </w:tabs>
        <w:ind w:left="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1296"/>
          <w:tab w:val="left" w:pos="1134" w:leader="none"/>
          <w:tab w:val="left" w:pos="1276" w:leader="none"/>
        </w:tabs>
        <w:ind w:left="0"/>
        <w:rPr>
          <w:rFonts w:ascii="Times New Roman" w:hAnsi="Times New Roman" w:cs="Times New Roman"/>
          <w:sz w:val="24"/>
          <w:szCs w:val="24"/>
        </w:rPr>
      </w:pPr>
      <w:r>
        <w:rPr>
          <w:rFonts w:eastAsia="Calibri" w:cs="Times New Roman" w:ascii="Times New Roman" w:hAnsi="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pPr>
        <w:pStyle w:val="Standard"/>
        <w:tabs>
          <w:tab w:val="clear" w:pos="1296"/>
          <w:tab w:val="left" w:pos="714" w:leader="none"/>
          <w:tab w:val="left" w:pos="851" w:leader="none"/>
          <w:tab w:val="left" w:pos="1134" w:leader="none"/>
        </w:tabs>
        <w:ind w:left="720"/>
        <w:jc w:val="both"/>
        <w:rPr>
          <w:rFonts w:ascii="Times New Roman" w:hAnsi="Times New Roman" w:eastAsia="Calibri"/>
          <w:sz w:val="24"/>
        </w:rPr>
      </w:pPr>
      <w:r>
        <w:rPr>
          <w:rFonts w:eastAsia="Calibri" w:ascii="Times New Roman" w:hAnsi="Times New Roman"/>
          <w:sz w:val="24"/>
        </w:rPr>
      </w:r>
    </w:p>
    <w:p>
      <w:pPr>
        <w:pStyle w:val="Standard"/>
        <w:ind w:left="720"/>
        <w:rPr>
          <w:rFonts w:ascii="Times New Roman" w:hAnsi="Times New Roman"/>
          <w:sz w:val="24"/>
        </w:rPr>
      </w:pPr>
      <w:r>
        <w:rPr>
          <w:rFonts w:ascii="Times New Roman" w:hAnsi="Times New Roman"/>
          <w:sz w:val="24"/>
        </w:rPr>
        <w:t xml:space="preserve">9. </w:t>
      </w:r>
      <w:r>
        <w:rPr>
          <w:rFonts w:ascii="Times New Roman" w:hAnsi="Times New Roman"/>
          <w:b/>
          <w:bCs/>
          <w:sz w:val="24"/>
        </w:rPr>
        <w:t>Kokybės kriterijaus (T) parametrai ir aprašymas:</w:t>
      </w:r>
    </w:p>
    <w:p>
      <w:pPr>
        <w:pStyle w:val="ListParagraph"/>
        <w:tabs>
          <w:tab w:val="clear" w:pos="1296"/>
          <w:tab w:val="left" w:pos="0" w:leader="none"/>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t xml:space="preserve">9.1. Vertinami specialistai turi būti tie patys, kurie nurodomi grindžiant tiekėjo atitiktį minimaliems kvalifikacijos reikalavimams, ir kurie tiesiogiai teiks paslaugas Perkančiajai organizacijai. </w:t>
      </w:r>
      <w:r>
        <w:rPr>
          <w:rFonts w:cs="Times New Roman" w:ascii="Times New Roman" w:hAnsi="Times New Roman"/>
          <w:b/>
          <w:bCs/>
          <w:sz w:val="24"/>
          <w:szCs w:val="24"/>
        </w:rPr>
        <w:t>Už patirtį, kuria grindžiama tiekėjo atitiktis kvalifikacijos reikalavimui (pvz. turėti  patirtį tam tikroje srityje,) papildomi balai nebus suteikiami.</w:t>
      </w:r>
    </w:p>
    <w:p>
      <w:pPr>
        <w:pStyle w:val="ListParagraph"/>
        <w:tabs>
          <w:tab w:val="clear" w:pos="1296"/>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t xml:space="preserve">9.2 Jeigu Pirkimo metu, bus teikiami keli  specialistai į tą pačią rolę, bus vertiname žemiausią kvalifikaciją turinčio specialisto patirtis (išskyrus 9.3 punkte numatytą išimtį).  </w:t>
      </w:r>
    </w:p>
    <w:p>
      <w:pPr>
        <w:pStyle w:val="ListParagraph"/>
        <w:tabs>
          <w:tab w:val="clear" w:pos="1296"/>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t>9.3. Dėl antrą ir trečio parametro gali būti siūloma po vieną specialistą. Dėl antro ir trečio parametrų gali būti nurodomi skirtingi lektoriai.</w:t>
      </w:r>
    </w:p>
    <w:p>
      <w:pPr>
        <w:pStyle w:val="ListParagraph"/>
        <w:tabs>
          <w:tab w:val="clear" w:pos="1296"/>
          <w:tab w:val="left" w:pos="284" w:leader="none"/>
          <w:tab w:val="left" w:pos="851" w:leader="none"/>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 Balų suteikimo tvarka:</w:t>
      </w:r>
    </w:p>
    <w:p>
      <w:pPr>
        <w:pStyle w:val="ListParagraph"/>
        <w:tabs>
          <w:tab w:val="clear" w:pos="1296"/>
          <w:tab w:val="left" w:pos="284" w:leader="none"/>
          <w:tab w:val="left" w:pos="851" w:leader="none"/>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1296"/>
          <w:tab w:val="left" w:pos="284" w:leader="none"/>
          <w:tab w:val="left" w:pos="851" w:leader="none"/>
          <w:tab w:val="left" w:pos="993" w:leader="none"/>
        </w:tabs>
        <w:ind w:left="0"/>
        <w:jc w:val="both"/>
        <w:rPr>
          <w:rFonts w:ascii="Times New Roman" w:hAnsi="Times New Roman" w:cs="Times New Roman"/>
          <w:b/>
          <w:bCs/>
          <w:sz w:val="24"/>
          <w:szCs w:val="24"/>
        </w:rPr>
      </w:pPr>
      <w:r>
        <w:rPr>
          <w:rFonts w:cs="Times New Roman" w:ascii="Times New Roman" w:hAnsi="Times New Roman"/>
          <w:b/>
          <w:bCs/>
          <w:sz w:val="24"/>
          <w:szCs w:val="24"/>
        </w:rPr>
      </w:r>
    </w:p>
    <w:tbl>
      <w:tblPr>
        <w:tblW w:w="963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37"/>
        <w:gridCol w:w="7795"/>
      </w:tblGrid>
      <w:tr>
        <w:trPr/>
        <w:tc>
          <w:tcPr>
            <w:tcW w:w="1837" w:type="dxa"/>
            <w:tcBorders>
              <w:top w:val="single" w:sz="4" w:space="0" w:color="000000"/>
              <w:left w:val="single" w:sz="4" w:space="0" w:color="000000"/>
              <w:bottom w:val="single" w:sz="4" w:space="0" w:color="000000"/>
            </w:tcBorders>
            <w:shd w:color="auto" w:fill="FFFFFF" w:themeFill="background1" w:val="clear"/>
          </w:tcPr>
          <w:p>
            <w:pPr>
              <w:pStyle w:val="Normal"/>
              <w:spacing w:before="0" w:after="160"/>
              <w:ind w:left="89"/>
              <w:jc w:val="center"/>
              <w:rPr>
                <w:rFonts w:ascii="Times New Roman" w:hAnsi="Times New Roman"/>
                <w:sz w:val="24"/>
                <w:szCs w:val="24"/>
              </w:rPr>
            </w:pPr>
            <w:r>
              <w:rPr>
                <w:rFonts w:eastAsia="Times New Roman" w:cs="Times New Roman" w:ascii="Times New Roman" w:hAnsi="Times New Roman"/>
                <w:sz w:val="24"/>
                <w:szCs w:val="24"/>
              </w:rPr>
              <w:t>Balai</w:t>
            </w:r>
          </w:p>
        </w:tc>
        <w:tc>
          <w:tcPr>
            <w:tcW w:w="77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before="0" w:after="160"/>
              <w:ind w:left="360" w:right="89"/>
              <w:contextualSpacing/>
              <w:rPr>
                <w:rFonts w:ascii="Times New Roman" w:hAnsi="Times New Roman"/>
                <w:sz w:val="24"/>
                <w:szCs w:val="24"/>
              </w:rPr>
            </w:pPr>
            <w:r>
              <w:rPr>
                <w:rFonts w:eastAsia="Calibri" w:cs="Times New Roman" w:ascii="Times New Roman" w:hAnsi="Times New Roman"/>
                <w:b/>
                <w:bCs/>
                <w:sz w:val="24"/>
                <w:szCs w:val="24"/>
              </w:rPr>
              <w:t xml:space="preserve">Lektoriaus mokymų vedimo patirtis </w:t>
            </w:r>
            <w:r>
              <w:rPr>
                <w:rFonts w:eastAsia="Times New Roman" w:cs="Times New Roman" w:ascii="Times New Roman" w:hAnsi="Times New Roman"/>
                <w:b/>
                <w:sz w:val="24"/>
                <w:szCs w:val="24"/>
              </w:rPr>
              <w:t>R</w:t>
            </w:r>
            <w:r>
              <w:rPr>
                <w:rFonts w:eastAsia="Times New Roman" w:cs="Times New Roman" w:ascii="Times New Roman" w:hAnsi="Times New Roman"/>
                <w:b/>
                <w:sz w:val="24"/>
                <w:szCs w:val="24"/>
                <w:vertAlign w:val="subscript"/>
              </w:rPr>
              <w:t>1</w:t>
            </w:r>
          </w:p>
        </w:tc>
      </w:tr>
      <w:tr>
        <w:trPr/>
        <w:tc>
          <w:tcPr>
            <w:tcW w:w="1837" w:type="dxa"/>
            <w:tcBorders>
              <w:top w:val="single" w:sz="4" w:space="0" w:color="000000"/>
              <w:left w:val="single" w:sz="4" w:space="0" w:color="000000"/>
              <w:bottom w:val="single" w:sz="4" w:space="0" w:color="000000"/>
            </w:tcBorders>
            <w:shd w:color="auto" w:fill="FFFFFF" w:themeFill="background1" w:val="clear"/>
          </w:tcPr>
          <w:p>
            <w:pPr>
              <w:pStyle w:val="Normal"/>
              <w:spacing w:before="0" w:after="160"/>
              <w:ind w:left="180"/>
              <w:jc w:val="center"/>
              <w:rPr>
                <w:rFonts w:ascii="Times New Roman" w:hAnsi="Times New Roman"/>
                <w:sz w:val="24"/>
                <w:szCs w:val="24"/>
              </w:rPr>
            </w:pPr>
            <w:r>
              <w:rPr>
                <w:rFonts w:eastAsia="Times New Roman" w:cs="Times New Roman" w:ascii="Times New Roman" w:hAnsi="Times New Roman"/>
                <w:sz w:val="24"/>
                <w:szCs w:val="24"/>
              </w:rPr>
              <w:t>1</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Fonts w:eastAsia="Times New Roman" w:cs="Times New Roman" w:ascii="Times New Roman" w:hAnsi="Times New Roman"/>
                <w:sz w:val="24"/>
                <w:szCs w:val="24"/>
              </w:rPr>
              <w:t xml:space="preserve">Lektorius </w:t>
            </w:r>
            <w:r>
              <w:rPr>
                <w:rStyle w:val="Normaltextrun"/>
                <w:rFonts w:cs="Times New Roman" w:ascii="Times New Roman" w:hAnsi="Times New Roman"/>
                <w:color w:val="000000"/>
                <w:sz w:val="24"/>
                <w:szCs w:val="24"/>
              </w:rPr>
              <w:t xml:space="preserve"> </w:t>
            </w:r>
            <w:r>
              <w:rPr>
                <w:rStyle w:val="Normaltextrun"/>
                <w:rFonts w:eastAsia="Calibri" w:cs="Times New Roman" w:ascii="Times New Roman" w:hAnsi="Times New Roman"/>
                <w:color w:val="000000"/>
                <w:sz w:val="24"/>
                <w:szCs w:val="24"/>
                <w:shd w:fill="FFFFFF" w:val="clear"/>
                <w:lang w:eastAsia="en-US"/>
              </w:rPr>
              <w:t xml:space="preserve">per 3 metus iki pasiūlymo pateikimo pabaigos turi turėti nemažiau kaip 12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top w:val="single" w:sz="4" w:space="0" w:color="000000"/>
              <w:left w:val="single" w:sz="4" w:space="0" w:color="000000"/>
              <w:bottom w:val="single" w:sz="4" w:space="0" w:color="000000"/>
            </w:tcBorders>
            <w:shd w:color="auto" w:fill="FFFFFF" w:themeFill="background1" w:val="clear"/>
          </w:tcPr>
          <w:p>
            <w:pPr>
              <w:pStyle w:val="Normal"/>
              <w:spacing w:before="0" w:after="160"/>
              <w:ind w:left="269"/>
              <w:jc w:val="center"/>
              <w:rPr>
                <w:rFonts w:ascii="Times New Roman" w:hAnsi="Times New Roman"/>
                <w:sz w:val="24"/>
                <w:szCs w:val="24"/>
              </w:rPr>
            </w:pPr>
            <w:r>
              <w:rPr>
                <w:rFonts w:eastAsia="Times New Roman" w:cs="Times New Roman" w:ascii="Times New Roman" w:hAnsi="Times New Roman"/>
                <w:sz w:val="24"/>
                <w:szCs w:val="24"/>
              </w:rPr>
              <w:t>2</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Style w:val="Normaltextrun"/>
                <w:rFonts w:eastAsia="Times New Roman" w:cs="Times New Roman" w:ascii="Times New Roman" w:hAnsi="Times New Roman"/>
                <w:color w:val="000000"/>
                <w:sz w:val="24"/>
                <w:szCs w:val="24"/>
                <w:shd w:fill="FFFFFF" w:val="clear"/>
              </w:rPr>
              <w:t xml:space="preserve">Lektorius </w:t>
            </w:r>
            <w:r>
              <w:rPr>
                <w:rStyle w:val="Normaltextrun"/>
                <w:rFonts w:cs="Times New Roman" w:ascii="Times New Roman" w:hAnsi="Times New Roman"/>
                <w:color w:val="000000"/>
                <w:sz w:val="24"/>
                <w:szCs w:val="24"/>
                <w:shd w:fill="FFFFFF" w:val="clear"/>
              </w:rPr>
              <w:t xml:space="preserve"> </w:t>
            </w:r>
            <w:r>
              <w:rPr>
                <w:rStyle w:val="Normaltextrun"/>
                <w:rFonts w:eastAsia="Calibri" w:cs="Times New Roman" w:ascii="Times New Roman" w:hAnsi="Times New Roman"/>
                <w:color w:val="000000"/>
                <w:sz w:val="24"/>
                <w:szCs w:val="24"/>
                <w:shd w:fill="FFFFFF" w:val="clear"/>
                <w:lang w:eastAsia="en-US"/>
              </w:rPr>
              <w:t xml:space="preserve">per 3 metus iki pasiūlymo pateikimo pabaigos turi turėti nemažiau kaip 18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top w:val="single" w:sz="4" w:space="0" w:color="000000"/>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sz w:val="24"/>
                <w:szCs w:val="24"/>
              </w:rPr>
            </w:pPr>
            <w:r>
              <w:rPr>
                <w:rFonts w:eastAsia="Times New Roman" w:cs="Times New Roman" w:ascii="Times New Roman" w:hAnsi="Times New Roman"/>
                <w:sz w:val="24"/>
                <w:szCs w:val="24"/>
              </w:rPr>
              <w:t>3</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360" w:right="89"/>
              <w:contextualSpacing/>
              <w:jc w:val="both"/>
              <w:rPr/>
            </w:pPr>
            <w:r>
              <w:rPr>
                <w:rStyle w:val="Normaltextrun"/>
                <w:rFonts w:eastAsia="Times New Roman" w:cs="Times New Roman" w:ascii="Times New Roman" w:hAnsi="Times New Roman"/>
                <w:color w:val="000000"/>
                <w:sz w:val="24"/>
                <w:szCs w:val="24"/>
                <w:shd w:fill="FFFFFF" w:val="clear"/>
                <w:lang w:eastAsia="en-US"/>
              </w:rPr>
              <w:t xml:space="preserve">Lektorius </w:t>
            </w:r>
            <w:r>
              <w:rPr>
                <w:rStyle w:val="Normaltextrun"/>
                <w:rFonts w:eastAsia="Calibri" w:cs="Times New Roman" w:ascii="Times New Roman" w:hAnsi="Times New Roman"/>
                <w:color w:val="000000"/>
                <w:sz w:val="24"/>
                <w:szCs w:val="24"/>
                <w:shd w:fill="FFFFFF" w:val="clear"/>
                <w:lang w:eastAsia="en-US"/>
              </w:rPr>
              <w:t xml:space="preserve"> per 3 metus iki pasiūlymo pateikimo pabaigos turi turėti nemažiau kaip 24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4</w:t>
            </w:r>
          </w:p>
        </w:tc>
        <w:tc>
          <w:tcPr>
            <w:tcW w:w="7795" w:type="dxa"/>
            <w:tcBorders>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Style w:val="Normaltextrun"/>
                <w:rFonts w:eastAsia="Times New Roman" w:cs="Times New Roman" w:ascii="Times New Roman" w:hAnsi="Times New Roman"/>
                <w:color w:val="000000"/>
                <w:sz w:val="24"/>
                <w:szCs w:val="24"/>
                <w:shd w:fill="FFFFFF" w:val="clear"/>
                <w:lang w:eastAsia="en-US"/>
              </w:rPr>
              <w:t xml:space="preserve">Lektorius </w:t>
            </w:r>
            <w:r>
              <w:rPr>
                <w:rStyle w:val="Normaltextrun"/>
                <w:rFonts w:eastAsia="Calibri" w:cs="Times New Roman" w:ascii="Times New Roman" w:hAnsi="Times New Roman"/>
                <w:color w:val="000000"/>
                <w:sz w:val="24"/>
                <w:szCs w:val="24"/>
                <w:shd w:fill="FFFFFF" w:val="clear"/>
                <w:lang w:eastAsia="en-US"/>
              </w:rPr>
              <w:t xml:space="preserve"> per 3 metus iki pasiūlymo pateikimo pabaigos turi turėti nemažiau kaip 30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5</w:t>
            </w:r>
          </w:p>
        </w:tc>
        <w:tc>
          <w:tcPr>
            <w:tcW w:w="7795" w:type="dxa"/>
            <w:tcBorders>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Style w:val="Normaltextrun"/>
                <w:rFonts w:eastAsia="Times New Roman" w:cs="Times New Roman" w:ascii="Times New Roman" w:hAnsi="Times New Roman"/>
                <w:color w:val="000000"/>
                <w:sz w:val="24"/>
                <w:szCs w:val="24"/>
                <w:shd w:fill="FFFFFF" w:val="clear"/>
                <w:lang w:eastAsia="en-US"/>
              </w:rPr>
              <w:t xml:space="preserve">Lektorius </w:t>
            </w:r>
            <w:r>
              <w:rPr>
                <w:rStyle w:val="Normaltextrun"/>
                <w:rFonts w:eastAsia="Calibri" w:cs="Times New Roman" w:ascii="Times New Roman" w:hAnsi="Times New Roman"/>
                <w:color w:val="000000"/>
                <w:sz w:val="24"/>
                <w:szCs w:val="24"/>
                <w:shd w:fill="FFFFFF" w:val="clear"/>
                <w:lang w:eastAsia="en-US"/>
              </w:rPr>
              <w:t xml:space="preserve"> per 3 metus iki pasiūlymo pateikimo pabaigos turi turėti nemažiau kaip 36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6</w:t>
            </w:r>
          </w:p>
        </w:tc>
        <w:tc>
          <w:tcPr>
            <w:tcW w:w="7795" w:type="dxa"/>
            <w:tcBorders>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Style w:val="Normaltextrun"/>
                <w:rFonts w:eastAsia="Times New Roman" w:cs="Times New Roman" w:ascii="Times New Roman" w:hAnsi="Times New Roman"/>
                <w:color w:val="000000"/>
                <w:sz w:val="24"/>
                <w:szCs w:val="24"/>
                <w:shd w:fill="FFFFFF" w:val="clear"/>
                <w:lang w:eastAsia="en-US"/>
              </w:rPr>
              <w:t xml:space="preserve">Lektorius </w:t>
            </w:r>
            <w:r>
              <w:rPr>
                <w:rStyle w:val="Normaltextrun"/>
                <w:rFonts w:eastAsia="Calibri" w:cs="Times New Roman" w:ascii="Times New Roman" w:hAnsi="Times New Roman"/>
                <w:color w:val="000000"/>
                <w:sz w:val="24"/>
                <w:szCs w:val="24"/>
                <w:shd w:fill="FFFFFF" w:val="clear"/>
                <w:lang w:eastAsia="en-US"/>
              </w:rPr>
              <w:t xml:space="preserve"> per 3 metus iki pasiūlymo pateikimo pabaigos turi turėti nemažiau kaip 42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7</w:t>
            </w:r>
          </w:p>
        </w:tc>
        <w:tc>
          <w:tcPr>
            <w:tcW w:w="7795" w:type="dxa"/>
            <w:tcBorders>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Style w:val="Normaltextrun"/>
                <w:rFonts w:eastAsia="Times New Roman" w:cs="Times New Roman" w:ascii="Times New Roman" w:hAnsi="Times New Roman"/>
                <w:color w:val="000000"/>
                <w:sz w:val="24"/>
                <w:szCs w:val="24"/>
                <w:shd w:fill="FFFFFF" w:val="clear"/>
                <w:lang w:eastAsia="en-US"/>
              </w:rPr>
              <w:t xml:space="preserve">Lektorius </w:t>
            </w:r>
            <w:r>
              <w:rPr>
                <w:rStyle w:val="Normaltextrun"/>
                <w:rFonts w:eastAsia="Calibri" w:cs="Times New Roman" w:ascii="Times New Roman" w:hAnsi="Times New Roman"/>
                <w:color w:val="000000"/>
                <w:sz w:val="24"/>
                <w:szCs w:val="24"/>
                <w:shd w:fill="FFFFFF" w:val="clear"/>
                <w:lang w:eastAsia="en-US"/>
              </w:rPr>
              <w:t xml:space="preserve"> per 3 metus iki pasiūlymo pateikimo pabaigos turi turėti nemažiau kaip 48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8</w:t>
            </w:r>
          </w:p>
        </w:tc>
        <w:tc>
          <w:tcPr>
            <w:tcW w:w="7795" w:type="dxa"/>
            <w:tcBorders>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Fonts w:eastAsia="Times New Roman" w:cs="Times New Roman" w:ascii="Times New Roman" w:hAnsi="Times New Roman"/>
                <w:sz w:val="24"/>
                <w:szCs w:val="24"/>
              </w:rPr>
              <w:t xml:space="preserve">Lektorius </w:t>
            </w:r>
            <w:r>
              <w:rPr>
                <w:rStyle w:val="Normaltextrun"/>
                <w:rFonts w:cs="Times New Roman" w:ascii="Times New Roman" w:hAnsi="Times New Roman"/>
                <w:color w:val="000000"/>
                <w:sz w:val="24"/>
                <w:szCs w:val="24"/>
              </w:rPr>
              <w:t xml:space="preserve"> </w:t>
            </w:r>
            <w:r>
              <w:rPr>
                <w:rStyle w:val="Normaltextrun"/>
                <w:rFonts w:eastAsia="Calibri" w:cs="Times New Roman" w:ascii="Times New Roman" w:hAnsi="Times New Roman"/>
                <w:color w:val="000000"/>
                <w:sz w:val="24"/>
                <w:szCs w:val="24"/>
                <w:shd w:fill="FFFFFF" w:val="clear"/>
                <w:lang w:eastAsia="en-US"/>
              </w:rPr>
              <w:t xml:space="preserve">per 3 metus iki pasiūlymo pateikimo pabaigos turi turėti nemažiau kaip 54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r>
        <w:trPr/>
        <w:tc>
          <w:tcPr>
            <w:tcW w:w="1837"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w:t>
            </w:r>
          </w:p>
        </w:tc>
        <w:tc>
          <w:tcPr>
            <w:tcW w:w="7795" w:type="dxa"/>
            <w:tcBorders>
              <w:left w:val="single" w:sz="4" w:space="0" w:color="000000"/>
              <w:bottom w:val="single" w:sz="4" w:space="0" w:color="000000"/>
              <w:right w:val="single" w:sz="4" w:space="0" w:color="000000"/>
            </w:tcBorders>
            <w:shd w:color="auto" w:fill="auto" w:val="clear"/>
          </w:tcPr>
          <w:p>
            <w:pPr>
              <w:pStyle w:val="Normal"/>
              <w:tabs>
                <w:tab w:val="clear" w:pos="1296"/>
                <w:tab w:val="left" w:pos="450" w:leader="none"/>
                <w:tab w:val="left" w:pos="1250" w:leader="none"/>
                <w:tab w:val="left" w:pos="1280" w:leader="none"/>
              </w:tabs>
              <w:spacing w:before="0" w:after="160"/>
              <w:ind w:left="269" w:right="89"/>
              <w:contextualSpacing/>
              <w:jc w:val="both"/>
              <w:rPr/>
            </w:pPr>
            <w:r>
              <w:rPr>
                <w:rFonts w:eastAsia="Times New Roman" w:cs="Times New Roman" w:ascii="Times New Roman" w:hAnsi="Times New Roman"/>
                <w:sz w:val="24"/>
                <w:szCs w:val="24"/>
              </w:rPr>
              <w:t xml:space="preserve">Lektorius </w:t>
            </w:r>
            <w:r>
              <w:rPr>
                <w:rStyle w:val="Normaltextrun"/>
                <w:rFonts w:cs="Times New Roman" w:ascii="Times New Roman" w:hAnsi="Times New Roman"/>
                <w:color w:val="000000"/>
                <w:sz w:val="24"/>
                <w:szCs w:val="24"/>
              </w:rPr>
              <w:t xml:space="preserve"> </w:t>
            </w:r>
            <w:r>
              <w:rPr>
                <w:rStyle w:val="Normaltextrun"/>
                <w:rFonts w:eastAsia="Calibri" w:cs="Times New Roman" w:ascii="Times New Roman" w:hAnsi="Times New Roman"/>
                <w:color w:val="000000"/>
                <w:sz w:val="24"/>
                <w:szCs w:val="24"/>
                <w:shd w:fill="FFFFFF" w:val="clear"/>
                <w:lang w:eastAsia="en-US"/>
              </w:rPr>
              <w:t xml:space="preserve">per 3 metus iki pasiūlymo pateikimo pabaigos turi turėti nemažiau kaip 60 akad. val.  mokymų vedimo patirtį </w:t>
            </w:r>
            <w:r>
              <w:rPr>
                <w:rStyle w:val="Normaltextrun"/>
                <w:rFonts w:eastAsia="Times New Roman" w:cs="Times New Roman" w:ascii="Times New Roman" w:hAnsi="Times New Roman"/>
                <w:color w:val="000000"/>
                <w:sz w:val="24"/>
                <w:szCs w:val="24"/>
                <w:shd w:fill="FFFFFF" w:val="clear"/>
                <w:lang w:eastAsia="en-US"/>
              </w:rPr>
              <w:t xml:space="preserve">racionalaus antimikrobinių vaistų vartojimo  ir skyrimo </w:t>
            </w:r>
            <w:r>
              <w:rPr>
                <w:rStyle w:val="Normaltextrun"/>
                <w:rFonts w:eastAsia="Calibri" w:cs="Times New Roman" w:ascii="Times New Roman" w:hAnsi="Times New Roman"/>
                <w:color w:val="000000"/>
                <w:sz w:val="24"/>
                <w:szCs w:val="24"/>
                <w:shd w:fill="FFFFFF" w:val="clear"/>
                <w:lang w:eastAsia="en-US"/>
              </w:rPr>
              <w:t xml:space="preserve"> tema</w:t>
            </w:r>
          </w:p>
        </w:tc>
      </w:tr>
    </w:tbl>
    <w:p>
      <w:pPr>
        <w:pStyle w:val="Normal"/>
        <w:tabs>
          <w:tab w:val="clear" w:pos="1296"/>
          <w:tab w:val="left" w:pos="1276" w:leader="none"/>
        </w:tabs>
        <w:spacing w:before="0" w:after="160"/>
        <w:ind w:left="720"/>
        <w:contextualSpacing/>
        <w:rPr>
          <w:rFonts w:ascii="Times New Roman" w:hAnsi="Times New Roman" w:eastAsia="Calibri" w:cs="Times New Roman"/>
          <w:b/>
          <w:bCs/>
          <w:sz w:val="20"/>
          <w:szCs w:val="20"/>
          <w:lang w:eastAsia="en-US"/>
        </w:rPr>
      </w:pPr>
      <w:r>
        <w:rPr>
          <w:rFonts w:eastAsia="Calibri" w:cs="Times New Roman" w:ascii="Times New Roman" w:hAnsi="Times New Roman"/>
          <w:b/>
          <w:bCs/>
          <w:sz w:val="20"/>
          <w:szCs w:val="20"/>
          <w:lang w:eastAsia="en-US"/>
        </w:rPr>
      </w:r>
    </w:p>
    <w:p>
      <w:pPr>
        <w:pStyle w:val="Normal"/>
        <w:tabs>
          <w:tab w:val="clear" w:pos="1296"/>
          <w:tab w:val="left" w:pos="1276" w:leader="none"/>
        </w:tabs>
        <w:spacing w:before="0" w:after="160"/>
        <w:ind w:left="720"/>
        <w:contextualSpacing/>
        <w:rPr>
          <w:rFonts w:ascii="Times New Roman" w:hAnsi="Times New Roman" w:eastAsia="Calibri" w:cs="Times New Roman"/>
          <w:b/>
          <w:sz w:val="20"/>
          <w:szCs w:val="20"/>
          <w:lang w:eastAsia="en-US"/>
        </w:rPr>
      </w:pPr>
      <w:r>
        <w:rPr>
          <w:rFonts w:eastAsia="Calibri" w:cs="Times New Roman" w:ascii="Times New Roman" w:hAnsi="Times New Roman"/>
          <w:b/>
          <w:sz w:val="20"/>
          <w:szCs w:val="20"/>
          <w:lang w:eastAsia="en-US"/>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0"/>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2 parametras. </w:t>
            </w:r>
            <w:bookmarkStart w:id="72" w:name="_Hlk163281182"/>
            <w:r>
              <w:rPr>
                <w:rFonts w:eastAsia="Times New Roman" w:cs="Times New Roman" w:ascii="Times New Roman" w:hAnsi="Times New Roman"/>
                <w:b/>
                <w:sz w:val="24"/>
                <w:szCs w:val="24"/>
                <w:lang w:eastAsia="en-US"/>
              </w:rPr>
              <w:t xml:space="preserve">Lektoriaus praktinio darbo patirtis </w:t>
            </w:r>
            <w:r>
              <w:rPr>
                <w:rFonts w:eastAsia="Times New Roman" w:cs="Times New Roman" w:ascii="Times New Roman" w:hAnsi="Times New Roman"/>
                <w:b/>
                <w:sz w:val="24"/>
                <w:szCs w:val="24"/>
              </w:rPr>
              <w:t xml:space="preserve"> </w:t>
            </w:r>
            <w:bookmarkEnd w:id="72"/>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2</w:t>
            </w:r>
            <w:r>
              <w:rPr>
                <w:rFonts w:eastAsia="Times New Roman" w:cs="Times New Roman" w:ascii="Times New Roman" w:hAnsi="Times New Roman"/>
                <w:b/>
                <w:sz w:val="24"/>
                <w:szCs w:val="24"/>
              </w:rPr>
              <w:t>)</w:t>
            </w:r>
          </w:p>
          <w:p>
            <w:pPr>
              <w:pStyle w:val="Normal"/>
              <w:tabs>
                <w:tab w:val="clear" w:pos="1296"/>
                <w:tab w:val="left" w:pos="1026" w:leader="none"/>
              </w:tabs>
              <w:spacing w:before="0" w:after="16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Vertinama praktinio darbo patirtis mikrobiologinių tyrimų srityje</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Balai</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76" w:leader="none"/>
              </w:tabs>
              <w:spacing w:before="0" w:after="160"/>
              <w:ind w:left="720"/>
              <w:rPr>
                <w:rFonts w:ascii="Times New Roman" w:hAnsi="Times New Roman" w:eastAsia="Times New Roman" w:cs="Times New Roman"/>
                <w:sz w:val="24"/>
                <w:szCs w:val="24"/>
              </w:rPr>
            </w:pPr>
            <w:r>
              <w:rPr>
                <w:rFonts w:eastAsia="Times New Roman" w:cs="Times New Roman" w:ascii="Times New Roman" w:hAnsi="Times New Roman"/>
                <w:b/>
                <w:sz w:val="24"/>
                <w:szCs w:val="24"/>
                <w:lang w:eastAsia="en-US"/>
              </w:rPr>
              <w:t xml:space="preserve">Lektoriaus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2</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76" w:leader="none"/>
              </w:tabs>
              <w:spacing w:before="0" w:after="160"/>
              <w:ind w:left="720"/>
              <w:rPr>
                <w:rFonts w:ascii="Times New Roman" w:hAnsi="Times New Roman" w:cs="Times New Roman"/>
                <w:sz w:val="24"/>
                <w:szCs w:val="24"/>
              </w:rPr>
            </w:pPr>
            <w:r>
              <w:rPr>
                <w:rFonts w:eastAsia="Times New Roman" w:cs="Times New Roman" w:ascii="Times New Roman" w:hAnsi="Times New Roman"/>
                <w:sz w:val="24"/>
                <w:szCs w:val="24"/>
              </w:rPr>
              <w:t>Lektorius neturi ne</w:t>
            </w:r>
            <w:r>
              <w:rPr>
                <w:rFonts w:eastAsia="Calibri" w:cs="Times New Roman" w:ascii="Times New Roman" w:hAnsi="Times New Roman"/>
                <w:sz w:val="24"/>
                <w:szCs w:val="24"/>
                <w:shd w:fill="FFFFFF" w:val="clear"/>
                <w:lang w:eastAsia="en-US"/>
              </w:rPr>
              <w:t xml:space="preserve"> mažesnę kaip 12 mėnesių praktinio patirtį mikrobiologinių tyrimų srityje.</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76" w:leader="none"/>
              </w:tabs>
              <w:spacing w:before="0" w:after="160"/>
              <w:ind w:left="720"/>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en-US"/>
              </w:rPr>
              <w:t>Lektorius turi ne</w:t>
            </w:r>
            <w:r>
              <w:rPr>
                <w:rFonts w:eastAsia="Calibri" w:cs="Times New Roman" w:ascii="Times New Roman" w:hAnsi="Times New Roman"/>
                <w:sz w:val="24"/>
                <w:szCs w:val="24"/>
                <w:shd w:fill="FFFFFF" w:val="clear"/>
                <w:lang w:eastAsia="en-US"/>
              </w:rPr>
              <w:t xml:space="preserve"> mažesnę kaip 12 mėnesių praktinio patirtį mikrobiologinių tyrimų srityje.</w:t>
            </w:r>
          </w:p>
        </w:tc>
      </w:tr>
    </w:tbl>
    <w:p>
      <w:pPr>
        <w:pStyle w:val="Normal"/>
        <w:tabs>
          <w:tab w:val="clear" w:pos="1296"/>
          <w:tab w:val="left" w:pos="1276" w:leader="none"/>
        </w:tabs>
        <w:spacing w:before="0" w:after="16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1276" w:leader="none"/>
        </w:tabs>
        <w:spacing w:before="0" w:after="16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1276" w:leader="none"/>
        </w:tabs>
        <w:spacing w:before="0" w:after="16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0"/>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3 parametras. </w:t>
            </w:r>
            <w:bookmarkStart w:id="73" w:name="_Hlk163281182_Copy_1"/>
            <w:r>
              <w:rPr>
                <w:rFonts w:eastAsia="Times New Roman" w:cs="Times New Roman" w:ascii="Times New Roman" w:hAnsi="Times New Roman"/>
                <w:b/>
                <w:sz w:val="24"/>
                <w:szCs w:val="24"/>
                <w:lang w:eastAsia="en-US"/>
              </w:rPr>
              <w:t xml:space="preserve">Lektoriaus praktinio darbo patirtis </w:t>
            </w:r>
            <w:r>
              <w:rPr>
                <w:rFonts w:eastAsia="Times New Roman" w:cs="Times New Roman" w:ascii="Times New Roman" w:hAnsi="Times New Roman"/>
                <w:b/>
                <w:sz w:val="24"/>
                <w:szCs w:val="24"/>
              </w:rPr>
              <w:t xml:space="preserve"> </w:t>
            </w:r>
            <w:bookmarkEnd w:id="73"/>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3</w:t>
            </w:r>
            <w:r>
              <w:rPr>
                <w:rFonts w:eastAsia="Times New Roman" w:cs="Times New Roman" w:ascii="Times New Roman" w:hAnsi="Times New Roman"/>
                <w:b/>
                <w:sz w:val="24"/>
                <w:szCs w:val="24"/>
              </w:rPr>
              <w:t>)</w:t>
            </w:r>
          </w:p>
          <w:p>
            <w:pPr>
              <w:pStyle w:val="Normal"/>
              <w:tabs>
                <w:tab w:val="clear" w:pos="1296"/>
                <w:tab w:val="left" w:pos="1026" w:leader="none"/>
              </w:tabs>
              <w:spacing w:before="0" w:after="16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Vertinama praktinio darbo patirtis antimikrobinių vaistinių preparatų skyrimo konsultavimo srityje</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Balai</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76" w:leader="none"/>
              </w:tabs>
              <w:spacing w:before="0" w:after="160"/>
              <w:ind w:left="720"/>
              <w:rPr>
                <w:rFonts w:ascii="Times New Roman" w:hAnsi="Times New Roman" w:eastAsia="Times New Roman" w:cs="Times New Roman"/>
                <w:sz w:val="24"/>
                <w:szCs w:val="24"/>
              </w:rPr>
            </w:pPr>
            <w:r>
              <w:rPr>
                <w:rFonts w:eastAsia="Times New Roman" w:cs="Times New Roman" w:ascii="Times New Roman" w:hAnsi="Times New Roman"/>
                <w:b/>
                <w:sz w:val="24"/>
                <w:szCs w:val="24"/>
                <w:lang w:eastAsia="en-US"/>
              </w:rPr>
              <w:t xml:space="preserve">Lektoriaus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3</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76" w:leader="none"/>
              </w:tabs>
              <w:spacing w:before="0" w:after="160"/>
              <w:ind w:left="720"/>
              <w:rPr>
                <w:rFonts w:ascii="Times New Roman" w:hAnsi="Times New Roman" w:cs="Times New Roman"/>
                <w:sz w:val="24"/>
                <w:szCs w:val="24"/>
              </w:rPr>
            </w:pPr>
            <w:r>
              <w:rPr>
                <w:rFonts w:eastAsia="Times New Roman" w:cs="Times New Roman" w:ascii="Times New Roman" w:hAnsi="Times New Roman"/>
                <w:sz w:val="24"/>
                <w:szCs w:val="24"/>
              </w:rPr>
              <w:t>Lektorius neturi ne</w:t>
            </w:r>
            <w:r>
              <w:rPr>
                <w:rFonts w:eastAsia="Calibri" w:cs="Times New Roman" w:ascii="Times New Roman" w:hAnsi="Times New Roman"/>
                <w:sz w:val="24"/>
                <w:szCs w:val="24"/>
                <w:shd w:fill="FFFFFF" w:val="clear"/>
                <w:lang w:eastAsia="en-US"/>
              </w:rPr>
              <w:t xml:space="preserve"> mažesnę kaip 12 mėnesių praktinio patirtį </w:t>
            </w:r>
            <w:r>
              <w:rPr>
                <w:rFonts w:eastAsia="Times New Roman" w:cs="Times New Roman" w:ascii="Times New Roman" w:hAnsi="Times New Roman"/>
                <w:sz w:val="24"/>
                <w:szCs w:val="24"/>
                <w:shd w:fill="FFFFFF" w:val="clear"/>
                <w:lang w:eastAsia="en-US"/>
              </w:rPr>
              <w:t xml:space="preserve">antimikrobinių vaistinių preparatų skyrimo konsultavimo </w:t>
            </w:r>
            <w:r>
              <w:rPr>
                <w:rFonts w:eastAsia="Calibri" w:cs="Times New Roman" w:ascii="Times New Roman" w:hAnsi="Times New Roman"/>
                <w:sz w:val="24"/>
                <w:szCs w:val="24"/>
                <w:shd w:fill="FFFFFF" w:val="clear"/>
                <w:lang w:eastAsia="en-US"/>
              </w:rPr>
              <w:t>srityje.</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76" w:leader="none"/>
              </w:tabs>
              <w:spacing w:before="0" w:after="160"/>
              <w:ind w:left="720"/>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en-US"/>
              </w:rPr>
              <w:t>Lektorius turi ne</w:t>
            </w:r>
            <w:r>
              <w:rPr>
                <w:rFonts w:eastAsia="Calibri" w:cs="Times New Roman" w:ascii="Times New Roman" w:hAnsi="Times New Roman"/>
                <w:sz w:val="24"/>
                <w:szCs w:val="24"/>
                <w:shd w:fill="FFFFFF" w:val="clear"/>
                <w:lang w:eastAsia="en-US"/>
              </w:rPr>
              <w:t xml:space="preserve"> mažesnę kaip 12 mėnesių praktinio patirtį </w:t>
            </w:r>
            <w:r>
              <w:rPr>
                <w:rFonts w:eastAsia="Times New Roman" w:cs="Times New Roman" w:ascii="Times New Roman" w:hAnsi="Times New Roman"/>
                <w:sz w:val="24"/>
                <w:szCs w:val="24"/>
                <w:shd w:fill="FFFFFF" w:val="clear"/>
                <w:lang w:eastAsia="en-US"/>
              </w:rPr>
              <w:t xml:space="preserve">antimikrobinių vaistinių preparatų skyrimo konsultavimo </w:t>
            </w:r>
            <w:r>
              <w:rPr>
                <w:rFonts w:eastAsia="Calibri" w:cs="Times New Roman" w:ascii="Times New Roman" w:hAnsi="Times New Roman"/>
                <w:sz w:val="24"/>
                <w:szCs w:val="24"/>
                <w:shd w:fill="FFFFFF" w:val="clear"/>
                <w:lang w:eastAsia="en-US"/>
              </w:rPr>
              <w:t xml:space="preserve"> srityje.</w:t>
            </w:r>
          </w:p>
        </w:tc>
      </w:tr>
    </w:tbl>
    <w:p>
      <w:pPr>
        <w:pStyle w:val="Normal"/>
        <w:tabs>
          <w:tab w:val="clear" w:pos="1296"/>
          <w:tab w:val="left" w:pos="1276" w:leader="none"/>
        </w:tabs>
        <w:spacing w:before="0" w:after="160"/>
        <w:ind w:left="72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Standard"/>
        <w:tabs>
          <w:tab w:val="clear" w:pos="1296"/>
          <w:tab w:val="left" w:pos="993" w:leader="none"/>
        </w:tabs>
        <w:jc w:val="center"/>
        <w:rPr/>
      </w:pPr>
      <w:r>
        <w:rPr>
          <w:rStyle w:val="Numatytasispastraiposriftas1"/>
          <w:rFonts w:eastAsia="" w:ascii="Times New Roman" w:hAnsi="Times New Roman" w:eastAsiaTheme="majorEastAsia"/>
          <w:sz w:val="24"/>
        </w:rPr>
        <w:t>____________________</w:t>
      </w:r>
    </w:p>
    <w:p>
      <w:pPr>
        <w:pStyle w:val="Normal"/>
        <w:spacing w:lineRule="auto" w:line="240" w:before="0" w:after="0"/>
        <w:jc w:val="center"/>
        <w:rPr>
          <w:rFonts w:ascii="Times New Roman" w:hAnsi="Times New Roman"/>
        </w:rPr>
      </w:pPr>
      <w:r>
        <w:rPr>
          <w:rFonts w:ascii="Times New Roman" w:hAnsi="Times New Roman"/>
        </w:rPr>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4" w:name="_Hlk151126637_Copy_2"/>
      <w:bookmarkStart w:id="75" w:name="_Hlk151126637_Copy_2"/>
      <w:bookmarkEnd w:id="75"/>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Heading2"/>
        <w:spacing w:before="0" w:after="0"/>
        <w:ind w:left="5103"/>
        <w:rPr>
          <w:rFonts w:ascii="Times New Roman" w:hAnsi="Times New Roman"/>
        </w:rPr>
      </w:pPr>
      <w:bookmarkStart w:id="76" w:name="_Toc124404965"/>
      <w:r>
        <w:rPr>
          <w:rFonts w:cs="Times New Roman" w:ascii="Times New Roman" w:hAnsi="Times New Roman"/>
          <w:color w:val="auto"/>
          <w:sz w:val="24"/>
          <w:szCs w:val="24"/>
        </w:rPr>
        <w:t>Pirkimo sąlygų 8 priedas „Sutarties projektas“</w:t>
      </w:r>
      <w:bookmarkEnd w:id="76"/>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before="0" w:after="160"/>
        <w:rPr>
          <w:rFonts w:ascii="Times New Roman" w:hAnsi="Times New Roman"/>
        </w:rPr>
      </w:pPr>
      <w:r>
        <w:rPr>
          <w:rFonts w:cs="Times New Roman" w:ascii="Times New Roman" w:hAnsi="Times New Roman"/>
          <w:iCs/>
          <w:kern w:val="2"/>
          <w:sz w:val="24"/>
          <w:szCs w:val="24"/>
        </w:rPr>
        <w:t>Pridedama atskirame dokumente</w:t>
      </w:r>
    </w:p>
    <w:sectPr>
      <w:headerReference w:type="default" r:id="rId15"/>
      <w:headerReference w:type="first" r:id="rId16"/>
      <w:footerReference w:type="default" r:id="rId17"/>
      <w:footerReference w:type="first" r:id="rId18"/>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33</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2"/>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2"/>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spacing w:lineRule="auto" w:line="240" w:before="0" w:after="0"/>
        <w:ind w:hanging="360" w:left="720" w:right="49"/>
        <w:jc w:val="both"/>
        <w:rPr>
          <w:rFonts w:eastAsia="Yu Mincho"/>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5">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33</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11">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5">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9">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right"/>
      <w:pPr>
        <w:tabs>
          <w:tab w:val="num" w:pos="0"/>
        </w:tabs>
        <w:ind w:left="360" w:hanging="360"/>
      </w:pPr>
      <w:rPr/>
    </w:lvl>
    <w:lvl w:ilvl="1">
      <w:start w:val="1"/>
      <w:numFmt w:val="decimal"/>
      <w:lvlText w:val="%1.%2."/>
      <w:lvlJc w:val="left"/>
      <w:pPr>
        <w:tabs>
          <w:tab w:val="num" w:pos="0"/>
        </w:tabs>
        <w:ind w:left="792" w:hanging="432"/>
      </w:pPr>
      <w:rPr>
        <w:b w:val="false"/>
        <w:rFonts w:ascii="Trebuchet MS" w:hAnsi="Trebuchet MS"/>
      </w:rPr>
    </w:lvl>
    <w:lvl w:ilvl="2">
      <w:start w:val="1"/>
      <w:numFmt w:val="decimal"/>
      <w:lvlText w:val="%1.%2.%3."/>
      <w:lvlJc w:val="left"/>
      <w:pPr>
        <w:tabs>
          <w:tab w:val="num" w:pos="0"/>
        </w:tabs>
        <w:ind w:left="794" w:hanging="437"/>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7">
    <w:lvl w:ilvl="0">
      <w:start w:val="1"/>
      <w:numFmt w:val="decimal"/>
      <w:lvlText w:val="%1."/>
      <w:lvlJc w:val="left"/>
      <w:pPr>
        <w:tabs>
          <w:tab w:val="num" w:pos="0"/>
        </w:tabs>
        <w:ind w:left="720" w:hanging="360"/>
      </w:pPr>
      <w:rPr>
        <w:b w:val="false"/>
        <w:bCs w:val="false"/>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1494" w:hanging="720"/>
      </w:pPr>
      <w:rPr/>
    </w:lvl>
    <w:lvl w:ilvl="3">
      <w:start w:val="1"/>
      <w:numFmt w:val="decimal"/>
      <w:lvlText w:val="%1.%2.%3.%4."/>
      <w:lvlJc w:val="left"/>
      <w:pPr>
        <w:tabs>
          <w:tab w:val="num" w:pos="0"/>
        </w:tabs>
        <w:ind w:left="1701" w:hanging="720"/>
      </w:pPr>
      <w:rPr/>
    </w:lvl>
    <w:lvl w:ilvl="4">
      <w:start w:val="1"/>
      <w:numFmt w:val="decimal"/>
      <w:lvlText w:val="%1.%2.%3.%4.%5."/>
      <w:lvlJc w:val="left"/>
      <w:pPr>
        <w:tabs>
          <w:tab w:val="num" w:pos="0"/>
        </w:tabs>
        <w:ind w:left="2268" w:hanging="1080"/>
      </w:pPr>
      <w:rPr/>
    </w:lvl>
    <w:lvl w:ilvl="5">
      <w:start w:val="1"/>
      <w:numFmt w:val="decimal"/>
      <w:lvlText w:val="%1.%2.%3.%4.%5.%6."/>
      <w:lvlJc w:val="left"/>
      <w:pPr>
        <w:tabs>
          <w:tab w:val="num" w:pos="0"/>
        </w:tabs>
        <w:ind w:left="2475" w:hanging="1080"/>
      </w:pPr>
      <w:rPr/>
    </w:lvl>
    <w:lvl w:ilvl="6">
      <w:start w:val="1"/>
      <w:numFmt w:val="decimal"/>
      <w:lvlText w:val="%1.%2.%3.%4.%5.%6.%7."/>
      <w:lvlJc w:val="left"/>
      <w:pPr>
        <w:tabs>
          <w:tab w:val="num" w:pos="0"/>
        </w:tabs>
        <w:ind w:left="3042" w:hanging="1440"/>
      </w:pPr>
      <w:rPr/>
    </w:lvl>
    <w:lvl w:ilvl="7">
      <w:start w:val="1"/>
      <w:numFmt w:val="decimal"/>
      <w:lvlText w:val="%1.%2.%3.%4.%5.%6.%7.%8."/>
      <w:lvlJc w:val="left"/>
      <w:pPr>
        <w:tabs>
          <w:tab w:val="num" w:pos="0"/>
        </w:tabs>
        <w:ind w:left="3249" w:hanging="1440"/>
      </w:pPr>
      <w:rPr/>
    </w:lvl>
    <w:lvl w:ilvl="8">
      <w:start w:val="1"/>
      <w:numFmt w:val="decimal"/>
      <w:lvlText w:val="%1.%2.%3.%4.%5.%6.%7.%8.%9."/>
      <w:lvlJc w:val="left"/>
      <w:pPr>
        <w:tabs>
          <w:tab w:val="num" w:pos="0"/>
        </w:tabs>
        <w:ind w:left="3816" w:hanging="1800"/>
      </w:pPr>
      <w:rPr/>
    </w:lvl>
  </w:abstractNum>
  <w:abstractNum w:abstractNumId="28">
    <w:lvl w:ilvl="0">
      <w:start w:val="1"/>
      <w:numFmt w:val="decimal"/>
      <w:lvlText w:val="%1."/>
      <w:lvlJc w:val="left"/>
      <w:pPr>
        <w:tabs>
          <w:tab w:val="num" w:pos="0"/>
        </w:tabs>
        <w:ind w:left="720" w:hanging="360"/>
      </w:pPr>
      <w:rPr>
        <w:b w:val="false"/>
        <w:bCs w:val="false"/>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1494" w:hanging="720"/>
      </w:pPr>
      <w:rPr/>
    </w:lvl>
    <w:lvl w:ilvl="3">
      <w:start w:val="1"/>
      <w:numFmt w:val="decimal"/>
      <w:lvlText w:val="%1.%2.%3.%4."/>
      <w:lvlJc w:val="left"/>
      <w:pPr>
        <w:tabs>
          <w:tab w:val="num" w:pos="0"/>
        </w:tabs>
        <w:ind w:left="1701" w:hanging="720"/>
      </w:pPr>
      <w:rPr/>
    </w:lvl>
    <w:lvl w:ilvl="4">
      <w:start w:val="1"/>
      <w:numFmt w:val="decimal"/>
      <w:lvlText w:val="%1.%2.%3.%4.%5."/>
      <w:lvlJc w:val="left"/>
      <w:pPr>
        <w:tabs>
          <w:tab w:val="num" w:pos="0"/>
        </w:tabs>
        <w:ind w:left="2268" w:hanging="1080"/>
      </w:pPr>
      <w:rPr/>
    </w:lvl>
    <w:lvl w:ilvl="5">
      <w:start w:val="1"/>
      <w:numFmt w:val="decimal"/>
      <w:lvlText w:val="%1.%2.%3.%4.%5.%6."/>
      <w:lvlJc w:val="left"/>
      <w:pPr>
        <w:tabs>
          <w:tab w:val="num" w:pos="0"/>
        </w:tabs>
        <w:ind w:left="2475" w:hanging="1080"/>
      </w:pPr>
      <w:rPr/>
    </w:lvl>
    <w:lvl w:ilvl="6">
      <w:start w:val="1"/>
      <w:numFmt w:val="decimal"/>
      <w:lvlText w:val="%1.%2.%3.%4.%5.%6.%7."/>
      <w:lvlJc w:val="left"/>
      <w:pPr>
        <w:tabs>
          <w:tab w:val="num" w:pos="0"/>
        </w:tabs>
        <w:ind w:left="3042" w:hanging="1440"/>
      </w:pPr>
      <w:rPr/>
    </w:lvl>
    <w:lvl w:ilvl="7">
      <w:start w:val="1"/>
      <w:numFmt w:val="decimal"/>
      <w:lvlText w:val="%1.%2.%3.%4.%5.%6.%7.%8."/>
      <w:lvlJc w:val="left"/>
      <w:pPr>
        <w:tabs>
          <w:tab w:val="num" w:pos="0"/>
        </w:tabs>
        <w:ind w:left="3249" w:hanging="1440"/>
      </w:pPr>
      <w:rPr/>
    </w:lvl>
    <w:lvl w:ilvl="8">
      <w:start w:val="1"/>
      <w:numFmt w:val="decimal"/>
      <w:lvlText w:val="%1.%2.%3.%4.%5.%6.%7.%8.%9."/>
      <w:lvlJc w:val="left"/>
      <w:pPr>
        <w:tabs>
          <w:tab w:val="num" w:pos="0"/>
        </w:tabs>
        <w:ind w:left="3816" w:hanging="180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19"/>
    <w:lvlOverride w:ilvl="0">
      <w:startOverride w:val="1"/>
    </w:lvlOverride>
  </w:num>
  <w:num w:numId="31">
    <w:abstractNumId w:val="19"/>
  </w:num>
  <w:num w:numId="32">
    <w:abstractNumId w:val="19"/>
  </w:num>
  <w:num w:numId="33">
    <w:abstractNumId w:val="23"/>
    <w:lvlOverride w:ilvl="0">
      <w:startOverride w:val="1"/>
    </w:lvlOverride>
  </w:num>
  <w:num w:numId="34">
    <w:abstractNumId w:val="23"/>
    <w:lvlOverride w:ilvl="0">
      <w:startOverride w:val="1"/>
    </w:lvlOverride>
  </w:num>
  <w:num w:numId="35">
    <w:abstractNumId w:val="22"/>
    <w:lvlOverride w:ilvl="0">
      <w:startOverride w:val="4"/>
    </w:lvlOverride>
  </w:num>
  <w:num w:numId="36">
    <w:abstractNumId w:val="27"/>
    <w:lvlOverride w:ilvl="0">
      <w:startOverride w:val="4"/>
    </w:lvlOverride>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5"/>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6"/>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7"/>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8"/>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Skaiiai2lygis" w:customStyle="1">
    <w:name w:val="Skaičiai_2 lygis"/>
    <w:basedOn w:val="Standard"/>
    <w:qFormat/>
    <w:rsid w:val="00ef168e"/>
    <w:pPr>
      <w:numPr>
        <w:ilvl w:val="0"/>
        <w:numId w:val="26"/>
      </w:numPr>
      <w:jc w:val="both"/>
      <w:textAlignment w:val="baseline"/>
    </w:pPr>
    <w:rPr>
      <w:rFonts w:ascii="Times New Roman" w:hAnsi="Times New Roman"/>
      <w:color w:val="000000"/>
      <w:kern w:val="0"/>
      <w:sz w:val="21"/>
      <w:szCs w:val="21"/>
      <w:lang w:val="en-US"/>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ec.europa.eu/tools/ecertis/" TargetMode="External"/><Relationship Id="rId6" Type="http://schemas.openxmlformats.org/officeDocument/2006/relationships/hyperlink" Target="http://draudejai.sodra.lt/draudeju_viesi_duomenys/" TargetMode="External"/><Relationship Id="rId7" Type="http://schemas.openxmlformats.org/officeDocument/2006/relationships/hyperlink" Target="https://vpt.lrv.lt/lt/nuorodos/kiti-duomenys/powerbi/melaginga-informacija-pateikusiu-tiekeju-sarasas-3/" TargetMode="External"/><Relationship Id="rId8" Type="http://schemas.openxmlformats.org/officeDocument/2006/relationships/hyperlink" Target="https://vpt.lrv.lt/lt/nuorodos/kiti-duomenys/powerbi/nepatikimi-tiekejai-1/" TargetMode="External"/><Relationship Id="rId9"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registrucentras.lt/jar/p/index.php"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https://www.vmi.lt/evmi/mokesciu-moketoju-informacija" TargetMode="External"/><Relationship Id="rId13" Type="http://schemas.openxmlformats.org/officeDocument/2006/relationships/hyperlink" Target="https://kt.gov.lt/lt/atviri-duomenys/diskvalifikavimas-is-viesuju-pirkimu" TargetMode="External"/><Relationship Id="rId14" Type="http://schemas.openxmlformats.org/officeDocument/2006/relationships/image" Target="media/image1.png"/><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Application>LibreOffice/7.6.4.1$Windows_X86_64 LibreOffice_project/e19e193f88cd6c0525a17fb7a176ed8e6a3e2aa1</Application>
  <AppVersion>15.0000</AppVersion>
  <Pages>34</Pages>
  <Words>6911</Words>
  <Characters>49092</Characters>
  <CharactersWithSpaces>55597</CharactersWithSpaces>
  <Paragraphs>550</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2025-03-13T08:43:00Z</dcterms:created>
  <dc:creator>Jurgita Nainienė</dc:creator>
  <dc:description/>
  <dc:language>en-US</dc:language>
  <cp:lastModifiedBy/>
  <dcterms:modified xsi:type="dcterms:W3CDTF">2025-08-08T09:29:34Z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