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ragraph"/>
        <w:spacing w:beforeAutospacing="0" w:before="0" w:afterAutospacing="0" w:after="0"/>
        <w:ind w:firstLine="720" w:left="4320"/>
        <w:textAlignment w:val="baseline"/>
        <w:rPr>
          <w:rFonts w:ascii="Segoe UI" w:hAnsi="Segoe UI" w:cs="Segoe UI"/>
          <w:sz w:val="18"/>
          <w:szCs w:val="18"/>
        </w:rPr>
      </w:pPr>
      <w:r>
        <w:rPr>
          <w:rFonts w:cs="Segoe UI" w:ascii="Segoe UI" w:hAnsi="Segoe UI"/>
          <w:sz w:val="18"/>
          <w:szCs w:val="18"/>
        </w:rPr>
      </w:r>
    </w:p>
    <w:p>
      <w:pPr>
        <w:pStyle w:val="Normal"/>
        <w:widowControl w:val="false"/>
        <w:tabs>
          <w:tab w:val="clear" w:pos="1296"/>
          <w:tab w:val="left" w:pos="567" w:leader="none"/>
          <w:tab w:val="left" w:pos="851" w:leader="none"/>
        </w:tabs>
        <w:jc w:val="center"/>
        <w:rPr>
          <w:b/>
          <w:bCs/>
          <w:caps/>
          <w:szCs w:val="24"/>
        </w:rPr>
      </w:pPr>
      <w:r>
        <w:rPr>
          <w:b/>
          <w:bCs/>
          <w:caps/>
          <w:szCs w:val="24"/>
        </w:rPr>
        <w:t>paslaugų pirkimo-pardavimo sutarties Specialiosios sąlygos</w:t>
      </w:r>
    </w:p>
    <w:p>
      <w:pPr>
        <w:pStyle w:val="Normal"/>
        <w:widowControl w:val="false"/>
        <w:tabs>
          <w:tab w:val="clear" w:pos="1296"/>
          <w:tab w:val="left" w:pos="567" w:leader="none"/>
          <w:tab w:val="left" w:pos="851" w:leader="none"/>
        </w:tabs>
        <w:jc w:val="center"/>
        <w:rPr>
          <w:b/>
          <w:bCs/>
          <w:caps/>
          <w:szCs w:val="24"/>
        </w:rPr>
      </w:pPr>
      <w:r>
        <w:rPr>
          <w:b/>
          <w:bCs/>
          <w:caps/>
          <w:szCs w:val="24"/>
        </w:rPr>
      </w:r>
    </w:p>
    <w:p>
      <w:pPr>
        <w:pStyle w:val="Normal"/>
        <w:jc w:val="center"/>
        <w:rPr>
          <w:szCs w:val="24"/>
        </w:rPr>
      </w:pPr>
      <w:r>
        <w:rPr>
          <w:szCs w:val="24"/>
        </w:rPr>
      </w:r>
    </w:p>
    <w:tbl>
      <w:tblPr>
        <w:tblW w:w="955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447"/>
        <w:gridCol w:w="2179"/>
        <w:gridCol w:w="2360"/>
        <w:gridCol w:w="2571"/>
      </w:tblGrid>
      <w:tr>
        <w:trPr/>
        <w:tc>
          <w:tcPr>
            <w:tcW w:w="2447" w:type="dxa"/>
            <w:tcBorders>
              <w:top w:val="single" w:sz="4" w:space="0" w:color="000000"/>
              <w:left w:val="single" w:sz="4" w:space="0" w:color="000000"/>
              <w:bottom w:val="single" w:sz="4" w:space="0" w:color="000000"/>
              <w:right w:val="single" w:sz="4" w:space="0" w:color="000000"/>
            </w:tcBorders>
          </w:tcPr>
          <w:p>
            <w:pPr>
              <w:pStyle w:val="Normal"/>
              <w:jc w:val="both"/>
              <w:rPr>
                <w:b/>
                <w:kern w:val="2"/>
                <w:szCs w:val="24"/>
              </w:rPr>
            </w:pPr>
            <w:r>
              <w:rPr>
                <w:b/>
                <w:kern w:val="2"/>
                <w:szCs w:val="24"/>
              </w:rPr>
              <w:t>Sutarties pavadinimas</w:t>
            </w:r>
          </w:p>
        </w:tc>
        <w:tc>
          <w:tcPr>
            <w:tcW w:w="7110" w:type="dxa"/>
            <w:gridSpan w:val="3"/>
            <w:tcBorders>
              <w:top w:val="single" w:sz="4" w:space="0" w:color="000000"/>
              <w:left w:val="single" w:sz="4" w:space="0" w:color="000000"/>
              <w:bottom w:val="single" w:sz="4" w:space="0" w:color="000000"/>
              <w:right w:val="single" w:sz="4" w:space="0" w:color="000000"/>
            </w:tcBorders>
          </w:tcPr>
          <w:p>
            <w:pPr>
              <w:pStyle w:val="NoSpacing"/>
              <w:tabs>
                <w:tab w:val="clear" w:pos="1296"/>
                <w:tab w:val="left" w:pos="993" w:leader="none"/>
              </w:tabs>
              <w:spacing w:before="0" w:after="0"/>
              <w:contextualSpacing/>
              <w:jc w:val="both"/>
              <w:rPr>
                <w:rFonts w:ascii="Times New Roman" w:hAnsi="Times New Roman"/>
                <w:sz w:val="24"/>
                <w:szCs w:val="24"/>
              </w:rPr>
            </w:pPr>
            <w:r>
              <w:rPr>
                <w:rFonts w:cs="Times New Roman" w:ascii="Times New Roman" w:hAnsi="Times New Roman"/>
                <w:color w:val="333333"/>
                <w:sz w:val="24"/>
                <w:szCs w:val="24"/>
                <w:lang w:val="lt-LT"/>
              </w:rPr>
              <w:t>M</w:t>
            </w:r>
            <w:r>
              <w:rPr>
                <w:rFonts w:cs="Times New Roman" w:ascii="Times New Roman" w:hAnsi="Times New Roman"/>
                <w:color w:val="333333"/>
                <w:sz w:val="24"/>
                <w:szCs w:val="24"/>
              </w:rPr>
              <w:t>okymų</w:t>
            </w:r>
            <w:r>
              <w:rPr>
                <w:rFonts w:cs="Times New Roman" w:ascii="Times New Roman" w:hAnsi="Times New Roman"/>
                <w:color w:val="333333"/>
                <w:sz w:val="24"/>
                <w:szCs w:val="24"/>
                <w:lang w:val="lt-LT"/>
              </w:rPr>
              <w:t xml:space="preserve"> „R</w:t>
            </w:r>
            <w:r>
              <w:rPr>
                <w:rFonts w:cs="Times New Roman" w:ascii="Times New Roman" w:hAnsi="Times New Roman"/>
                <w:color w:val="333333"/>
                <w:sz w:val="24"/>
                <w:szCs w:val="24"/>
              </w:rPr>
              <w:t>acionalus antimikrobinių vaistinių preparatų skyrimas ir vartojimas</w:t>
            </w:r>
            <w:r>
              <w:rPr>
                <w:rFonts w:cs="Times New Roman" w:ascii="Times New Roman" w:hAnsi="Times New Roman"/>
                <w:color w:val="333333"/>
                <w:sz w:val="24"/>
                <w:szCs w:val="24"/>
                <w:lang w:val="lt-LT"/>
              </w:rPr>
              <w:t xml:space="preserve">“ </w:t>
            </w:r>
            <w:r>
              <w:rPr>
                <w:rFonts w:cs="Times New Roman" w:ascii="Times New Roman" w:hAnsi="Times New Roman"/>
                <w:color w:val="333333"/>
                <w:sz w:val="24"/>
                <w:szCs w:val="24"/>
              </w:rPr>
              <w:t>organizavimo paslaugos.</w:t>
            </w:r>
          </w:p>
        </w:tc>
      </w:tr>
      <w:tr>
        <w:trPr/>
        <w:tc>
          <w:tcPr>
            <w:tcW w:w="2447" w:type="dxa"/>
            <w:tcBorders>
              <w:top w:val="single" w:sz="4" w:space="0" w:color="000000"/>
              <w:left w:val="single" w:sz="4" w:space="0" w:color="000000"/>
              <w:bottom w:val="single" w:sz="4" w:space="0" w:color="000000"/>
              <w:right w:val="single" w:sz="4" w:space="0" w:color="000000"/>
            </w:tcBorders>
          </w:tcPr>
          <w:p>
            <w:pPr>
              <w:pStyle w:val="Normal"/>
              <w:jc w:val="both"/>
              <w:rPr>
                <w:b/>
                <w:kern w:val="2"/>
                <w:szCs w:val="24"/>
              </w:rPr>
            </w:pPr>
            <w:r>
              <w:rPr>
                <w:b/>
                <w:kern w:val="2"/>
                <w:szCs w:val="24"/>
              </w:rPr>
              <w:t>Sutarties data</w:t>
            </w:r>
          </w:p>
        </w:tc>
        <w:tc>
          <w:tcPr>
            <w:tcW w:w="2179" w:type="dxa"/>
            <w:tcBorders>
              <w:top w:val="single" w:sz="4" w:space="0" w:color="000000"/>
              <w:left w:val="single" w:sz="4" w:space="0" w:color="000000"/>
              <w:bottom w:val="single" w:sz="4" w:space="0" w:color="000000"/>
              <w:right w:val="single" w:sz="4" w:space="0" w:color="000000"/>
            </w:tcBorders>
          </w:tcPr>
          <w:p>
            <w:pPr>
              <w:pStyle w:val="Normal"/>
              <w:jc w:val="both"/>
              <w:rPr>
                <w:kern w:val="2"/>
                <w:szCs w:val="24"/>
              </w:rPr>
            </w:pPr>
            <w:r>
              <w:rPr>
                <w:kern w:val="2"/>
                <w:szCs w:val="24"/>
              </w:rPr>
            </w:r>
          </w:p>
        </w:tc>
        <w:tc>
          <w:tcPr>
            <w:tcW w:w="2360" w:type="dxa"/>
            <w:tcBorders>
              <w:top w:val="single" w:sz="4" w:space="0" w:color="000000"/>
              <w:left w:val="single" w:sz="4" w:space="0" w:color="000000"/>
              <w:bottom w:val="single" w:sz="4" w:space="0" w:color="000000"/>
              <w:right w:val="single" w:sz="4" w:space="0" w:color="000000"/>
            </w:tcBorders>
          </w:tcPr>
          <w:p>
            <w:pPr>
              <w:pStyle w:val="Normal"/>
              <w:jc w:val="both"/>
              <w:rPr>
                <w:b/>
                <w:kern w:val="2"/>
                <w:szCs w:val="24"/>
              </w:rPr>
            </w:pPr>
            <w:r>
              <w:rPr>
                <w:b/>
                <w:kern w:val="2"/>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Pr>
          <w:p>
            <w:pPr>
              <w:pStyle w:val="Normal"/>
              <w:jc w:val="both"/>
              <w:rPr>
                <w:kern w:val="2"/>
                <w:szCs w:val="24"/>
              </w:rPr>
            </w:pPr>
            <w:r>
              <w:rPr>
                <w:kern w:val="2"/>
                <w:szCs w:val="24"/>
              </w:rPr>
            </w:r>
          </w:p>
        </w:tc>
      </w:tr>
    </w:tbl>
    <w:p>
      <w:pPr>
        <w:pStyle w:val="Normal"/>
        <w:jc w:val="both"/>
        <w:rPr>
          <w:szCs w:val="24"/>
        </w:rPr>
      </w:pPr>
      <w:r>
        <w:rPr>
          <w:szCs w:val="24"/>
        </w:rPr>
      </w:r>
    </w:p>
    <w:tbl>
      <w:tblPr>
        <w:tblW w:w="955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808"/>
        <w:gridCol w:w="3240"/>
        <w:gridCol w:w="3510"/>
      </w:tblGrid>
      <w:tr>
        <w:trPr/>
        <w:tc>
          <w:tcPr>
            <w:tcW w:w="9558" w:type="dxa"/>
            <w:gridSpan w:val="3"/>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1. SUTARTIES ŠALYS</w:t>
            </w:r>
          </w:p>
        </w:tc>
      </w:tr>
      <w:tr>
        <w:trPr/>
        <w:tc>
          <w:tcPr>
            <w:tcW w:w="2808"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r>
          </w:p>
          <w:p>
            <w:pPr>
              <w:pStyle w:val="Normal"/>
              <w:jc w:val="center"/>
              <w:rPr>
                <w:b/>
                <w:kern w:val="2"/>
                <w:szCs w:val="24"/>
              </w:rPr>
            </w:pPr>
            <w:r>
              <w:rPr>
                <w:b/>
                <w:kern w:val="2"/>
                <w:szCs w:val="24"/>
              </w:rPr>
            </w:r>
          </w:p>
          <w:p>
            <w:pPr>
              <w:pStyle w:val="Normal"/>
              <w:jc w:val="center"/>
              <w:rPr>
                <w:b/>
                <w:kern w:val="2"/>
                <w:szCs w:val="24"/>
              </w:rPr>
            </w:pPr>
            <w:r>
              <w:rPr>
                <w:b/>
                <w:kern w:val="2"/>
                <w:szCs w:val="24"/>
              </w:rPr>
            </w:r>
          </w:p>
          <w:p>
            <w:pPr>
              <w:pStyle w:val="Normal"/>
              <w:rPr>
                <w:b/>
                <w:kern w:val="2"/>
                <w:szCs w:val="24"/>
              </w:rPr>
            </w:pPr>
            <w:r>
              <w:rPr>
                <w:b/>
                <w:kern w:val="2"/>
                <w:szCs w:val="24"/>
              </w:rPr>
            </w:r>
          </w:p>
          <w:p>
            <w:pPr>
              <w:pStyle w:val="Normal"/>
              <w:rPr>
                <w:b/>
                <w:kern w:val="2"/>
                <w:szCs w:val="24"/>
              </w:rPr>
            </w:pPr>
            <w:r>
              <w:rPr>
                <w:b/>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pPr>
            <w:r>
              <w:rPr>
                <w:b/>
                <w:bCs/>
              </w:rPr>
              <w:t>Higienos institutas</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pPr>
            <w:r>
              <w:rPr/>
              <w:t>11958286</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pPr>
            <w:r>
              <w:rPr/>
              <w:t>Studentų g. 45A, 08107 Vilnius</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pPr>
            <w:r>
              <w:rPr/>
              <w:t>Ne PVM mokėtoja</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pPr>
            <w:r>
              <w:rPr/>
              <w:t>-</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pPr>
            <w:r>
              <w:rPr/>
              <w:t>-</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pPr>
            <w:r>
              <w:rPr/>
              <w:t>+370 5 262 4583</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pPr>
            <w:r>
              <w:rPr/>
              <w:t>institutas@hi.lt</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kern w:val="2"/>
                <w:szCs w:val="24"/>
              </w:rPr>
            </w:pPr>
            <w:r>
              <w:rPr>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kern w:val="2"/>
                <w:szCs w:val="24"/>
              </w:rPr>
            </w:pPr>
            <w:r>
              <w:rPr>
                <w:kern w:val="2"/>
                <w:szCs w:val="24"/>
              </w:rPr>
            </w:r>
          </w:p>
        </w:tc>
      </w:tr>
      <w:tr>
        <w:trPr/>
        <w:tc>
          <w:tcPr>
            <w:tcW w:w="2808" w:type="dxa"/>
            <w:vMerge w:val="restart"/>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r>
          </w:p>
          <w:p>
            <w:pPr>
              <w:pStyle w:val="Normal"/>
              <w:rPr>
                <w:b/>
                <w:kern w:val="2"/>
                <w:szCs w:val="24"/>
              </w:rPr>
            </w:pPr>
            <w:r>
              <w:rPr>
                <w:b/>
                <w:kern w:val="2"/>
                <w:szCs w:val="24"/>
              </w:rPr>
            </w:r>
          </w:p>
          <w:p>
            <w:pPr>
              <w:pStyle w:val="Normal"/>
              <w:rPr>
                <w:b/>
                <w:kern w:val="2"/>
                <w:szCs w:val="24"/>
              </w:rPr>
            </w:pPr>
            <w:r>
              <w:rPr>
                <w:b/>
                <w:kern w:val="2"/>
                <w:szCs w:val="24"/>
              </w:rPr>
            </w:r>
          </w:p>
          <w:p>
            <w:pPr>
              <w:pStyle w:val="Normal"/>
              <w:rPr>
                <w:b/>
                <w:kern w:val="2"/>
                <w:szCs w:val="24"/>
              </w:rPr>
            </w:pPr>
            <w:r>
              <w:rPr>
                <w:b/>
                <w:kern w:val="2"/>
                <w:szCs w:val="24"/>
              </w:rPr>
              <w:t>1.2. Tiekėjas</w:t>
            </w:r>
          </w:p>
          <w:p>
            <w:pPr>
              <w:pStyle w:val="Normal"/>
              <w:rPr>
                <w:color w:val="4472C4"/>
                <w:kern w:val="2"/>
                <w:szCs w:val="24"/>
              </w:rPr>
            </w:pPr>
            <w:r>
              <w:rPr>
                <w:color w:val="4472C4"/>
                <w:kern w:val="2"/>
                <w:szCs w:val="24"/>
              </w:rPr>
              <w:t>(jei Tiekėjas yra fizinis asmuo, skiltys atitinkamai pakoreguojamos.</w:t>
            </w:r>
          </w:p>
          <w:p>
            <w:pPr>
              <w:pStyle w:val="Normal"/>
              <w:rPr>
                <w:color w:val="4472C4"/>
                <w:kern w:val="2"/>
                <w:szCs w:val="24"/>
              </w:rPr>
            </w:pPr>
            <w:r>
              <w:rPr>
                <w:color w:val="4472C4"/>
                <w:kern w:val="2"/>
                <w:szCs w:val="24"/>
              </w:rPr>
              <w:t>Jei Tiekėjas yra tiekėjų grupė, skiltys pildomos įterpiant kiekvieno grupės nario informaciją)</w:t>
            </w:r>
          </w:p>
          <w:p>
            <w:pPr>
              <w:pStyle w:val="Normal"/>
              <w:rPr>
                <w:b/>
                <w:kern w:val="2"/>
                <w:szCs w:val="24"/>
              </w:rPr>
            </w:pPr>
            <w:r>
              <w:rPr>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1.2.1. Pavadinimas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kern w:val="2"/>
                <w:szCs w:val="24"/>
              </w:rPr>
            </w:pPr>
            <w:r>
              <w:rPr>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kern w:val="2"/>
                <w:szCs w:val="24"/>
              </w:rPr>
            </w:pPr>
            <w:r>
              <w:rPr>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kern w:val="2"/>
                <w:szCs w:val="24"/>
              </w:rPr>
            </w:pPr>
            <w:r>
              <w:rPr>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kern w:val="2"/>
                <w:szCs w:val="24"/>
              </w:rPr>
            </w:pPr>
            <w:r>
              <w:rPr>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kern w:val="2"/>
                <w:szCs w:val="24"/>
              </w:rPr>
            </w:pPr>
            <w:r>
              <w:rPr>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kern w:val="2"/>
                <w:szCs w:val="24"/>
              </w:rPr>
            </w:pPr>
            <w:r>
              <w:rPr>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kern w:val="2"/>
                <w:szCs w:val="24"/>
              </w:rPr>
            </w:pPr>
            <w:r>
              <w:rPr>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kern w:val="2"/>
                <w:szCs w:val="24"/>
              </w:rPr>
            </w:pPr>
            <w:r>
              <w:rPr>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kern w:val="2"/>
                <w:szCs w:val="24"/>
              </w:rPr>
            </w:pPr>
            <w:r>
              <w:rPr>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kern w:val="2"/>
                <w:szCs w:val="24"/>
              </w:rPr>
            </w:pPr>
            <w:r>
              <w:rPr>
                <w:kern w:val="2"/>
                <w:szCs w:val="24"/>
              </w:rPr>
            </w:r>
          </w:p>
        </w:tc>
      </w:tr>
    </w:tbl>
    <w:p>
      <w:pPr>
        <w:pStyle w:val="Normal"/>
        <w:jc w:val="both"/>
        <w:rPr>
          <w:szCs w:val="24"/>
        </w:rPr>
      </w:pPr>
      <w:r>
        <w:rPr>
          <w:szCs w:val="24"/>
        </w:rPr>
      </w:r>
    </w:p>
    <w:tbl>
      <w:tblPr>
        <w:tblW w:w="953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057"/>
        <w:gridCol w:w="38"/>
        <w:gridCol w:w="2130"/>
        <w:gridCol w:w="4309"/>
      </w:tblGrid>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2. ATSAKINGI ASMENYS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color w:val="4472C4"/>
                <w:kern w:val="2"/>
                <w:szCs w:val="24"/>
              </w:rPr>
            </w:pPr>
            <w:r>
              <w:rPr>
                <w:color w:val="4472C4"/>
                <w:kern w:val="2"/>
                <w:szCs w:val="24"/>
              </w:rPr>
              <w:t>(nurodyti padalinį / skyrių, pareigas, vardą, pavardę, tel., el. paštą)</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2.2. Tiekėjo kontaktiniai asmenys, atsakingi už Sutarties vykdymą</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color w:val="4472C4"/>
                <w:kern w:val="2"/>
                <w:szCs w:val="24"/>
              </w:rPr>
            </w:pPr>
            <w:r>
              <w:rPr>
                <w:color w:val="4472C4"/>
                <w:kern w:val="2"/>
                <w:szCs w:val="24"/>
              </w:rPr>
              <w:t>(nurodyti padalinį / skyrių, pareigas, vardą, pavardę, tel., el. paštą)</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3. SUTARTIES DALYKAS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3.1. Sutarties dalykas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jc w:val="both"/>
              <w:rPr/>
            </w:pPr>
            <w:r>
              <w:rPr/>
              <w:t xml:space="preserve">Tiekėjas įsipareigoja Sutartyje numatytomis sąlygomis suteikti Pirkėjui </w:t>
            </w:r>
            <w:r>
              <w:rPr>
                <w:color w:val="333333"/>
              </w:rPr>
              <w:t>Mokymų „Racionalus antimikrobinių vaistinių preparatų skyrimas ir vartojimas“ organizavimo paslaugas</w:t>
            </w:r>
            <w:r>
              <w:rPr>
                <w:color w:val="000000"/>
              </w:rPr>
              <w:t xml:space="preserve"> (toliau – Paslaugos).</w:t>
            </w:r>
          </w:p>
          <w:p>
            <w:pPr>
              <w:pStyle w:val="Normal"/>
              <w:jc w:val="both"/>
              <w:rPr/>
            </w:pPr>
            <w:r>
              <w:rPr>
                <w:color w:val="000000"/>
                <w:kern w:val="2"/>
                <w:szCs w:val="24"/>
              </w:rPr>
              <w:t>Išsamus Paslaugų aprašymas ir kiti reikalavimai teikiamoms Paslaugoms nustatyti</w:t>
            </w:r>
            <w:r>
              <w:rPr>
                <w:color w:val="000000"/>
                <w:kern w:val="2"/>
                <w:szCs w:val="24"/>
                <w:shd w:fill="FFFFFF" w:val="clear"/>
              </w:rPr>
              <w:t xml:space="preserve"> Sutarties priede Nr. 1 „Techninė specifikacija“ (toliau – Techninė specifikacija) ir Sutarties priede Nr. 2 „Pasiūlymas“.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3.2. Pirkimo pavadinimas ir numeris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jc w:val="both"/>
              <w:rPr/>
            </w:pPr>
            <w:r>
              <w:rPr>
                <w:color w:val="333333"/>
              </w:rPr>
              <w:t>Mokymų „Racionalus antimikrobinių vaistinių preparatų skyrimas ir vartojimas“ organizavimo paslaugos</w:t>
            </w:r>
            <w:r>
              <w:rPr>
                <w:color w:val="000000"/>
                <w:kern w:val="2"/>
                <w:szCs w:val="24"/>
              </w:rPr>
              <w:t xml:space="preserve"> [</w:t>
            </w:r>
            <w:r>
              <w:rPr>
                <w:i/>
                <w:iCs/>
                <w:color w:val="B2B2B2"/>
                <w:kern w:val="2"/>
                <w:szCs w:val="24"/>
              </w:rPr>
              <w:t>nurodyti pirkimo ID</w:t>
            </w:r>
            <w:r>
              <w:rPr>
                <w:color w:val="000000"/>
                <w:kern w:val="2"/>
                <w:szCs w:val="24"/>
              </w:rPr>
              <w:t>]</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3.3. Informacija apie Europos Sąjungos lėšomis finansuojamą projektą arba kitą projektą</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t>Projektas „Antimikrobinio atsparumo valdymo plėtojimas“</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jc w:val="both"/>
              <w:rPr/>
            </w:pPr>
            <w:r>
              <w:rPr>
                <w:color w:val="000000"/>
                <w:szCs w:val="24"/>
              </w:rPr>
              <w:t>Tiekėjas įsipareigoja suteikti Paslaugas Techninėje spec</w:t>
            </w:r>
            <w:r>
              <w:rPr>
                <w:color w:val="000000"/>
                <w:szCs w:val="24"/>
                <w:shd w:fill="FFFFFF" w:val="clear"/>
              </w:rPr>
              <w:t xml:space="preserve">ifikacijoje nurodytų etapų eiliškumu, terminais ir sąlygomis. Bendra paslaugų teikimo trukmė yra </w:t>
            </w:r>
            <w:r>
              <w:rPr>
                <w:color w:val="000000"/>
                <w:szCs w:val="24"/>
                <w:shd w:fill="FFFFFF" w:val="clear"/>
              </w:rPr>
              <w:t>2</w:t>
            </w:r>
            <w:r>
              <w:rPr>
                <w:color w:val="000000"/>
                <w:szCs w:val="24"/>
                <w:shd w:fill="FFFFFF" w:val="clear"/>
              </w:rPr>
              <w:t xml:space="preserve"> mėnesiai.</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4.2. Paslaugų / jų dalies / etapo / periodo suteikimo termino pratęsimas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jc w:val="both"/>
              <w:rPr>
                <w:kern w:val="2"/>
                <w:szCs w:val="24"/>
              </w:rPr>
            </w:pPr>
            <w:r>
              <w:rPr>
                <w:kern w:val="2"/>
                <w:szCs w:val="24"/>
              </w:rPr>
              <w:t>Netaikoma</w:t>
            </w:r>
          </w:p>
          <w:p>
            <w:pPr>
              <w:pStyle w:val="Normal"/>
              <w:jc w:val="both"/>
              <w:rPr>
                <w:kern w:val="2"/>
                <w:szCs w:val="24"/>
              </w:rPr>
            </w:pPr>
            <w:r>
              <w:rPr>
                <w:kern w:val="2"/>
                <w:szCs w:val="24"/>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4.3. Užsakymų teikimo tvarka</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Netaikoma</w:t>
            </w:r>
          </w:p>
          <w:p>
            <w:pPr>
              <w:pStyle w:val="Normal"/>
              <w:rPr>
                <w:szCs w:val="24"/>
              </w:rPr>
            </w:pPr>
            <w:r>
              <w:rPr>
                <w:szCs w:val="24"/>
              </w:rPr>
            </w:r>
          </w:p>
        </w:tc>
      </w:tr>
      <w:tr>
        <w:trPr>
          <w:trHeight w:val="994"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4.4. Dėl minimalios Užsakymo vertės ar apimties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Netaikoma</w:t>
            </w:r>
          </w:p>
          <w:p>
            <w:pPr>
              <w:pStyle w:val="Normal"/>
              <w:rPr>
                <w:kern w:val="2"/>
                <w:szCs w:val="24"/>
              </w:rPr>
            </w:pPr>
            <w:r>
              <w:rPr>
                <w:kern w:val="2"/>
                <w:szCs w:val="24"/>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4.5. Pateikiami dokumentai</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szCs w:val="24"/>
              </w:rPr>
            </w:pPr>
            <w:r>
              <w:rPr>
                <w:kern w:val="2"/>
                <w:szCs w:val="24"/>
              </w:rPr>
              <w:t xml:space="preserve">Turi būti pateikiami šie dokumentai: </w:t>
            </w:r>
            <w:r>
              <w:rPr>
                <w:color w:val="4472C4"/>
                <w:kern w:val="2"/>
                <w:szCs w:val="24"/>
              </w:rPr>
              <w:t xml:space="preserve"> </w:t>
            </w:r>
            <w:r>
              <w:rPr>
                <w:color w:val="000000"/>
                <w:kern w:val="2"/>
                <w:szCs w:val="24"/>
              </w:rPr>
              <w:t>Paslaugų perdavimo-priėmimo aktas, sąskaita.</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5. SUTARTIES KAINA IR ATSISKAITYMO TVARKA</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5.1. Sutarčiai taikomas kainos apskaičiavimo būdas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Fiksuotos įkainio kainodara</w:t>
            </w:r>
          </w:p>
          <w:p>
            <w:pPr>
              <w:pStyle w:val="Normal"/>
              <w:rPr>
                <w:kern w:val="2"/>
                <w:szCs w:val="24"/>
              </w:rPr>
            </w:pPr>
            <w:r>
              <w:rPr>
                <w:kern w:val="2"/>
                <w:szCs w:val="24"/>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pPr>
            <w:r>
              <w:rPr/>
              <w:t xml:space="preserve">Pradinės Sutarties vertė yra </w:t>
            </w:r>
            <w:r>
              <w:rPr>
                <w:color w:val="4472C4"/>
              </w:rPr>
              <w:t>(nurodyti sumą skaičiais)</w:t>
            </w:r>
            <w:r>
              <w:rPr/>
              <w:t xml:space="preserve"> Eur </w:t>
            </w:r>
            <w:r>
              <w:rPr>
                <w:color w:val="4472C4"/>
              </w:rPr>
              <w:t>(nurodyti sumą žodžiais)</w:t>
            </w:r>
            <w:r>
              <w:rPr/>
              <w:t xml:space="preserve"> be PVM.</w:t>
            </w:r>
          </w:p>
          <w:p>
            <w:pPr>
              <w:pStyle w:val="Normal"/>
              <w:rPr/>
            </w:pPr>
            <w:r>
              <w:rPr/>
              <w:t xml:space="preserve">PVM sudaro </w:t>
            </w:r>
            <w:r>
              <w:rPr>
                <w:color w:val="4472C4"/>
              </w:rPr>
              <w:t>(nurodyti sumą skaičiais)</w:t>
            </w:r>
            <w:r>
              <w:rPr/>
              <w:t xml:space="preserve"> Eur </w:t>
            </w:r>
            <w:r>
              <w:rPr>
                <w:color w:val="4472C4"/>
              </w:rPr>
              <w:t>(nurodyti sumą žodžiais)</w:t>
            </w:r>
            <w:r>
              <w:rPr/>
              <w:t>.</w:t>
            </w:r>
          </w:p>
          <w:p>
            <w:pPr>
              <w:pStyle w:val="Normal"/>
              <w:rPr/>
            </w:pPr>
            <w:r>
              <w:rPr/>
              <w:t xml:space="preserve">Sutarties kaina yra </w:t>
            </w:r>
            <w:r>
              <w:rPr>
                <w:color w:val="4472C4"/>
              </w:rPr>
              <w:t>(nurodyti sumą skaičiais)</w:t>
            </w:r>
            <w:r>
              <w:rPr/>
              <w:t xml:space="preserve"> Eur </w:t>
            </w:r>
            <w:r>
              <w:rPr>
                <w:color w:val="4472C4"/>
              </w:rPr>
              <w:t>(nurodyti sumą žodžiais)</w:t>
            </w:r>
            <w:r>
              <w:rPr/>
              <w:t xml:space="preserve"> su PVM.</w:t>
            </w:r>
          </w:p>
          <w:p>
            <w:pPr>
              <w:pStyle w:val="Normal"/>
              <w:rPr>
                <w:color w:val="000000"/>
              </w:rPr>
            </w:pPr>
            <w:r>
              <w:rPr>
                <w:color w:val="000000"/>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pPr>
              <w:pStyle w:val="Normal"/>
              <w:rPr>
                <w:b/>
                <w:kern w:val="2"/>
                <w:szCs w:val="24"/>
              </w:rPr>
            </w:pPr>
            <w:r>
              <w:rPr>
                <w:b/>
                <w:kern w:val="2"/>
                <w:szCs w:val="24"/>
              </w:rPr>
            </w:r>
          </w:p>
          <w:p>
            <w:pPr>
              <w:pStyle w:val="Normal"/>
              <w:rPr>
                <w:kern w:val="2"/>
                <w:szCs w:val="24"/>
              </w:rPr>
            </w:pPr>
            <w:r>
              <w:rPr>
                <w:kern w:val="2"/>
                <w:szCs w:val="24"/>
              </w:rPr>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color w:val="FF0000"/>
                <w:kern w:val="2"/>
                <w:szCs w:val="24"/>
              </w:rPr>
            </w:pPr>
            <w:r>
              <w:rPr>
                <w:color w:val="FF0000"/>
                <w:kern w:val="2"/>
                <w:szCs w:val="24"/>
              </w:rPr>
              <w:t xml:space="preserve"> </w:t>
            </w:r>
            <w:r>
              <w:rPr>
                <w:color w:val="000000"/>
                <w:kern w:val="2"/>
                <w:szCs w:val="24"/>
              </w:rPr>
              <w:t>Sutarties  kaina bus perskaičiuojami:</w:t>
            </w:r>
          </w:p>
          <w:p>
            <w:pPr>
              <w:pStyle w:val="Normal"/>
              <w:rPr>
                <w:color w:val="FF0000"/>
                <w:kern w:val="2"/>
                <w:szCs w:val="24"/>
              </w:rPr>
            </w:pPr>
            <w:r>
              <w:rPr>
                <w:color w:val="000000"/>
                <w:kern w:val="2"/>
                <w:szCs w:val="24"/>
              </w:rPr>
              <w:t>5.3.1. dėl PVM tarifo pasikeitimo.</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5.3.1. Sutarties kainos / įkainių peržiūra dėl PVM tarifo pasikeitimo</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color w:val="FF0000"/>
                <w:kern w:val="2"/>
                <w:szCs w:val="24"/>
              </w:rPr>
            </w:pPr>
            <w:r>
              <w:rPr>
                <w:kern w:val="2"/>
                <w:szCs w:val="24"/>
              </w:rPr>
              <w:t>Perskaičiuota (-i) Sutarties kaina  įforminama (-i) Susitarimu ir turi būti taikoma (-i) nuo naujo PVM įvedimo datos (nepriklausomai nuo to, kada pasirašytas Susitarimas).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Netaikoma</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Cs/>
                <w:kern w:val="2"/>
                <w:szCs w:val="24"/>
              </w:rPr>
            </w:pPr>
            <w:r>
              <w:rPr>
                <w:b/>
                <w:kern w:val="2"/>
                <w:szCs w:val="24"/>
              </w:rPr>
              <w:t>5.3.3. Sutarties kainos / įkainių peržiūra dėl kainų lygio pokyčio</w:t>
            </w:r>
          </w:p>
          <w:p>
            <w:pPr>
              <w:pStyle w:val="Normal"/>
              <w:rPr>
                <w:kern w:val="2"/>
                <w:szCs w:val="24"/>
              </w:rPr>
            </w:pPr>
            <w:r>
              <w:rPr>
                <w:kern w:val="2"/>
                <w:szCs w:val="24"/>
              </w:rPr>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Netaikoma</w:t>
            </w:r>
          </w:p>
          <w:p>
            <w:pPr>
              <w:pStyle w:val="Normal"/>
              <w:rPr>
                <w:color w:val="4472C4"/>
                <w:kern w:val="2"/>
                <w:szCs w:val="24"/>
              </w:rPr>
            </w:pPr>
            <w:r>
              <w:rPr>
                <w:color w:val="4472C4"/>
                <w:kern w:val="2"/>
                <w:szCs w:val="24"/>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Netaikoma</w:t>
            </w:r>
          </w:p>
          <w:p>
            <w:pPr>
              <w:pStyle w:val="Normal"/>
              <w:rPr>
                <w:kern w:val="2"/>
                <w:szCs w:val="24"/>
              </w:rPr>
            </w:pPr>
            <w:r>
              <w:rPr>
                <w:kern w:val="2"/>
                <w:szCs w:val="24"/>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Netaikoma</w:t>
            </w:r>
          </w:p>
          <w:p>
            <w:pPr>
              <w:pStyle w:val="Normal"/>
              <w:rPr>
                <w:kern w:val="2"/>
                <w:szCs w:val="24"/>
              </w:rPr>
            </w:pPr>
            <w:r>
              <w:rPr>
                <w:kern w:val="2"/>
                <w:szCs w:val="24"/>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5.5. Atsiskaitymo su Tiekėju terminas ir tvarka</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jc w:val="both"/>
              <w:rPr>
                <w:color w:val="000000"/>
                <w:kern w:val="2"/>
                <w:szCs w:val="24"/>
                <w:shd w:fill="FFFFFF" w:val="clear"/>
              </w:rPr>
            </w:pPr>
            <w:r>
              <w:rPr>
                <w:color w:val="000000"/>
                <w:kern w:val="2"/>
                <w:szCs w:val="24"/>
                <w:shd w:fill="FFFFFF" w:val="clear"/>
              </w:rPr>
              <w:t>Pirkėjas atsiskaito su Tiekėju ne vėliau kaip per 30 nuo Sąskaitos gavimo dienos,  suteikus paslaugas.</w:t>
            </w:r>
          </w:p>
          <w:p>
            <w:pPr>
              <w:pStyle w:val="Normal"/>
              <w:jc w:val="both"/>
              <w:rPr>
                <w:color w:val="000000"/>
                <w:kern w:val="2"/>
                <w:szCs w:val="24"/>
                <w:shd w:fill="FFFFFF" w:val="clear"/>
              </w:rPr>
            </w:pPr>
            <w:r>
              <w:rPr>
                <w:color w:val="000000"/>
                <w:kern w:val="2"/>
                <w:szCs w:val="24"/>
                <w:shd w:fill="FFFFFF" w:val="clear"/>
              </w:rPr>
              <w:t>Apmokėjimo sąlygos</w:t>
            </w:r>
          </w:p>
          <w:p>
            <w:pPr>
              <w:pStyle w:val="Normal"/>
              <w:jc w:val="both"/>
              <w:rPr/>
            </w:pPr>
            <w:r>
              <w:rPr>
                <w:color w:val="000000"/>
                <w:kern w:val="2"/>
                <w:szCs w:val="24"/>
                <w:shd w:fill="FFFFFF" w:val="clear"/>
              </w:rPr>
              <w:t>2) įvykdžius užsakymą, mokama už konkretų kiekį / apimtį pagal nustatytus įkainius.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5.6. Avansas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Netaikoma</w:t>
            </w:r>
          </w:p>
          <w:p>
            <w:pPr>
              <w:pStyle w:val="Normal"/>
              <w:spacing w:lineRule="auto" w:line="259"/>
              <w:rPr>
                <w:color w:val="000000"/>
                <w:kern w:val="2"/>
                <w:szCs w:val="24"/>
                <w:shd w:fill="FFFFFF" w:val="clear"/>
              </w:rPr>
            </w:pPr>
            <w:r>
              <w:rPr>
                <w:color w:val="000000"/>
                <w:kern w:val="2"/>
                <w:szCs w:val="24"/>
                <w:shd w:fill="FFFFFF" w:val="clear"/>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5.7. Avanso užtikrinimas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Netaikoma</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6. PASLAUGŲ KOKYBĖ IR GARANTINIAI ĮSIPAREIGOJIMAI</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6.1. Garantinis terminas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Netaikoma</w:t>
            </w:r>
          </w:p>
          <w:p>
            <w:pPr>
              <w:pStyle w:val="Normal"/>
              <w:rPr>
                <w:kern w:val="2"/>
                <w:szCs w:val="24"/>
              </w:rPr>
            </w:pPr>
            <w:r>
              <w:rPr>
                <w:kern w:val="2"/>
                <w:szCs w:val="24"/>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szCs w:val="24"/>
              </w:rPr>
              <w:t>6.2. Terminas Paslaugų trūkumams pašalinti</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Netaikoma</w:t>
            </w:r>
          </w:p>
          <w:p>
            <w:pPr>
              <w:pStyle w:val="Normal"/>
              <w:rPr>
                <w:kern w:val="2"/>
                <w:szCs w:val="24"/>
              </w:rPr>
            </w:pPr>
            <w:r>
              <w:rPr>
                <w:kern w:val="2"/>
                <w:szCs w:val="24"/>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szCs w:val="24"/>
              </w:rPr>
            </w:pPr>
            <w:r>
              <w:rPr>
                <w:b/>
                <w:szCs w:val="24"/>
              </w:rPr>
              <w:t>6.3. Kokybinių kriterijų įgyvendinimo ir tikrinimo tvarka</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kern w:val="2"/>
                <w:szCs w:val="24"/>
              </w:rPr>
              <w:t>Nurodyta techninėje specifikacijoje (jei taikoma)</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7. SUTARTIES VYKDYMUI PASITELKIAMI SUBTIEKĖJAI IR (AR) SPECIALISTAI</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jc w:val="both"/>
              <w:rPr/>
            </w:pPr>
            <w:r>
              <w:rPr>
                <w:b/>
                <w:bCs/>
                <w:kern w:val="2"/>
                <w:szCs w:val="24"/>
              </w:rPr>
              <w:t>7.1. Sutarties vykdymui pasitelkiami subtiekėjai ir (ar) specialistai</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jc w:val="both"/>
              <w:rPr/>
            </w:pPr>
            <w:r>
              <w:rPr>
                <w:kern w:val="2"/>
                <w:szCs w:val="24"/>
              </w:rPr>
              <w:t>Sutarties vykdymui pasitelkiami subtiekėjai ir (ar) specialistai yra nurodyti Sutarties priede</w:t>
            </w:r>
            <w:r>
              <w:rPr>
                <w:color w:val="000000"/>
                <w:kern w:val="2"/>
                <w:szCs w:val="24"/>
              </w:rPr>
              <w:t xml:space="preserve"> Nr.</w:t>
            </w:r>
            <w:r>
              <w:rPr>
                <w:color w:val="000000"/>
                <w:kern w:val="2"/>
                <w:szCs w:val="24"/>
                <w:shd w:fill="FFFFFF" w:val="clear"/>
              </w:rPr>
              <w:t xml:space="preserve"> 3 „</w:t>
            </w:r>
            <w:r>
              <w:rPr>
                <w:kern w:val="2"/>
                <w:szCs w:val="24"/>
              </w:rPr>
              <w:t>Sutarties vykdymui pasitelkiami subtiekėjai ir (ar) specialistai“</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8. PRIEVOLIŲ PAGAL SUTARTĮ ĮVYKDYMO UŽTIKRINIMAS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8.1. Prievolių pagal Sutartį įvykdymo užtikrinimas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pPr>
            <w:r>
              <w:rPr/>
              <w:t>Prievolių pagal Sutartį įvykdymas užtikrinamas :</w:t>
            </w:r>
          </w:p>
          <w:p>
            <w:pPr>
              <w:pStyle w:val="Normal"/>
              <w:rPr>
                <w:kern w:val="2"/>
                <w:szCs w:val="24"/>
              </w:rPr>
            </w:pPr>
            <w:r>
              <w:rPr>
                <w:kern w:val="2"/>
                <w:szCs w:val="24"/>
              </w:rPr>
              <w:t>Netesybomis (delspinigiais, bauda).</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8.2 Sutarties įvykdymo užtikrinimo galiojimo terminas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Netaikoma</w:t>
            </w:r>
          </w:p>
          <w:p>
            <w:pPr>
              <w:pStyle w:val="Normal"/>
              <w:rPr>
                <w:kern w:val="2"/>
                <w:szCs w:val="24"/>
              </w:rPr>
            </w:pPr>
            <w:r>
              <w:rPr>
                <w:kern w:val="2"/>
                <w:szCs w:val="24"/>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8.3. Sutarties įvykdymo užtikrinimo pateikimas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Netaikoma</w:t>
            </w:r>
          </w:p>
          <w:p>
            <w:pPr>
              <w:pStyle w:val="Normal"/>
              <w:rPr>
                <w:szCs w:val="24"/>
              </w:rPr>
            </w:pPr>
            <w:r>
              <w:rPr>
                <w:szCs w:val="24"/>
              </w:rPr>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9. ŠALIŲ ATSAKOMYBĖ</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9.1. Pirkėjui taikomos netesybos už mokėjimų pagal Sutartį vėlavimą</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color w:val="000000"/>
              </w:rPr>
            </w:pPr>
            <w:r>
              <w:rPr>
                <w:color w:val="000000"/>
              </w:rPr>
              <w:t>Jei Pirkėjas, gavęs tinkamai pateiktą ir užpildytą Sąskaitą, uždelsia atsiskaityti už tinkamai Tiekėjo suteiktas ir perduotas Paslaugas per Sutartyje nurodytą terminą, Tiekėjas nuo kitos, nei nustatytas terminas, dienos skaičiuoja Pirkėjui 0,02 (dvi šimtosios) procento dydžio delspinigius nuo neapmokėtos sumos be PVM už kiekvieną vėlavimo dieną.</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szCs w:val="24"/>
              </w:rPr>
              <w:t>9.2. Tiekėjui taikomos netesybos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1296"/>
                <w:tab w:val="left" w:pos="5760" w:leader="none"/>
              </w:tabs>
              <w:spacing w:before="0" w:after="120"/>
              <w:jc w:val="both"/>
              <w:rPr/>
            </w:pPr>
            <w:r>
              <w:rPr>
                <w:shd w:fill="FFFFFF" w:val="clear"/>
              </w:rPr>
              <w:t>Jei Paslaugų tiekėjas v</w:t>
            </w:r>
            <w:r>
              <w:rPr>
                <w:color w:val="000000"/>
                <w:shd w:fill="FFFFFF" w:val="clear"/>
              </w:rPr>
              <w:t>ėluoja suteikti paslaugas techninėje specifikacijoje nurodytais terminais, tai už kiekvieną vėlavimo kalendorinę dieną moką 20 eurų netęsybas.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pPr>
            <w:r>
              <w:rPr/>
              <w:t>9.3.1. Nutraukus Sutartį dėl esminio Sutarties pažeidimo, mokama 500 eurų bauda.</w:t>
            </w:r>
          </w:p>
          <w:p>
            <w:pPr>
              <w:pStyle w:val="Normal"/>
              <w:rPr/>
            </w:pPr>
            <w:r>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bCs/>
                <w:color w:val="000000"/>
                <w:kern w:val="2"/>
                <w:szCs w:val="24"/>
              </w:rPr>
            </w:pPr>
            <w:r>
              <w:rPr>
                <w:bCs/>
                <w:color w:val="000000"/>
                <w:kern w:val="2"/>
                <w:szCs w:val="24"/>
              </w:rPr>
              <w:t>500 eurų</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9.5. Tiekėjui taikomos baudos dėl aplinkosauginių ir (arba) socialinių kriterijų nesilaikymo</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bCs/>
                <w:color w:val="000000"/>
                <w:kern w:val="2"/>
                <w:szCs w:val="24"/>
              </w:rPr>
            </w:pPr>
            <w:r>
              <w:rPr>
                <w:bCs/>
                <w:color w:val="000000"/>
                <w:kern w:val="2"/>
                <w:szCs w:val="24"/>
              </w:rPr>
              <w:t>Netaikoma</w:t>
            </w:r>
          </w:p>
          <w:p>
            <w:pPr>
              <w:pStyle w:val="Normal"/>
              <w:rPr>
                <w:color w:val="4472C4"/>
                <w:kern w:val="2"/>
                <w:szCs w:val="24"/>
              </w:rPr>
            </w:pPr>
            <w:r>
              <w:rPr>
                <w:color w:val="4472C4"/>
                <w:kern w:val="2"/>
                <w:szCs w:val="24"/>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9.6. Tiekėjui / Pirkėjui taikoma bauda dėl konfidencialumo reikalavimų nesilaikymo</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bCs/>
                <w:kern w:val="2"/>
                <w:szCs w:val="24"/>
              </w:rPr>
            </w:pPr>
            <w:r>
              <w:rPr>
                <w:bCs/>
                <w:kern w:val="2"/>
                <w:szCs w:val="24"/>
              </w:rPr>
              <w:t>Netaikoma</w:t>
            </w:r>
          </w:p>
          <w:p>
            <w:pPr>
              <w:pStyle w:val="Normal"/>
              <w:rPr>
                <w:bCs/>
                <w:kern w:val="2"/>
                <w:szCs w:val="24"/>
              </w:rPr>
            </w:pPr>
            <w:r>
              <w:rPr>
                <w:bCs/>
                <w:kern w:val="2"/>
                <w:szCs w:val="24"/>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rPr>
              <w:t>9.7. Tiekėjui taikomos netesybos dėl pirkimo dokumentuose nustatytų Kokybinių kriterijų nepasiekimo Sutarties vykdymo metu</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bCs/>
                <w:color w:val="4472C4"/>
                <w:szCs w:val="24"/>
              </w:rPr>
            </w:pPr>
            <w:r>
              <w:rPr>
                <w:bCs/>
                <w:szCs w:val="24"/>
              </w:rPr>
              <w:t>Netaikoma</w:t>
            </w:r>
          </w:p>
        </w:tc>
      </w:tr>
      <w:tr>
        <w:trPr>
          <w:trHeight w:val="156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 xml:space="preserve">9.8. Tiekėjui taikomos netesybos dėl Sutarties įvykdymo užtikrinimo </w:t>
            </w:r>
            <w:r>
              <w:rPr>
                <w:b/>
                <w:szCs w:val="24"/>
              </w:rPr>
              <w:t>nepratęsimo</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bCs/>
                <w:kern w:val="2"/>
                <w:szCs w:val="24"/>
              </w:rPr>
            </w:pPr>
            <w:r>
              <w:rPr>
                <w:bCs/>
                <w:kern w:val="2"/>
                <w:szCs w:val="24"/>
              </w:rPr>
              <w:t>Netaikoma</w:t>
            </w:r>
          </w:p>
          <w:p>
            <w:pPr>
              <w:pStyle w:val="Normal"/>
              <w:rPr>
                <w:bCs/>
                <w:kern w:val="2"/>
                <w:szCs w:val="24"/>
              </w:rPr>
            </w:pPr>
            <w:r>
              <w:rPr>
                <w:bCs/>
                <w:kern w:val="2"/>
                <w:szCs w:val="24"/>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bCs/>
                <w:kern w:val="2"/>
                <w:szCs w:val="24"/>
              </w:rPr>
            </w:pPr>
            <w:r>
              <w:rPr>
                <w:bCs/>
                <w:kern w:val="2"/>
                <w:szCs w:val="24"/>
              </w:rPr>
              <w:t>Netaikoma</w:t>
            </w:r>
          </w:p>
          <w:p>
            <w:pPr>
              <w:pStyle w:val="Normal"/>
              <w:rPr>
                <w:bCs/>
                <w:kern w:val="2"/>
                <w:szCs w:val="24"/>
              </w:rPr>
            </w:pPr>
            <w:r>
              <w:rPr>
                <w:bCs/>
                <w:kern w:val="2"/>
                <w:szCs w:val="24"/>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color w:val="000000"/>
              </w:rPr>
            </w:pPr>
            <w:r>
              <w:rPr>
                <w:b/>
                <w:color w:val="000000"/>
                <w:kern w:val="2"/>
                <w:szCs w:val="24"/>
                <w:lang w:val="en-US"/>
              </w:rPr>
              <w:t xml:space="preserve">9.10. </w:t>
            </w:r>
            <w:r>
              <w:rPr>
                <w:b/>
                <w:color w:val="000000"/>
                <w:kern w:val="2"/>
                <w:szCs w:val="24"/>
              </w:rPr>
              <w:t>Kitos netesybos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color w:val="000000"/>
              </w:rPr>
            </w:pPr>
            <w:r>
              <w:rPr>
                <w:bCs/>
                <w:color w:val="000000"/>
                <w:kern w:val="2"/>
                <w:szCs w:val="24"/>
              </w:rPr>
              <w:t>Netaikoma</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color w:val="4472C4"/>
                <w:kern w:val="2"/>
                <w:szCs w:val="24"/>
              </w:rPr>
            </w:pPr>
            <w:r>
              <w:rPr>
                <w:b/>
                <w:kern w:val="2"/>
                <w:szCs w:val="24"/>
              </w:rPr>
              <w:t>10. ESMINĖS SUTARTIES SĄLYGOS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lang w:val="en-US"/>
              </w:rPr>
            </w:pPr>
            <w:r>
              <w:rPr>
                <w:b/>
                <w:kern w:val="2"/>
                <w:szCs w:val="24"/>
                <w:lang w:val="en-US"/>
              </w:rPr>
              <w:t xml:space="preserve">10.1. </w:t>
            </w:r>
            <w:r>
              <w:rPr>
                <w:b/>
                <w:kern w:val="2"/>
                <w:szCs w:val="24"/>
              </w:rPr>
              <w:t>Esminės Sutarties sąlygos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jc w:val="both"/>
              <w:rPr>
                <w:color w:val="000000"/>
              </w:rPr>
            </w:pPr>
            <w:r>
              <w:rPr>
                <w:color w:val="000000"/>
                <w:kern w:val="2"/>
                <w:szCs w:val="24"/>
              </w:rPr>
              <w:t>Prievolių įvykdymo terminai nurodyti Sutarties 1 priede „Techninė specifikacija“.</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lang w:val="en-US"/>
              </w:rPr>
            </w:pPr>
            <w:r>
              <w:rPr>
                <w:b/>
                <w:bCs/>
              </w:rPr>
              <w:t>10.2. Dideli arba nuolatiniai esminės Sutarties sąlygos vykdymo trūkumai</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jc w:val="both"/>
              <w:rPr>
                <w:color w:val="000000"/>
              </w:rPr>
            </w:pPr>
            <w:r>
              <w:rPr>
                <w:rFonts w:eastAsia="Arial"/>
                <w:color w:val="000000"/>
              </w:rPr>
              <w:t>Dideliu ar nuolatiniu esminės Sutarties sąlygos vykdymo trūkumu laikomas</w:t>
            </w:r>
            <w:r>
              <w:rPr>
                <w:color w:val="000000"/>
              </w:rPr>
              <w:t xml:space="preserve"> tiekėjo uždelsimas, trunkantis 15 dienas suteikti paslaugas </w:t>
            </w:r>
            <w:r>
              <w:rPr>
                <w:color w:val="000000"/>
                <w:kern w:val="2"/>
                <w:szCs w:val="24"/>
              </w:rPr>
              <w:t>Sutarties 1 priede „Techninė specifikacija“</w:t>
            </w:r>
            <w:r>
              <w:rPr>
                <w:color w:val="000000"/>
              </w:rPr>
              <w:t>.</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11. SUTARTIES GALIOJIMAS IR KEITIMAS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szCs w:val="24"/>
              </w:rPr>
              <w:t>11.1. Sutarties sudarymas ir įsigaliojimas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jc w:val="both"/>
              <w:rPr>
                <w:highlight w:val="none"/>
                <w:shd w:fill="FFFFFF" w:val="clear"/>
              </w:rPr>
            </w:pPr>
            <w:r>
              <w:rPr>
                <w:shd w:fill="FFFFFF" w:val="clear"/>
              </w:rPr>
              <w:t>Ši Sutartis laikoma sudaryta ir įsigalioja nuo Sutarties pasirašymo dienos (antrosios Šalies pasirašymo dieną).</w:t>
            </w:r>
          </w:p>
          <w:p>
            <w:pPr>
              <w:pStyle w:val="Normal"/>
              <w:jc w:val="both"/>
              <w:rPr>
                <w:highlight w:val="none"/>
                <w:shd w:fill="FFFFFF" w:val="clear"/>
              </w:rPr>
            </w:pPr>
            <w:r>
              <w:rPr>
                <w:color w:val="000000"/>
                <w:kern w:val="2"/>
                <w:szCs w:val="24"/>
                <w:shd w:fill="FFFFFF" w:val="clear"/>
              </w:rPr>
              <w:t xml:space="preserve">Sutartis galioja iki visiško prievolių įvykdymo, bet neilgiau kaip </w:t>
            </w:r>
            <w:r>
              <w:rPr>
                <w:color w:val="000000"/>
                <w:kern w:val="2"/>
                <w:szCs w:val="24"/>
                <w:shd w:fill="FFFFFF" w:val="clear"/>
              </w:rPr>
              <w:t>3</w:t>
            </w:r>
            <w:r>
              <w:rPr>
                <w:color w:val="000000"/>
                <w:kern w:val="2"/>
                <w:szCs w:val="24"/>
                <w:shd w:fill="FFFFFF" w:val="clear"/>
              </w:rPr>
              <w:t xml:space="preserve"> mėnesiai.</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11.2. Sutarties galiojimo termino pratęsimas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Netaikoma</w:t>
            </w:r>
          </w:p>
          <w:p>
            <w:pPr>
              <w:pStyle w:val="Normal"/>
              <w:rPr>
                <w:kern w:val="2"/>
                <w:szCs w:val="24"/>
              </w:rPr>
            </w:pPr>
            <w:r>
              <w:rPr>
                <w:kern w:val="2"/>
                <w:szCs w:val="24"/>
              </w:rPr>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12. SUTARTIES NUTRAUKIMAS</w:t>
            </w:r>
          </w:p>
        </w:tc>
      </w:tr>
      <w:tr>
        <w:trPr>
          <w:trHeight w:val="300" w:hRule="atLeast"/>
        </w:trPr>
        <w:tc>
          <w:tcPr>
            <w:tcW w:w="3057" w:type="dxa"/>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12.1. Sutarties nutraukimo pagrindai</w:t>
            </w:r>
          </w:p>
        </w:tc>
        <w:tc>
          <w:tcPr>
            <w:tcW w:w="6477" w:type="dxa"/>
            <w:gridSpan w:val="3"/>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Sutartis gali būti nutraukiama rašytiniu Šalių susitarimu arba vienašališkai, Bendrosiose sąlygose nustatyta tvarka.</w:t>
            </w:r>
          </w:p>
        </w:tc>
      </w:tr>
      <w:tr>
        <w:trPr>
          <w:trHeight w:val="300" w:hRule="atLeast"/>
        </w:trPr>
        <w:tc>
          <w:tcPr>
            <w:tcW w:w="3057" w:type="dxa"/>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12.2.1. jeigu Tiekėjas nevykdo prisiimtų įsipareigojimų už Sutartyje nustatytą Sutarties kainą ;</w:t>
            </w:r>
          </w:p>
          <w:p>
            <w:pPr>
              <w:pStyle w:val="Normal"/>
              <w:spacing w:lineRule="auto" w:line="252"/>
              <w:jc w:val="both"/>
              <w:rPr>
                <w:rFonts w:eastAsia="Arial"/>
                <w:kern w:val="2"/>
                <w:szCs w:val="24"/>
              </w:rPr>
            </w:pPr>
            <w:r>
              <w:rPr>
                <w:rFonts w:eastAsia="Arial"/>
                <w:kern w:val="2"/>
                <w:szCs w:val="24"/>
              </w:rPr>
              <w:t>12.2.2. jeigu Tiekėjas nesilaiko Sutartyje nustatytų Paslaugų teikimo terminų daugiau kaip  20 dienų;</w:t>
            </w:r>
          </w:p>
          <w:p>
            <w:pPr>
              <w:pStyle w:val="Normal"/>
              <w:tabs>
                <w:tab w:val="clear" w:pos="1296"/>
                <w:tab w:val="left" w:pos="567" w:leader="none"/>
                <w:tab w:val="left" w:pos="851" w:leader="none"/>
                <w:tab w:val="left" w:pos="992" w:leader="none"/>
                <w:tab w:val="left" w:pos="1134" w:leader="none"/>
              </w:tabs>
              <w:spacing w:lineRule="auto" w:line="252"/>
              <w:jc w:val="both"/>
              <w:rPr>
                <w:rFonts w:eastAsia="Arial"/>
                <w:kern w:val="2"/>
                <w:szCs w:val="24"/>
              </w:rPr>
            </w:pPr>
            <w:r>
              <w:rPr>
                <w:rFonts w:eastAsia="Arial"/>
                <w:kern w:val="2"/>
                <w:szCs w:val="24"/>
              </w:rPr>
              <w:t>12.2.3. jeigu Tiekėjas pažeidžia Paslaugų suteikimo terminus ir priskaičiuotų netesybų už vėlavimą suma viršija 20 (dvidešimt) proc. Pradinės sutarties vertės;</w:t>
            </w:r>
          </w:p>
          <w:p>
            <w:pPr>
              <w:pStyle w:val="Normal"/>
              <w:tabs>
                <w:tab w:val="clear" w:pos="1296"/>
                <w:tab w:val="left" w:pos="567" w:leader="none"/>
                <w:tab w:val="left" w:pos="851" w:leader="none"/>
                <w:tab w:val="left" w:pos="992" w:leader="none"/>
                <w:tab w:val="left" w:pos="1134" w:leader="none"/>
              </w:tabs>
              <w:spacing w:lineRule="auto" w:line="252"/>
              <w:jc w:val="both"/>
              <w:rPr>
                <w:rFonts w:eastAsia="Arial"/>
                <w:kern w:val="2"/>
                <w:szCs w:val="24"/>
              </w:rPr>
            </w:pPr>
            <w:r>
              <w:rPr>
                <w:rFonts w:eastAsia="Arial"/>
                <w:kern w:val="2"/>
                <w:szCs w:val="24"/>
              </w:rPr>
              <w:t>12.2.4. Tiekėjas pažeidžia Paslaugų suteikimo terminus ir dėl Paslaugų suteikimo vėlavimo Paslaugos tampa nebereikalingos;</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kern w:val="2"/>
                <w:szCs w:val="24"/>
              </w:rPr>
            </w:pPr>
            <w:r>
              <w:rPr>
                <w:b/>
                <w:kern w:val="2"/>
                <w:szCs w:val="24"/>
              </w:rPr>
              <w:t>13. APLINKOS APSAUGOS IR SOCIALINIAI KRITERIJAI</w:t>
            </w:r>
          </w:p>
        </w:tc>
      </w:tr>
      <w:tr>
        <w:trPr>
          <w:trHeight w:val="300" w:hRule="atLeast"/>
        </w:trPr>
        <w:tc>
          <w:tcPr>
            <w:tcW w:w="3057" w:type="dxa"/>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13.1. Su perkamomis paslaugomis susiję  aplinkos apsaugos kriterijai</w:t>
            </w:r>
          </w:p>
        </w:tc>
        <w:tc>
          <w:tcPr>
            <w:tcW w:w="6477" w:type="dxa"/>
            <w:gridSpan w:val="3"/>
            <w:tcBorders>
              <w:top w:val="single" w:sz="4" w:space="0" w:color="000000"/>
              <w:left w:val="single" w:sz="4" w:space="0" w:color="000000"/>
              <w:bottom w:val="single" w:sz="4" w:space="0" w:color="000000"/>
              <w:right w:val="single" w:sz="4" w:space="0" w:color="000000"/>
            </w:tcBorders>
          </w:tcPr>
          <w:p>
            <w:pPr>
              <w:pStyle w:val="Normal"/>
              <w:jc w:val="both"/>
              <w:rPr/>
            </w:pPr>
            <w:r>
              <w:rPr>
                <w:color w:val="000000"/>
                <w:kern w:val="2"/>
                <w:szCs w:val="24"/>
                <w:shd w:fill="FFFFFF" w:val="clear"/>
              </w:rPr>
              <w:t>9.2.1. vadovaujantis Aprašo 4 punktu, Pirkimas laikomas žaliuoju, nes dalis Pirkimo objekto tenkina 4.4.3 papunktyje nustatytą sąlygą, t. y. perkama tik nematerialaus pobūdžio (intelektinė) paslauga, nesusijusi su materialaus objekto sukūrimu, kurios teikimo metu nėra numatomas reikšmingas neigiamas poveikis aplinkai, nesukuriamas taršos šaltinis ir negeneruojamos atliekos</w:t>
            </w:r>
            <w:r>
              <w:rPr>
                <w:rStyle w:val="EndnoteReference"/>
                <w:color w:val="000000"/>
                <w:kern w:val="2"/>
                <w:szCs w:val="24"/>
                <w:shd w:fill="FFFFFF" w:val="clear"/>
              </w:rPr>
              <w:endnoteReference w:id="2"/>
            </w:r>
            <w:r>
              <w:rPr>
                <w:rStyle w:val="FootnoteReference"/>
                <w:color w:val="000000"/>
                <w:kern w:val="2"/>
                <w:szCs w:val="24"/>
                <w:shd w:fill="FFFFFF" w:val="clear"/>
              </w:rPr>
              <w:footnoteReference w:id="2"/>
            </w:r>
            <w:r>
              <w:rPr>
                <w:color w:val="000000"/>
                <w:kern w:val="2"/>
                <w:szCs w:val="24"/>
                <w:shd w:fill="FFFFFF" w:val="clear"/>
              </w:rPr>
              <w:t>, todėl Pirkimo objektui, tiekėjų kvalifikacijos reikalavimams, pasiūlymų vertinimo kriterijams, Pirkimo sutarties vykdymo sąlygoms ar kitiems reikalavimams kiti aplinkos apsaugos (žalieji) kriterijai</w:t>
            </w:r>
            <w:r>
              <w:rPr>
                <w:b/>
                <w:bCs/>
                <w:color w:val="000000"/>
                <w:kern w:val="2"/>
                <w:szCs w:val="24"/>
                <w:shd w:fill="FFFFFF" w:val="clear"/>
              </w:rPr>
              <w:t xml:space="preserve"> nėra nustatomi</w:t>
            </w:r>
          </w:p>
        </w:tc>
      </w:tr>
      <w:tr>
        <w:trPr>
          <w:trHeight w:val="300" w:hRule="atLeast"/>
        </w:trPr>
        <w:tc>
          <w:tcPr>
            <w:tcW w:w="3057" w:type="dxa"/>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13.2. Su perkamomis Paslaugomis susiję socialiniai kriterijai</w:t>
            </w:r>
          </w:p>
        </w:tc>
        <w:tc>
          <w:tcPr>
            <w:tcW w:w="6477" w:type="dxa"/>
            <w:gridSpan w:val="3"/>
            <w:tcBorders>
              <w:top w:val="single" w:sz="4" w:space="0" w:color="000000"/>
              <w:left w:val="single" w:sz="4" w:space="0" w:color="000000"/>
              <w:bottom w:val="single" w:sz="4" w:space="0" w:color="000000"/>
              <w:right w:val="single" w:sz="4" w:space="0" w:color="000000"/>
            </w:tcBorders>
          </w:tcPr>
          <w:p>
            <w:pPr>
              <w:pStyle w:val="Normal"/>
              <w:rPr>
                <w:color w:val="000000"/>
                <w:kern w:val="2"/>
                <w:szCs w:val="24"/>
                <w:shd w:fill="FFFFFF" w:val="clear"/>
              </w:rPr>
            </w:pPr>
            <w:r>
              <w:rPr>
                <w:color w:val="000000"/>
                <w:kern w:val="2"/>
                <w:szCs w:val="24"/>
                <w:shd w:fill="FFFFFF" w:val="clear"/>
              </w:rPr>
              <w:t>Netaikoma</w:t>
            </w:r>
          </w:p>
          <w:p>
            <w:pPr>
              <w:pStyle w:val="Normal"/>
              <w:rPr>
                <w:color w:val="000000"/>
                <w:kern w:val="2"/>
                <w:szCs w:val="24"/>
                <w:shd w:fill="FFFFFF" w:val="clear"/>
              </w:rPr>
            </w:pPr>
            <w:r>
              <w:rPr>
                <w:color w:val="000000"/>
                <w:kern w:val="2"/>
                <w:szCs w:val="24"/>
                <w:shd w:fill="FFFFFF" w:val="clear"/>
              </w:rPr>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14. BENDRŲJŲ SĄLYGŲ PAKEITIMAI IR PAPILDYMAI</w:t>
            </w:r>
          </w:p>
        </w:tc>
      </w:tr>
      <w:tr>
        <w:trPr>
          <w:trHeight w:val="300" w:hRule="atLeast"/>
        </w:trPr>
        <w:tc>
          <w:tcPr>
            <w:tcW w:w="3057"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b/>
                <w:color w:val="000000"/>
                <w:kern w:val="2"/>
                <w:szCs w:val="24"/>
              </w:rPr>
              <w:t>14.1.</w:t>
            </w:r>
          </w:p>
        </w:tc>
        <w:tc>
          <w:tcPr>
            <w:tcW w:w="6477" w:type="dxa"/>
            <w:gridSpan w:val="3"/>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kern w:val="2"/>
                <w:szCs w:val="24"/>
              </w:rPr>
              <w:t>Netaikoma</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15. SUTARTIES PRIEDAI</w:t>
            </w:r>
          </w:p>
        </w:tc>
      </w:tr>
      <w:tr>
        <w:trPr>
          <w:trHeight w:val="300" w:hRule="atLeast"/>
        </w:trPr>
        <w:tc>
          <w:tcPr>
            <w:tcW w:w="3057" w:type="dxa"/>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15.1. Priedas Nr. 1</w:t>
            </w:r>
          </w:p>
        </w:tc>
        <w:tc>
          <w:tcPr>
            <w:tcW w:w="6477" w:type="dxa"/>
            <w:gridSpan w:val="3"/>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Techninė specifikacija</w:t>
            </w:r>
          </w:p>
        </w:tc>
      </w:tr>
      <w:tr>
        <w:trPr>
          <w:trHeight w:val="300" w:hRule="atLeast"/>
        </w:trPr>
        <w:tc>
          <w:tcPr>
            <w:tcW w:w="3057" w:type="dxa"/>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15.2. Priedas Nr. 2</w:t>
            </w:r>
          </w:p>
        </w:tc>
        <w:tc>
          <w:tcPr>
            <w:tcW w:w="6477" w:type="dxa"/>
            <w:gridSpan w:val="3"/>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Pasiūlymas</w:t>
            </w:r>
          </w:p>
        </w:tc>
      </w:tr>
      <w:tr>
        <w:trPr>
          <w:trHeight w:val="300" w:hRule="atLeast"/>
        </w:trPr>
        <w:tc>
          <w:tcPr>
            <w:tcW w:w="3057" w:type="dxa"/>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15.3. Priedas Nr. 3</w:t>
            </w:r>
          </w:p>
        </w:tc>
        <w:tc>
          <w:tcPr>
            <w:tcW w:w="6477" w:type="dxa"/>
            <w:gridSpan w:val="3"/>
            <w:tcBorders>
              <w:top w:val="single" w:sz="4" w:space="0" w:color="000000"/>
              <w:left w:val="single" w:sz="4" w:space="0" w:color="000000"/>
              <w:bottom w:val="single" w:sz="4" w:space="0" w:color="000000"/>
              <w:right w:val="single" w:sz="4" w:space="0" w:color="000000"/>
            </w:tcBorders>
          </w:tcPr>
          <w:p>
            <w:pPr>
              <w:pStyle w:val="Normal"/>
              <w:rPr/>
            </w:pPr>
            <w:r>
              <w:rPr/>
              <w:t>Sutarties vykdymui pasitelkiami subtiekėjai ir (ar) specialistai</w:t>
            </w:r>
          </w:p>
        </w:tc>
      </w:tr>
      <w:tr>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16. ŠALIŲ ATSTOVŲ PARAŠAI</w:t>
            </w:r>
          </w:p>
        </w:tc>
      </w:tr>
      <w:tr>
        <w:trPr/>
        <w:tc>
          <w:tcPr>
            <w:tcW w:w="5225" w:type="dxa"/>
            <w:gridSpan w:val="3"/>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PIRKĖJAS</w:t>
            </w:r>
          </w:p>
        </w:tc>
        <w:tc>
          <w:tcPr>
            <w:tcW w:w="4309" w:type="dxa"/>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TIEKĖJAS</w:t>
            </w:r>
          </w:p>
        </w:tc>
      </w:tr>
      <w:tr>
        <w:trPr/>
        <w:tc>
          <w:tcPr>
            <w:tcW w:w="5225" w:type="dxa"/>
            <w:gridSpan w:val="3"/>
            <w:tcBorders>
              <w:top w:val="single" w:sz="4" w:space="0" w:color="000000"/>
              <w:left w:val="single" w:sz="4" w:space="0" w:color="000000"/>
              <w:bottom w:val="single" w:sz="4" w:space="0" w:color="000000"/>
              <w:right w:val="single" w:sz="4" w:space="0" w:color="000000"/>
            </w:tcBorders>
          </w:tcPr>
          <w:p>
            <w:pPr>
              <w:pStyle w:val="Normal"/>
              <w:jc w:val="center"/>
              <w:rPr>
                <w:color w:val="4472C4"/>
                <w:kern w:val="2"/>
                <w:szCs w:val="24"/>
              </w:rPr>
            </w:pPr>
            <w:r>
              <w:rPr>
                <w:color w:val="4472C4"/>
                <w:kern w:val="2"/>
                <w:szCs w:val="24"/>
              </w:rPr>
              <w:t>(nurodomos atstovo pareigos, vardas, pavardė)</w:t>
            </w:r>
          </w:p>
        </w:tc>
        <w:tc>
          <w:tcPr>
            <w:tcW w:w="4309" w:type="dxa"/>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color w:val="4472C4"/>
                <w:kern w:val="2"/>
                <w:szCs w:val="24"/>
              </w:rPr>
              <w:t>(nurodomos atstovo pareigos, vardas, pavardė)</w:t>
            </w:r>
          </w:p>
        </w:tc>
      </w:tr>
      <w:tr>
        <w:trPr/>
        <w:tc>
          <w:tcPr>
            <w:tcW w:w="5225" w:type="dxa"/>
            <w:gridSpan w:val="3"/>
            <w:tcBorders>
              <w:top w:val="single" w:sz="4" w:space="0" w:color="000000"/>
              <w:left w:val="single" w:sz="4" w:space="0" w:color="000000"/>
              <w:bottom w:val="single" w:sz="4" w:space="0" w:color="000000"/>
              <w:right w:val="single" w:sz="4" w:space="0" w:color="000000"/>
            </w:tcBorders>
          </w:tcPr>
          <w:p>
            <w:pPr>
              <w:pStyle w:val="Normal"/>
              <w:jc w:val="center"/>
              <w:rPr>
                <w:b/>
                <w:color w:val="4472C4"/>
                <w:kern w:val="2"/>
                <w:szCs w:val="24"/>
              </w:rPr>
            </w:pPr>
            <w:r>
              <w:rPr>
                <w:b/>
                <w:color w:val="4472C4"/>
                <w:kern w:val="2"/>
                <w:szCs w:val="24"/>
              </w:rPr>
            </w:r>
          </w:p>
          <w:p>
            <w:pPr>
              <w:pStyle w:val="Normal"/>
              <w:jc w:val="center"/>
              <w:rPr>
                <w:b/>
                <w:color w:val="4472C4"/>
                <w:kern w:val="2"/>
                <w:szCs w:val="24"/>
              </w:rPr>
            </w:pPr>
            <w:r>
              <w:rPr>
                <w:b/>
                <w:color w:val="4472C4"/>
                <w:kern w:val="2"/>
                <w:szCs w:val="24"/>
              </w:rPr>
              <w:t>(parašas)</w:t>
            </w:r>
          </w:p>
          <w:p>
            <w:pPr>
              <w:pStyle w:val="Normal"/>
              <w:jc w:val="center"/>
              <w:rPr>
                <w:b/>
                <w:color w:val="4472C4"/>
                <w:kern w:val="2"/>
                <w:szCs w:val="24"/>
              </w:rPr>
            </w:pPr>
            <w:r>
              <w:rPr>
                <w:b/>
                <w:color w:val="4472C4"/>
                <w:kern w:val="2"/>
                <w:szCs w:val="24"/>
              </w:rPr>
            </w:r>
          </w:p>
          <w:p>
            <w:pPr>
              <w:pStyle w:val="Normal"/>
              <w:jc w:val="center"/>
              <w:rPr>
                <w:b/>
                <w:color w:val="4472C4"/>
                <w:kern w:val="2"/>
                <w:szCs w:val="24"/>
              </w:rPr>
            </w:pPr>
            <w:r>
              <w:rPr>
                <w:b/>
                <w:color w:val="4472C4"/>
                <w:kern w:val="2"/>
                <w:szCs w:val="24"/>
              </w:rPr>
            </w:r>
          </w:p>
        </w:tc>
        <w:tc>
          <w:tcPr>
            <w:tcW w:w="4309" w:type="dxa"/>
            <w:tcBorders>
              <w:top w:val="single" w:sz="4" w:space="0" w:color="000000"/>
              <w:left w:val="single" w:sz="4" w:space="0" w:color="000000"/>
              <w:bottom w:val="single" w:sz="4" w:space="0" w:color="000000"/>
              <w:right w:val="single" w:sz="4" w:space="0" w:color="000000"/>
            </w:tcBorders>
          </w:tcPr>
          <w:p>
            <w:pPr>
              <w:pStyle w:val="Normal"/>
              <w:jc w:val="center"/>
              <w:rPr>
                <w:b/>
                <w:color w:val="4472C4"/>
                <w:kern w:val="2"/>
                <w:szCs w:val="24"/>
              </w:rPr>
            </w:pPr>
            <w:r>
              <w:rPr>
                <w:b/>
                <w:color w:val="4472C4"/>
                <w:kern w:val="2"/>
                <w:szCs w:val="24"/>
              </w:rPr>
            </w:r>
          </w:p>
          <w:p>
            <w:pPr>
              <w:pStyle w:val="Normal"/>
              <w:jc w:val="center"/>
              <w:rPr>
                <w:b/>
                <w:color w:val="4472C4"/>
                <w:kern w:val="2"/>
                <w:szCs w:val="24"/>
              </w:rPr>
            </w:pPr>
            <w:r>
              <w:rPr>
                <w:b/>
                <w:color w:val="4472C4"/>
                <w:kern w:val="2"/>
                <w:szCs w:val="24"/>
              </w:rPr>
              <w:t>(parašas)</w:t>
            </w:r>
          </w:p>
        </w:tc>
      </w:tr>
    </w:tbl>
    <w:p>
      <w:pPr>
        <w:pStyle w:val="Normal"/>
        <w:rPr>
          <w:szCs w:val="24"/>
        </w:rPr>
      </w:pPr>
      <w:r>
        <w:rPr>
          <w:szCs w:val="24"/>
        </w:rPr>
      </w:r>
    </w:p>
    <w:p>
      <w:pPr>
        <w:pStyle w:val="Normal"/>
        <w:rPr>
          <w:szCs w:val="24"/>
        </w:rPr>
      </w:pPr>
      <w:r>
        <w:rPr>
          <w:szCs w:val="24"/>
        </w:rPr>
      </w:r>
    </w:p>
    <w:p>
      <w:pPr>
        <w:pStyle w:val="Normal"/>
        <w:tabs>
          <w:tab w:val="clear" w:pos="1296"/>
          <w:tab w:val="left" w:pos="5400" w:leader="none"/>
        </w:tabs>
        <w:jc w:val="center"/>
        <w:textAlignment w:val="center"/>
        <w:rPr/>
      </w:pPr>
      <w:r>
        <w:rPr>
          <w:b/>
          <w:bCs/>
        </w:rPr>
        <w:t>______________</w:t>
      </w:r>
    </w:p>
    <w:sectPr>
      <w:headerReference w:type="default" r:id="rId2"/>
      <w:footerReference w:type="default" r:id="rId3"/>
      <w:footnotePr>
        <w:numFmt w:val="decimal"/>
      </w:footnotePr>
      <w:endnotePr>
        <w:numFmt w:val="decimal"/>
      </w:endnotePr>
      <w:type w:val="nextPage"/>
      <w:pgSz w:w="12240" w:h="15840"/>
      <w:pgMar w:left="1701" w:right="567" w:gutter="0" w:header="720" w:top="1134" w:footer="720" w:bottom="1134"/>
      <w:pgNumType w:start="1" w:fmt="decimal"/>
      <w:formProt w:val="false"/>
      <w:titlePg/>
      <w:textDirection w:val="lrTb"/>
      <w:docGrid w:type="default" w:linePitch="360" w:charSpace="0"/>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endnote w:id="0" w:type="separator">
    <w:p>
      <w:r>
        <w:separator/>
      </w:r>
    </w:p>
  </w:endnote>
  <w:endnote w:id="1" w:type="continuationSeparator">
    <w:p>
      <w:r>
        <w:continuationSeparator/>
      </w:r>
    </w:p>
  </w:endnote>
  <w:endnote w:id="2">
    <w:p>
      <w:pPr>
        <w:pStyle w:val="Normal"/>
        <w:jc w:val="both"/>
        <w:rPr/>
      </w:pPr>
      <w:r>
        <w:rPr>
          <w:rStyle w:val="EndnoteCharacters"/>
        </w:rPr>
        <w:endnoteRef/>
      </w:r>
      <w:r>
        <w:rPr/>
        <w:t xml:space="preserve"> </w:t>
      </w:r>
      <w:r>
        <w:rPr>
          <w:rFonts w:ascii="Aptos" w:hAnsi="Aptos"/>
          <w:sz w:val="18"/>
          <w:szCs w:val="18"/>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 arba perkama prekė: programinė įranga, programinės įrangos nuoma, licencijos, elektroniniai leidiniai ar elektroninės knygos.</w:t>
      </w:r>
    </w:p>
    <w:p>
      <w:pPr>
        <w:pStyle w:val="EndnoteText"/>
        <w:rPr/>
      </w:pPr>
      <w:r>
        <w:rPr/>
      </w:r>
    </w:p>
  </w:endnote>
</w:endnote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Calibri">
    <w:charset w:val="00"/>
    <w:family w:val="roman"/>
    <w:pitch w:val="variable"/>
  </w:font>
  <w:font w:name="Segoe UI">
    <w:charset w:val="00"/>
    <w:family w:val="roman"/>
    <w:pitch w:val="variable"/>
  </w:font>
  <w:font w:name="Arial">
    <w:charset w:val="00"/>
    <w:family w:val="roman"/>
    <w:pitch w:val="variable"/>
  </w:font>
  <w:font w:name="Apto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1296"/>
        <w:tab w:val="center" w:pos="4680" w:leader="none"/>
        <w:tab w:val="right" w:pos="9360" w:leader="none"/>
      </w:tabs>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pPr>
      <w:r>
        <w:rPr>
          <w:rStyle w:val="FootnoteCharacters"/>
        </w:rPr>
        <w:footnoteRef/>
      </w:r>
      <w:r>
        <w:rPr/>
        <w:tab/>
        <w:t xml:space="preserve"> </w:t>
      </w:r>
      <w:r>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 arba perkama prekė: programinė įranga, programinės įrangos nuoma, licencijos, elektroniniai leidiniai ar elektroninės knygos.</w:t>
      </w:r>
    </w:p>
    <w:p>
      <w:pPr>
        <w:pStyle w:val="FootnoteText"/>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1296"/>
        <w:tab w:val="center" w:pos="4680" w:leader="none"/>
        <w:tab w:val="right" w:pos="9360" w:leader="none"/>
      </w:tabs>
      <w:jc w:val="center"/>
      <w:rPr>
        <w:rFonts w:ascii="Arial" w:hAnsi="Arial" w:eastAsia="Arial" w:cs="Arial"/>
        <w:sz w:val="18"/>
        <w:szCs w:val="18"/>
      </w:rPr>
    </w:pPr>
    <w:r>
      <w:rPr>
        <w:rFonts w:eastAsia="Arial" w:cs="Arial" w:ascii="Arial" w:hAnsi="Arial"/>
        <w:sz w:val="18"/>
        <w:szCs w:val="18"/>
      </w:rPr>
      <w:fldChar w:fldCharType="begin"/>
    </w:r>
    <w:r>
      <w:rPr>
        <w:sz w:val="18"/>
        <w:szCs w:val="18"/>
        <w:rFonts w:eastAsia="Arial" w:cs="Arial" w:ascii="Arial" w:hAnsi="Arial"/>
      </w:rPr>
      <w:instrText xml:space="preserve"> PAGE </w:instrText>
    </w:r>
    <w:r>
      <w:rPr>
        <w:sz w:val="18"/>
        <w:szCs w:val="18"/>
        <w:rFonts w:eastAsia="Arial" w:cs="Arial" w:ascii="Arial" w:hAnsi="Arial"/>
      </w:rPr>
      <w:fldChar w:fldCharType="separate"/>
    </w:r>
    <w:r>
      <w:rPr>
        <w:sz w:val="18"/>
        <w:szCs w:val="18"/>
        <w:rFonts w:eastAsia="Arial" w:cs="Arial" w:ascii="Arial" w:hAnsi="Arial"/>
      </w:rPr>
      <w:t>6</w:t>
    </w:r>
    <w:r>
      <w:rPr>
        <w:sz w:val="18"/>
        <w:szCs w:val="18"/>
        <w:rFonts w:eastAsia="Arial" w:cs="Arial" w:ascii="Arial" w:hAnsi="Arial"/>
      </w:rPr>
      <w:fldChar w:fldCharType="end"/>
    </w:r>
  </w:p>
  <w:p>
    <w:pPr>
      <w:pStyle w:val="Normal"/>
      <w:tabs>
        <w:tab w:val="clear" w:pos="1296"/>
        <w:tab w:val="center" w:pos="4680" w:leader="none"/>
        <w:tab w:val="right" w:pos="9360" w:leader="none"/>
      </w:tabs>
      <w:jc w:val="both"/>
      <w:rPr>
        <w:rFonts w:ascii="Arial" w:hAnsi="Arial" w:eastAsia="Arial" w:cs="Arial"/>
        <w:sz w:val="18"/>
        <w:szCs w:val="18"/>
      </w:rPr>
    </w:pPr>
    <w:r>
      <w:rPr>
        <w:rFonts w:eastAsia="Arial" w:cs="Arial" w:ascii="Arial" w:hAnsi="Arial"/>
        <w:sz w:val="18"/>
        <w:szCs w:val="18"/>
      </w:rPr>
    </w:r>
  </w:p>
</w:hdr>
</file>

<file path=word/settings.xml><?xml version="1.0" encoding="utf-8"?>
<w:settings xmlns:w="http://schemas.openxmlformats.org/wordprocessingml/2006/main">
  <w:zoom w:percent="100"/>
  <w:defaultTabStop w:val="1296"/>
  <w:autoHyphenation w:val="true"/>
  <w:doNotHyphenateCaps/>
  <w:hyphenationZone w:val="396"/>
  <w:footnotePr>
    <w:numFmt w:val="decimal"/>
    <w:footnote w:id="0"/>
    <w:footnote w:id="1"/>
  </w:footnotePr>
  <w:endnotePr>
    <w:numFmt w:val="decimal"/>
    <w:endnote w:id="0"/>
    <w:endnote w:id="1"/>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lt-LT"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4"/>
        <w:lang w:val="lt-LT" w:eastAsia="en-US" w:bidi="ar-SA"/>
      </w:rPr>
    </w:rPrDefault>
    <w:pPrDefault>
      <w:pPr>
        <w:suppressAutoHyphens w:val="true"/>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0"/>
      <w:lang w:val="lt-LT" w:eastAsia="en-US" w:bidi="ar-SA"/>
    </w:rPr>
  </w:style>
  <w:style w:type="character" w:styleId="DefaultParagraphFont" w:default="1">
    <w:name w:val="Default Paragraph Font"/>
    <w:uiPriority w:val="1"/>
    <w:semiHidden/>
    <w:unhideWhenUsed/>
    <w:qFormat/>
    <w:rPr/>
  </w:style>
  <w:style w:type="character" w:styleId="PlaceholderText">
    <w:name w:val="Placeholder Text"/>
    <w:basedOn w:val="DefaultParagraphFont"/>
    <w:qFormat/>
    <w:rsid w:val="00f60bd9"/>
    <w:rPr>
      <w:color w:val="808080"/>
    </w:rPr>
  </w:style>
  <w:style w:type="character" w:styleId="AntratsDiagrama" w:customStyle="1">
    <w:name w:val="Antraštės Diagrama"/>
    <w:basedOn w:val="DefaultParagraphFont"/>
    <w:link w:val="Header"/>
    <w:qFormat/>
    <w:rsid w:val="007a75c6"/>
    <w:rPr/>
  </w:style>
  <w:style w:type="character" w:styleId="PoratDiagrama" w:customStyle="1">
    <w:name w:val="Poraštė Diagrama"/>
    <w:basedOn w:val="DefaultParagraphFont"/>
    <w:link w:val="Footer"/>
    <w:qFormat/>
    <w:rsid w:val="007a75c6"/>
    <w:rPr/>
  </w:style>
  <w:style w:type="character" w:styleId="Normaltextrun" w:customStyle="1">
    <w:name w:val="normaltextrun"/>
    <w:basedOn w:val="DefaultParagraphFont"/>
    <w:qFormat/>
    <w:rsid w:val="00c74fa2"/>
    <w:rPr/>
  </w:style>
  <w:style w:type="character" w:styleId="Eop" w:customStyle="1">
    <w:name w:val="eop"/>
    <w:basedOn w:val="DefaultParagraphFont"/>
    <w:qFormat/>
    <w:rsid w:val="00c74fa2"/>
    <w:rPr/>
  </w:style>
  <w:style w:type="character" w:styleId="EndnoteCharacters" w:customStyle="1">
    <w:name w:val="Endnote Characters"/>
    <w:qFormat/>
    <w:rPr>
      <w:vertAlign w:val="superscript"/>
    </w:rPr>
  </w:style>
  <w:style w:type="character" w:styleId="EndnoteReference">
    <w:name w:val="Endnote Reference"/>
    <w:rPr>
      <w:vertAlign w:val="superscript"/>
    </w:rPr>
  </w:style>
  <w:style w:type="character" w:styleId="FootnoteCharacters" w:customStyle="1">
    <w:name w:val="Footnote Characters"/>
    <w:qFormat/>
    <w:rPr>
      <w:vertAlign w:val="superscript"/>
    </w:rPr>
  </w:style>
  <w:style w:type="character" w:styleId="FootnoteReference">
    <w:name w:val="Footnote Reference"/>
    <w:rPr>
      <w:vertAlign w:val="superscript"/>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1"/>
    <w:basedOn w:val="Normal"/>
    <w:qFormat/>
    <w:pPr>
      <w:suppressLineNumbers/>
      <w:spacing w:before="120" w:after="120"/>
    </w:pPr>
    <w:rPr>
      <w:rFonts w:cs="Arial"/>
      <w:i/>
      <w:iCs/>
      <w:szCs w:val="24"/>
    </w:rPr>
  </w:style>
  <w:style w:type="paragraph" w:styleId="HeaderandFooter" w:customStyle="1">
    <w:name w:val="Header and Footer"/>
    <w:basedOn w:val="Normal"/>
    <w:qFormat/>
    <w:pPr/>
    <w:rPr/>
  </w:style>
  <w:style w:type="paragraph" w:styleId="Header">
    <w:name w:val="Header"/>
    <w:basedOn w:val="Normal"/>
    <w:link w:val="AntratsDiagrama"/>
    <w:unhideWhenUsed/>
    <w:rsid w:val="007a75c6"/>
    <w:pPr>
      <w:tabs>
        <w:tab w:val="clear" w:pos="1296"/>
        <w:tab w:val="center" w:pos="4513" w:leader="none"/>
        <w:tab w:val="right" w:pos="9026" w:leader="none"/>
      </w:tabs>
    </w:pPr>
    <w:rPr/>
  </w:style>
  <w:style w:type="paragraph" w:styleId="Footer">
    <w:name w:val="Footer"/>
    <w:basedOn w:val="Normal"/>
    <w:link w:val="PoratDiagrama"/>
    <w:unhideWhenUsed/>
    <w:rsid w:val="007a75c6"/>
    <w:pPr>
      <w:tabs>
        <w:tab w:val="clear" w:pos="1296"/>
        <w:tab w:val="center" w:pos="4513" w:leader="none"/>
        <w:tab w:val="right" w:pos="9026" w:leader="none"/>
      </w:tabs>
    </w:pPr>
    <w:rPr/>
  </w:style>
  <w:style w:type="paragraph" w:styleId="Paragraph" w:customStyle="1">
    <w:name w:val="paragraph"/>
    <w:basedOn w:val="Normal"/>
    <w:qFormat/>
    <w:rsid w:val="00c74fa2"/>
    <w:pPr>
      <w:spacing w:beforeAutospacing="1" w:afterAutospacing="1"/>
    </w:pPr>
    <w:rPr>
      <w:szCs w:val="24"/>
      <w:lang w:val="en-US"/>
    </w:rPr>
  </w:style>
  <w:style w:type="paragraph" w:styleId="NoSpacing">
    <w:name w:val="No Spacing"/>
    <w:qFormat/>
    <w:pPr>
      <w:widowControl/>
      <w:suppressAutoHyphens w:val="true"/>
      <w:bidi w:val="0"/>
      <w:spacing w:before="0" w:after="0"/>
      <w:jc w:val="left"/>
    </w:pPr>
    <w:rPr>
      <w:rFonts w:ascii="Calibri" w:hAnsi="Calibri" w:eastAsia="" w:cs="Arial" w:eastAsiaTheme="minorEastAsia"/>
      <w:color w:val="auto"/>
      <w:kern w:val="2"/>
      <w:sz w:val="21"/>
      <w:szCs w:val="21"/>
      <w:lang w:val="en-US" w:eastAsia="lt-LT" w:bidi="hi-IN"/>
    </w:rPr>
  </w:style>
  <w:style w:type="paragraph" w:styleId="EndnoteText">
    <w:name w:val="Endnote Text"/>
    <w:basedOn w:val="Normal"/>
    <w:pPr>
      <w:suppressLineNumbers/>
      <w:ind w:hanging="340" w:left="340"/>
    </w:pPr>
    <w:rPr>
      <w:sz w:val="20"/>
    </w:rPr>
  </w:style>
  <w:style w:type="paragraph" w:styleId="FootnoteText">
    <w:name w:val="Footnote Text"/>
    <w:basedOn w:val="Normal"/>
    <w:pPr>
      <w:suppressLineNumbers/>
      <w:ind w:hanging="340" w:left="340"/>
    </w:pPr>
    <w:rPr>
      <w:sz w:val="20"/>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Relationship Id="rId10" Type="http://schemas.openxmlformats.org/officeDocument/2006/relationships/customXml" Target="../customXml/item2.xml"/><Relationship Id="rId11" Type="http://schemas.openxmlformats.org/officeDocument/2006/relationships/customXml" Target="../customXml/item3.xml"/><Relationship Id="rId12"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Application>LibreOffice/7.6.4.1$Windows_X86_64 LibreOffice_project/e19e193f88cd6c0525a17fb7a176ed8e6a3e2aa1</Application>
  <AppVersion>15.0000</AppVersion>
  <Pages>7</Pages>
  <Words>1367</Words>
  <Characters>9895</Characters>
  <CharactersWithSpaces>11100</CharactersWithSpaces>
  <Paragraphs>174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2025-04-23T05:58:00Z</dcterms:created>
  <dc:creator/>
  <dc:description/>
  <dc:language>en-US</dc:language>
  <cp:lastModifiedBy/>
  <dcterms:modified xsi:type="dcterms:W3CDTF">2025-08-08T09:36:16Z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