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567"/>
        <w:jc w:val="right"/>
        <w:rPr>
          <w:rFonts w:ascii="Times New Roman" w:hAnsi="Times New Roman" w:eastAsia="Times New Roman" w:cs="Times New Roman"/>
          <w:b/>
          <w:bCs/>
          <w:sz w:val="24"/>
          <w:szCs w:val="24"/>
        </w:rPr>
      </w:pPr>
      <w:r>
        <w:rPr>
          <w:rFonts w:eastAsia="Times New Roman" w:cs="Times New Roman" w:ascii="Times New Roman" w:hAnsi="Times New Roman"/>
          <w:sz w:val="24"/>
          <w:szCs w:val="24"/>
        </w:rPr>
        <w:t>Pirkimo sąlygų 2 priedas „Techninė specifikacija“</w:t>
      </w:r>
    </w:p>
    <w:p>
      <w:pPr>
        <w:pStyle w:val="Normal"/>
        <w:spacing w:lineRule="auto" w:line="240" w:before="0" w:after="0"/>
        <w:ind w:firstLine="567"/>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TECHNINĖ SPECIFIKACIJA </w:t>
      </w:r>
    </w:p>
    <w:p>
      <w:pPr>
        <w:pStyle w:val="Normal"/>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MOKYMŲ PROGRAMOS PARENGIMAS IR LEKTORIŲ PASLAUGOS</w:t>
      </w:r>
    </w:p>
    <w:p>
      <w:pPr>
        <w:pStyle w:val="Normal"/>
        <w:spacing w:lineRule="auto" w:line="240" w:before="0" w:after="0"/>
        <w:ind w:firstLine="567"/>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ind w:firstLine="567"/>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 PIRKIMO OBJEKTO DALIS</w:t>
      </w:r>
    </w:p>
    <w:p>
      <w:pPr>
        <w:pStyle w:val="Normal"/>
        <w:spacing w:lineRule="auto" w:line="276"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color w:themeColor="text1" w:val="000000"/>
          <w:sz w:val="24"/>
          <w:szCs w:val="24"/>
        </w:rPr>
        <w:t xml:space="preserve">PSICHIKOS SVEIKATOS RAŠTINGUMO MOKYMŲ PROGRAMŲ PARENGIMO IR LEKTORIŲ PASLAUGOS </w:t>
      </w:r>
      <w:bookmarkStart w:id="0" w:name="_Hlk202963743"/>
      <w:r>
        <w:rPr>
          <w:rFonts w:eastAsia="Times New Roman" w:cs="Times New Roman" w:ascii="Times New Roman" w:hAnsi="Times New Roman"/>
          <w:b/>
          <w:bCs/>
          <w:sz w:val="24"/>
          <w:szCs w:val="24"/>
        </w:rPr>
        <w:t>VISUOMENEI</w:t>
      </w:r>
      <w:bookmarkEnd w:id="0"/>
    </w:p>
    <w:p>
      <w:pPr>
        <w:pStyle w:val="Normal"/>
        <w:spacing w:lineRule="auto" w:line="240" w:before="0" w:after="0"/>
        <w:ind w:firstLine="567"/>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I. ĮVADINĖ INFORMACIJA </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Perkančioji organizacija – Higienos institutas, biudžetinė įstaiga (toliau – Perkančioji organizacija). Perkančiosios organizacijos kodas 111958286, adresas: Studentų g. 45A, Vilnius, LT-08107, tel. (0 5) 2624583, el. paštas </w:t>
      </w:r>
      <w:hyperlink r:id="rId2">
        <w:r>
          <w:rPr>
            <w:rStyle w:val="Hyperlink"/>
            <w:rFonts w:eastAsia="Times New Roman" w:cs="Times New Roman" w:ascii="Times New Roman" w:hAnsi="Times New Roman"/>
            <w:color w:val="auto"/>
            <w:sz w:val="24"/>
            <w:szCs w:val="24"/>
          </w:rPr>
          <w:t>institutas@hi.lt</w:t>
        </w:r>
      </w:hyperlink>
      <w:r>
        <w:rPr>
          <w:rFonts w:eastAsia="Times New Roman" w:cs="Times New Roman" w:ascii="Times New Roman" w:hAnsi="Times New Roman"/>
          <w:sz w:val="24"/>
          <w:szCs w:val="24"/>
        </w:rPr>
        <w:t xml:space="preserve"> </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Perkančioji organizacija įgyvendina projektą </w:t>
      </w:r>
      <w:r>
        <w:rPr>
          <w:rFonts w:eastAsia="Times New Roman" w:cs="Times New Roman" w:ascii="Times New Roman" w:hAnsi="Times New Roman"/>
          <w:i/>
          <w:iCs/>
          <w:sz w:val="24"/>
          <w:szCs w:val="24"/>
        </w:rPr>
        <w:t>„Psichikos sveikatos stiprinimas, stigmatizavimo mažinimas, savižudybių prevencija Vidurio, Vakarų Lietuvos ir Sostinės regione“</w:t>
      </w:r>
      <w:r>
        <w:rPr>
          <w:rFonts w:eastAsia="Times New Roman" w:cs="Times New Roman" w:ascii="Times New Roman" w:hAnsi="Times New Roman"/>
          <w:sz w:val="24"/>
          <w:szCs w:val="24"/>
        </w:rPr>
        <w:t xml:space="preserve"> </w:t>
      </w:r>
      <w:r>
        <w:rPr>
          <w:rFonts w:eastAsia="Times New Roman" w:cs="Times New Roman" w:ascii="Times New Roman" w:hAnsi="Times New Roman"/>
          <w:spacing w:val="-2"/>
          <w:sz w:val="24"/>
          <w:szCs w:val="24"/>
        </w:rPr>
        <w:t>Nr. 09-025-</w:t>
      </w:r>
      <w:r>
        <w:rPr>
          <w:rFonts w:eastAsia="Times New Roman" w:cs="Times New Roman" w:ascii="Times New Roman" w:hAnsi="Times New Roman"/>
          <w:spacing w:val="-10"/>
          <w:sz w:val="24"/>
          <w:szCs w:val="24"/>
        </w:rPr>
        <w:t>P</w:t>
      </w:r>
      <w:r>
        <w:rPr>
          <w:rFonts w:eastAsia="Times New Roman" w:cs="Times New Roman" w:ascii="Times New Roman" w:hAnsi="Times New Roman"/>
          <w:sz w:val="24"/>
          <w:szCs w:val="24"/>
        </w:rPr>
        <w:t xml:space="preserve"> (toliau – Projektas), kurio tikslas – didinti visuomenės psichikos sveikatos raštingumą, stiprinti psichikos sveikatą ir skatinti psichikos sveikatos stigmos mažinimą bei vykdyti savižudybių prevencijos priemonių įgyvendinimą Sostinės ir Vidurio, Vakarų Lietuvos regionuose. </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Teisinis projekto pagrindimas – 2024 m. gegužės 27 d. Lietuvos Respublikos sveikatos apsaugos ministro įsakymas Nr. V-591 „Dėl Lietuvos Respublikos sveikatos apsaugos ministro 2022 m. liepos 20 d. įsakymu Nr. V-1255 „Dėl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patvirtinimo pakeitimo“​.</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Projekto veiklos:</w:t>
      </w:r>
    </w:p>
    <w:p>
      <w:pPr>
        <w:pStyle w:val="ListParagraph"/>
        <w:numPr>
          <w:ilvl w:val="1"/>
          <w:numId w:val="2"/>
        </w:numPr>
        <w:spacing w:lineRule="auto" w:line="240" w:before="0" w:after="0"/>
        <w:ind w:hanging="567" w:left="1276"/>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Psichikos sveikatos stiprinimas, psichikos sveikatos raštingumo didinimas ir psichikos sveikatos stigmatizavimo mažinimas​;</w:t>
      </w:r>
    </w:p>
    <w:p>
      <w:pPr>
        <w:pStyle w:val="ListParagraph"/>
        <w:numPr>
          <w:ilvl w:val="1"/>
          <w:numId w:val="2"/>
        </w:numPr>
        <w:spacing w:lineRule="auto" w:line="240" w:before="0" w:after="0"/>
        <w:ind w:hanging="567" w:left="1276"/>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Savižudybių prevencija.</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Projekto poveiklė, kuriai vykdomas pirkimas – psichikos sveikatos raštingumo ir pirmosios emocinės pagalbos mokymų programų tikslinėms Visuomenės grupėms ir Specialistams parengimas. Psichikos sveikatos raštingumo didinimas ir pirmosios emocinės pagalbos teikimo įgūdžių stiprinimas Visuomenės grupėms ir Specialistams yra viena iš pagrindinių projekto dalių bei tikslų.</w:t>
      </w:r>
    </w:p>
    <w:p>
      <w:pPr>
        <w:pStyle w:val="ListParagraph"/>
        <w:numPr>
          <w:ilvl w:val="0"/>
          <w:numId w:val="2"/>
        </w:numPr>
        <w:tabs>
          <w:tab w:val="clear" w:pos="1296"/>
          <w:tab w:val="left" w:pos="426"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Projekto vykdymo teritorija</w:t>
      </w:r>
      <w:r>
        <w:rPr>
          <w:rFonts w:eastAsia="Times New Roman" w:cs="Times New Roman" w:ascii="Times New Roman" w:hAnsi="Times New Roman"/>
          <w:sz w:val="24"/>
          <w:szCs w:val="24"/>
        </w:rPr>
        <w:t xml:space="preserve"> – Sostinės regionas (Vilniaus apskritis) ir Vidurio bei Vakarų Lietuvos regionas (visos apskritys, išskyrus Vilniaus apskritį) (toliau – VVL regionas). </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Pirkimo objektas</w:t>
      </w:r>
      <w:r>
        <w:rPr>
          <w:rFonts w:eastAsia="Times New Roman" w:cs="Times New Roman" w:ascii="Times New Roman" w:hAnsi="Times New Roman"/>
          <w:sz w:val="24"/>
          <w:szCs w:val="24"/>
        </w:rPr>
        <w:t xml:space="preserve"> – psichikos sveikatos raštingumo mokymų programų kūrimas, Lektorių apmokymo ir konsultavimo paslaugos dėl mokymų programų turinio pritaikymo internetinei platformai.</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Mokymų programa</w:t>
      </w:r>
      <w:r>
        <w:rPr>
          <w:rFonts w:eastAsia="Times New Roman" w:cs="Times New Roman" w:ascii="Times New Roman" w:hAnsi="Times New Roman"/>
          <w:sz w:val="24"/>
          <w:szCs w:val="24"/>
        </w:rPr>
        <w:t xml:space="preserve"> – tai mokymų turinio parengimas, apimantis mokymo programos (temų, trukmės, mokymosi tikslų ir rezultatų) sukūrimą bei metodinės medžiagos rengimą. Metodinė medžiaga apima mokymams skirtų skaidrių, dalyvių užduočių ir (ar) mokomosios medžiagos parengimą, atsižvelgiant į tikslinę auditoriją – skirtingas Visuomenės grupes.</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Programų kūrėjas</w:t>
      </w:r>
      <w:r>
        <w:rPr>
          <w:rFonts w:eastAsia="Times New Roman" w:cs="Times New Roman" w:ascii="Times New Roman" w:hAnsi="Times New Roman"/>
          <w:sz w:val="24"/>
          <w:szCs w:val="24"/>
        </w:rPr>
        <w:t xml:space="preserve"> – Paslaugų teikėjas, kuris vykdant viešąjį pirkimą pripažintas kaip atitinkantis visus kvalifikacinius bei kitus reikalavimus, pateikiamus šiame dokumente bei kituose, tiesiogiai susijusiuose su pirkimo vykdymu bei paslaugos teikimu ir kartu su Programų dėstytoju paskelbtas konkurso laimėtoju (toliau – Programų kūrėjas).</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Programų dėstytojas</w:t>
      </w:r>
      <w:r>
        <w:rPr>
          <w:rFonts w:eastAsia="Times New Roman" w:cs="Times New Roman" w:ascii="Times New Roman" w:hAnsi="Times New Roman"/>
          <w:sz w:val="24"/>
          <w:szCs w:val="24"/>
        </w:rPr>
        <w:t xml:space="preserve"> – tai Paslaugų teikėjas, turintis reikiamą kvalifikaciją, žinias ir profesinę patirtį, kuris yra atsakingas už mokymo (-ų) programos turinio išdėstymą, dalyvių mokymą, praktinių užduočių vedimą ir/arba vertinimą pagal Programų kūrėjo sukurtą mokymo programą, taip pat kuris vykdant viešąjį pirkimą pripažintas kaip atitinkantis visus kvalifikacinius bei kitus reikalavimus, pateikiamus šiame dokumente bei kituose, tiesiogiai susijusiuose su pirkimo vykdymu bei paslaugos teikimu ir kartu su Programų kūrėju paskelbtas konkurso laimėtoju (toliau – Programų dėstytojas).</w:t>
      </w:r>
    </w:p>
    <w:p>
      <w:pPr>
        <w:pStyle w:val="ListParagraph"/>
        <w:numPr>
          <w:ilvl w:val="0"/>
          <w:numId w:val="2"/>
        </w:numPr>
        <w:tabs>
          <w:tab w:val="clear" w:pos="1296"/>
          <w:tab w:val="left" w:pos="270" w:leader="none"/>
        </w:tabs>
        <w:spacing w:lineRule="auto" w:line="240" w:before="24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Lektorius</w:t>
      </w:r>
      <w:r>
        <w:rPr>
          <w:rFonts w:eastAsia="Times New Roman" w:cs="Times New Roman" w:ascii="Times New Roman" w:hAnsi="Times New Roman"/>
          <w:sz w:val="24"/>
          <w:szCs w:val="24"/>
        </w:rPr>
        <w:t xml:space="preserve"> – tai Programos dėstytojo parengtas asmuo, vedantis psichikos sveikatos raštingumo ir pirmosios emocinės pagalbos mokymus tikslinėms visuomenės grupėms.</w:t>
      </w:r>
    </w:p>
    <w:p>
      <w:pPr>
        <w:pStyle w:val="ListParagraph"/>
        <w:numPr>
          <w:ilvl w:val="0"/>
          <w:numId w:val="2"/>
        </w:numPr>
        <w:tabs>
          <w:tab w:val="clear" w:pos="1296"/>
          <w:tab w:val="left" w:pos="270" w:leader="none"/>
        </w:tabs>
        <w:spacing w:lineRule="auto" w:line="240" w:before="24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Psichikos sveikatos raštingumas</w:t>
      </w:r>
      <w:r>
        <w:rPr>
          <w:rFonts w:eastAsia="Times New Roman" w:cs="Times New Roman" w:ascii="Times New Roman" w:hAnsi="Times New Roman"/>
          <w:sz w:val="24"/>
          <w:szCs w:val="24"/>
        </w:rPr>
        <w:t xml:space="preserve"> – šiame Projekte suprantamas kaip asmens amžiui adekvačios žinios ir nuostatos apie psichikos sveikatą ir jos rizikos veiksnius, psichikos sveikatos sutrikimus ir jų prevenciją, atpažinimą ir valdymą. Psichikos sveikatos raštingumo komponentai: a) gebėjimas atpažinti skirtingų psichikos ir elgesio sutrikimų požymius; b) žinios ir nuostatos apie psichikos sveikatos rizikos veiksnius ir jų priežastis; c) žinios ir nuostatos apie pagalbos sau ir kitiems būdus bei profesionalios pagalbos prieinamumą; d) palankus požiūris į psichikos sveikatą, skatinantis pripažinti psichikos sveikatos problemas ir ieškoti reikiamos pagalbos; e) žinios ir įgūdžiai, kaip ir kur ieškoti informacijos apie psichikos sveikatą.</w:t>
      </w:r>
    </w:p>
    <w:p>
      <w:pPr>
        <w:pStyle w:val="ListParagraph"/>
        <w:numPr>
          <w:ilvl w:val="0"/>
          <w:numId w:val="2"/>
        </w:numPr>
        <w:tabs>
          <w:tab w:val="clear" w:pos="1296"/>
          <w:tab w:val="left" w:pos="270" w:leader="none"/>
        </w:tabs>
        <w:spacing w:lineRule="auto" w:line="240" w:before="24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Pirmoji emocinė pagalba</w:t>
      </w:r>
      <w:r>
        <w:rPr>
          <w:rFonts w:eastAsia="Times New Roman" w:cs="Times New Roman" w:ascii="Times New Roman" w:hAnsi="Times New Roman"/>
          <w:sz w:val="24"/>
          <w:szCs w:val="24"/>
        </w:rPr>
        <w:t xml:space="preserve"> šiame Projekte suprantama kaip emocinė parama žmogui, patiriančiam stiprų stresą, susiduriančiam su stipriomis emocijomis ar emociniais sunkumais. Pagrindiniai pirmosios emocinės pagalbos tikslai – atpažinti tokios pagalbos poreikį ir suteikti emocinę paramą asmeniui, padėsiančią kiek nurimti ir esant poreikiui, kreiptis profesionalios pagalbos.</w:t>
      </w:r>
    </w:p>
    <w:p>
      <w:pPr>
        <w:pStyle w:val="ListParagraph"/>
        <w:numPr>
          <w:ilvl w:val="0"/>
          <w:numId w:val="2"/>
        </w:numPr>
        <w:tabs>
          <w:tab w:val="clear" w:pos="1296"/>
          <w:tab w:val="left" w:pos="270" w:leader="none"/>
        </w:tabs>
        <w:spacing w:lineRule="auto" w:line="240" w:before="24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Visuomenė</w:t>
      </w:r>
      <w:r>
        <w:rPr>
          <w:rFonts w:eastAsia="Times New Roman" w:cs="Times New Roman" w:ascii="Times New Roman" w:hAnsi="Times New Roman"/>
          <w:sz w:val="24"/>
          <w:szCs w:val="24"/>
        </w:rPr>
        <w:t xml:space="preserve"> šiame Projekte suprantama kaip įvairaus amžiaus ir socialinių grupių gyventojai – jaunimas, darbingo amžiaus asmenys ir vyresnio amžiaus žmonės, kurie nėra sveikatos ar psichikos sveikatos Specialistai, tačiau yra svarbi Visuomenės dalis, galinti prisidėti prie psichikos sveikatos stiprinimo, prevencijos ir pagalbos artimiesiems ar bendruomenės nariams.</w:t>
      </w:r>
    </w:p>
    <w:p>
      <w:pPr>
        <w:pStyle w:val="ListParagraph"/>
        <w:numPr>
          <w:ilvl w:val="0"/>
          <w:numId w:val="2"/>
        </w:numPr>
        <w:tabs>
          <w:tab w:val="clear" w:pos="1296"/>
          <w:tab w:val="left" w:pos="270" w:leader="none"/>
        </w:tabs>
        <w:spacing w:lineRule="auto" w:line="240" w:before="24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Specialistai – </w:t>
      </w:r>
      <w:r>
        <w:rPr>
          <w:rFonts w:eastAsia="Times New Roman" w:cs="Times New Roman" w:ascii="Times New Roman" w:hAnsi="Times New Roman"/>
          <w:sz w:val="24"/>
          <w:szCs w:val="24"/>
        </w:rPr>
        <w:t>šiame projekte suprantami kaip asmenys, dirbantys sveikatos priežiūros srityje.</w:t>
      </w:r>
    </w:p>
    <w:p>
      <w:pPr>
        <w:pStyle w:val="Normal"/>
        <w:numPr>
          <w:ilvl w:val="0"/>
          <w:numId w:val="2"/>
        </w:numPr>
        <w:tabs>
          <w:tab w:val="clear" w:pos="1296"/>
          <w:tab w:val="left" w:pos="270" w:leader="none"/>
        </w:tabs>
        <w:spacing w:lineRule="auto" w:line="240" w:before="0" w:after="0"/>
        <w:ind w:hanging="357" w:left="35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Pirkimo objektą sudaro:</w:t>
      </w:r>
    </w:p>
    <w:p>
      <w:pPr>
        <w:pStyle w:val="ListParagraph"/>
        <w:numPr>
          <w:ilvl w:val="1"/>
          <w:numId w:val="2"/>
        </w:numPr>
        <w:spacing w:before="0" w:after="0"/>
        <w:ind w:hanging="550" w:left="12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Mokymų programų parengimas – sukuriamos trys skirtingos mokymų programos, pritaikytos tikslinėms auditorijoms (įskaitant metodinės medžiagos bei skaidrių parengimą).</w:t>
      </w:r>
    </w:p>
    <w:p>
      <w:pPr>
        <w:pStyle w:val="ListParagraph"/>
        <w:numPr>
          <w:ilvl w:val="1"/>
          <w:numId w:val="2"/>
        </w:numPr>
        <w:spacing w:before="0" w:after="0"/>
        <w:ind w:hanging="550" w:left="12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Perkančiosios organizacijos paskirtų Lektorių apmokymas pagal Programų kūrėjo parengtą programą ir joje išdėstytus reikalavimus, kad Lektoriai būtų pasiruošę vesti mokymus Visuomenės grupėms.</w:t>
      </w:r>
    </w:p>
    <w:p>
      <w:pPr>
        <w:pStyle w:val="ListParagraph"/>
        <w:numPr>
          <w:ilvl w:val="1"/>
          <w:numId w:val="2"/>
        </w:numPr>
        <w:spacing w:before="0" w:after="0"/>
        <w:ind w:hanging="550" w:left="12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Konsultacijos dėl mokymų turinio pritaikymo e. platformai – konsultacijų teikimas darbuotojams, užtikrinantiems sklandų mokymų medžiagos perkėlimą į internetinę mokymosi platformą.</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Pirkimo objektas neapima spaudos maketų, spausdinimo paslaugų, mokymų programos turinio perkėlimo į internetinę platformą procesų vykdymo.</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Perkančioji organizacija įgyja visas turtines ir neturtines teises į parengtą (-as) mokymų programą (-as), įskaitant bet kokią su ja (-omis) susijusią medžiagą (skaidres, metodinius leidinius, vaizdo ar garso įrašus, užduotis ir kt.), ir tampa jų vienintele savininke. Paslaugų teikėjas neturi teisės naudoti, platinti, adaptuoti ar perduoti šių medžiagų kitiems be išankstinio rašytinio perkančiosios organizacijos sutikimo.</w:t>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b/>
          <w:bCs/>
          <w:i/>
          <w:i/>
          <w:iCs/>
          <w:sz w:val="24"/>
          <w:szCs w:val="24"/>
        </w:rPr>
      </w:pPr>
      <w:r>
        <w:rPr>
          <w:rFonts w:eastAsia="Times New Roman" w:cs="Times New Roman" w:ascii="Times New Roman" w:hAnsi="Times New Roman"/>
          <w:sz w:val="24"/>
          <w:szCs w:val="24"/>
        </w:rPr>
        <w:t xml:space="preserve">Pirkimui numatoma suma – </w:t>
      </w:r>
      <w:r>
        <w:rPr>
          <w:rFonts w:eastAsia="Times New Roman" w:cs="Times New Roman" w:ascii="Times New Roman" w:hAnsi="Times New Roman"/>
          <w:b/>
          <w:bCs/>
          <w:i/>
          <w:iCs/>
          <w:sz w:val="24"/>
          <w:szCs w:val="24"/>
        </w:rPr>
        <w:t>104502,48 Eur be PVM.</w:t>
      </w:r>
      <w:r>
        <w:rPr>
          <w:rFonts w:eastAsia="Times New Roman" w:cs="Times New Roman" w:ascii="Times New Roman" w:hAnsi="Times New Roman"/>
          <w:sz w:val="24"/>
          <w:szCs w:val="24"/>
        </w:rPr>
        <w:t xml:space="preserve"> </w:t>
      </w:r>
    </w:p>
    <w:p>
      <w:pPr>
        <w:pStyle w:val="ListParagraph"/>
        <w:tabs>
          <w:tab w:val="clear" w:pos="1296"/>
          <w:tab w:val="left" w:pos="993" w:leader="none"/>
        </w:tabs>
        <w:spacing w:lineRule="auto" w:line="240" w:before="0" w:after="0"/>
        <w:ind w:left="3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1296"/>
          <w:tab w:val="left" w:pos="993"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II. PIRKIMO OBJEKTAS IR JO APRAŠYMAS</w:t>
      </w:r>
    </w:p>
    <w:p>
      <w:pPr>
        <w:pStyle w:val="Normal"/>
        <w:tabs>
          <w:tab w:val="clear" w:pos="1296"/>
          <w:tab w:val="left" w:pos="993"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ListParagraph"/>
        <w:numPr>
          <w:ilvl w:val="0"/>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Mokymų programų tikslas – stiprinti asmenų gebėjimus laiku atpažinti psichikos sveikatos sunkumus, įgyti pakankamai žinių apie juos bei ugdyti praktinius įgūdžius, padedančius pasirūpinti savo ir kitų emocine gerove. Psichikos sveikatos raštingumo programos mažina negatyvias nuostatas į psichikos sveikatą, suteikia pirmosios emocinės pagalbos teikimo įgūdžių, mažina sunkesnės formos psichologinių sutrikimų išsivystymo tikimybę, suteikia žinių kaip bendrauti su asmenimis, kurie patiria psichikos sveikatos sunkumus bei pastiprina pasitikėjimą ir kompetencijas teikiant jiems pagalbą.</w:t>
      </w:r>
    </w:p>
    <w:p>
      <w:pPr>
        <w:pStyle w:val="Normal"/>
        <w:numPr>
          <w:ilvl w:val="0"/>
          <w:numId w:val="2"/>
        </w:numPr>
        <w:spacing w:lineRule="auto" w:line="240" w:before="0" w:after="0"/>
        <w:ind w:hanging="357" w:left="35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Mokymų programų turinys turi būti diferencijuojamas pagal tikslines auditorijas, atsižvelgiant į jų amžių, poreikius ir kontekstą, kuriame asmenys susiduria su psichikos sveikatos srityje kylančiais iššūkiais:</w:t>
      </w:r>
    </w:p>
    <w:p>
      <w:pPr>
        <w:pStyle w:val="Normal"/>
        <w:numPr>
          <w:ilvl w:val="1"/>
          <w:numId w:val="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I-oji mokymų programa</w:t>
      </w:r>
      <w:r>
        <w:rPr>
          <w:rFonts w:eastAsia="Times New Roman" w:cs="Times New Roman" w:ascii="Times New Roman" w:hAnsi="Times New Roman"/>
          <w:sz w:val="24"/>
          <w:szCs w:val="24"/>
        </w:rPr>
        <w:t xml:space="preserve"> – jaunimas (14-29 m.);</w:t>
      </w:r>
    </w:p>
    <w:p>
      <w:pPr>
        <w:pStyle w:val="Normal"/>
        <w:numPr>
          <w:ilvl w:val="1"/>
          <w:numId w:val="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II-oji mokymų programa</w:t>
      </w:r>
      <w:r>
        <w:rPr>
          <w:rFonts w:eastAsia="Times New Roman" w:cs="Times New Roman" w:ascii="Times New Roman" w:hAnsi="Times New Roman"/>
          <w:sz w:val="24"/>
          <w:szCs w:val="24"/>
        </w:rPr>
        <w:t xml:space="preserve"> – darbingo amžiaus asmenys (nuo 18 m. iki 65 m.);</w:t>
      </w:r>
    </w:p>
    <w:p>
      <w:pPr>
        <w:pStyle w:val="Normal"/>
        <w:numPr>
          <w:ilvl w:val="1"/>
          <w:numId w:val="2"/>
        </w:numP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III-oji mokymų programa</w:t>
      </w:r>
      <w:r>
        <w:rPr>
          <w:rFonts w:eastAsia="Times New Roman" w:cs="Times New Roman" w:ascii="Times New Roman" w:hAnsi="Times New Roman"/>
          <w:sz w:val="24"/>
          <w:szCs w:val="24"/>
        </w:rPr>
        <w:t xml:space="preserve"> – vyresnio amžiaus asmenys (nuo 60 m.). </w:t>
      </w:r>
    </w:p>
    <w:p>
      <w:pPr>
        <w:pStyle w:val="ListParagraph"/>
        <w:numPr>
          <w:ilvl w:val="0"/>
          <w:numId w:val="2"/>
        </w:numPr>
        <w:spacing w:before="0" w:after="0"/>
        <w:ind w:hanging="357" w:left="357"/>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Į mokymų programų sukūrimą įeina informacinės medžiagos, reikalingos vizualinės medžiagos (t. y. skaidrėms, dalyvio knygoms ir kt.) parengimui, paruošimas.</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Sukūrus kiekvienai Visuomenės grupei skirtą mokymų programą, ji turi būti išbandoma su 5-8 tos grupės asmenų pilotine grupe. Pilotinės grupės dalyvius parenka Programų kūrėjas kartu su Programų dėstytoju, atsižvelgdami į tikslinę auditoriją. Remiantis pilotinio testavimo rezultatais, esant poreikiui, mokymų programa ir metodinė medžiaga turi būti tikslinama.</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Pilotinio testavimo metu surinkti rezultatai, dalyvių komentarai ir siūlomi programos ir/arba mokymų proceso pakeitimai turi būti aptariami ir derinami su Perkančiąja organizacija, prieš atliekant galutinius pakeitimus.</w:t>
      </w:r>
    </w:p>
    <w:p>
      <w:pPr>
        <w:pStyle w:val="ListParagraph"/>
        <w:numPr>
          <w:ilvl w:val="0"/>
          <w:numId w:val="2"/>
        </w:numPr>
        <w:spacing w:before="0" w:after="0"/>
        <w:ind w:hanging="357" w:left="357"/>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Po mokymų programų sukūrimo bei metodinės medžiagos parengimo, Programų kūrėjas kartu su Programų dėstytoju įsipareigoja parengti Lektorius, kurie dėstys psichikos sveikatos raštingumo ir pirmosios emocinės pagalbos mokymų programas Visuomenės tikslinėms grupėms. Lektorių parengimas vykdomas pagal skirtingas tikslines mokymų programas, atsižvelgiant į tikslinės auditorijos poreikius ir ypatumus. Kiekvienas lektorius rengiamas mokyti visas tris mokymų programas visoms trims auditorijoms (jaunimui, darbingo amžiaus bei vyresnio amžiaus asmenims). </w:t>
      </w:r>
    </w:p>
    <w:p>
      <w:pPr>
        <w:pStyle w:val="ListParagraph"/>
        <w:numPr>
          <w:ilvl w:val="0"/>
          <w:numId w:val="2"/>
        </w:numPr>
        <w:spacing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kūrėjas kartu su Programų dėstytoju įsipareigoja parengti visuomenės sveikatos biurų specialistus, kurie dėstys psichikos sveikatos raštingumo ir pirmosios emocinės pagalbos mokymų programas skirtingoms Visuomenės tikslinėms grupėms (jaunimui, darbingo amžiaus gyventojams ir vyresnio amžiaus žmonėms). Lektorių parengimas vykdomas atskirai pagal kiekvieną mokymų programą, atsižvelgiant į konkrečios tikslinės grupės poreikius, amžiaus, gyvenimo konteksto ir informacijos pateikimo ypatumus. Kiekvienas lektorius rengiamas mokyti visas tris mokymų programas visoms trims auditorijoms (jaunimui, darbingo amžiaus bei vyresnio amžiaus asmenims).</w:t>
      </w:r>
    </w:p>
    <w:p>
      <w:pPr>
        <w:pStyle w:val="ListParagraph"/>
        <w:numPr>
          <w:ilvl w:val="0"/>
          <w:numId w:val="2"/>
        </w:numPr>
        <w:spacing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Į šį pirkimo objektą neįeina mokymų organizavimas, t. y. maitinimas, apgyvendinimas, patalpų nuoma, techninės išlaidos bei Lektorių atrankos proceso organizavimas – tuo pasirūpina Perkančioji organizacija. Viso programų kūrimo bei Lektorių parengimo dėstyti proceso metu Programų kūrėjas kartu su Programų dėstytoju įsipareigoja užtikrinti nuolatinę ir sklandžią komunikaciją su Perkančiąja organizacija.</w:t>
      </w:r>
    </w:p>
    <w:p>
      <w:pPr>
        <w:pStyle w:val="ListParagraph"/>
        <w:numPr>
          <w:ilvl w:val="0"/>
          <w:numId w:val="2"/>
        </w:numPr>
        <w:tabs>
          <w:tab w:val="clear" w:pos="1296"/>
          <w:tab w:val="left" w:pos="360"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Siekiant didinti galimybę Visuomenei susipažinti su mokymų programų turiniu ir užtikrinti jų prieinamumą, ilgalaikį tęstinumą ir plėtrą, planuojamas mokymų turinio perkėlimas į internetinę platformą, sudarant galimybes plačiau skleisti informaciją ir naudotis ja ateityje. Į šį pirkimo objektą įtraukiama iki 105 val. Programų kūrėjo (poreikiui esant – ir Programos dėstytojo) konsultacijų žodžiu ir/arba raštu dėl mokymų programų pritaikymo internetinei platformai (viena konsultacija – 1-os astronominės valandos trukmės). </w:t>
      </w:r>
    </w:p>
    <w:p>
      <w:pPr>
        <w:pStyle w:val="Normal"/>
        <w:tabs>
          <w:tab w:val="clear" w:pos="1296"/>
          <w:tab w:val="left" w:pos="426"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tabs>
          <w:tab w:val="clear" w:pos="1296"/>
          <w:tab w:val="left" w:pos="426"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III. REIKALAVIMAI MOKYMŲ PROGRAMOS TURINIUI</w:t>
      </w:r>
    </w:p>
    <w:p>
      <w:pPr>
        <w:pStyle w:val="Normal"/>
        <w:tabs>
          <w:tab w:val="clear" w:pos="1296"/>
          <w:tab w:val="left" w:pos="426"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rPr>
        <w:t xml:space="preserve">Mokymų programoje psichikos sveikata turi būti suprantama taip, kaip ji apibrėžiama </w:t>
      </w:r>
      <w:r>
        <w:rPr>
          <w:rFonts w:eastAsia="Times New Roman" w:cs="Times New Roman" w:ascii="Times New Roman" w:hAnsi="Times New Roman"/>
          <w:i/>
          <w:iCs/>
          <w:sz w:val="24"/>
          <w:szCs w:val="24"/>
        </w:rPr>
        <w:t>Lietuvos Respublikos psichikos sveikatos priežiūros įstatyme (1995 m. birželio 6 d. Nr. I-924)</w:t>
      </w:r>
      <w:r>
        <w:rPr>
          <w:rFonts w:eastAsia="Times New Roman" w:cs="Times New Roman" w:ascii="Times New Roman" w:hAnsi="Times New Roman"/>
          <w:sz w:val="24"/>
          <w:szCs w:val="24"/>
        </w:rPr>
        <w:t>. Mokymų programos turi būti rengiamos lietuvių kalba ir turi atitikti bendrinės lietuvių kalbos stilistikos, rašybos ir skyrybos taisyklių reikalavimus (vadovaujantis 2022 m. sausio 6 d. Valstybinės lietuvių kalbos komisijos nutarimu dėl lietuvių kalbos rašybos taisyklių patvirtinimo Nr. N-1 (190).</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Psichikos sveikatos raštingumo ir pirmosios emocinės pagalbos Mokymų programą sudarančios dalys turi siekti konkrečių tikslų, kad būtų užtikrintas veiksmingas mokymasis, gerinamas dalyvių gebėjimas atpažinti psichikos sveikatos sunkumus, mokoma tinkamai reaguoti ir suteikti pagalbą. </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Pagrindiniai Mokymų programų tikslai – didinti psichikos sveikatos raštingumą, prisidėti prie stigmos mažinimo, ugdyti gebėjimus atpažinti psichikos sveikatos sunkumus ir teikti pirmąją emocinę pagalbą. Programos turi būti sudarytos iš teorijos bei praktinių užsiėmimų.</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Mokymų Programų kūrėjas bei Programų dėstytojas privalo būti susipažinęs su Lietuvoje ir pasaulyje vykdoma sveikatos politika, kampanijomis bei iniciatyvomis, skirtomis psichikos sveikatos temos aktualizavimui ir Visuomenės psichikos sveikatos raštingumo didinimui. Jie turi aktyviai domėtis mokslo pažanga, būti susipažinus su naujausiais moksliniais tyrimais, statistinius duomenis bei vadovautis Pasaulio sveikatos organizacijos (toliau – PSO) rekomendacijomis psichikos sveikatos srityje. Mokymų programų turinys turi būti pagrįstas šiuolaikiniais moksliniais įrodymais ir gerosiomis praktikomis. Rengiant Mokymų programas, Programų kūrėjas turi remtis tyrimais ar kitais šaltiniais, kuriuose būtų analizuojama ar pateikiama informacija apie psichikos sveikatos sunkumų turinčių asmenų patirtį. </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Preliminari Mokymų programos dėstymo trukmė, kurią parengti Lektoriai dėstys Visuomenės  grupėms – 4–6 val. Visi Lektoriai (įskaitant ir Visuomenės sveikatos biurų specialistus) bus rengiami dėstyti visas tris mokymų programas, skirtas skirtingoms visuomenės grupėms. </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Mokymų programų temos:</w:t>
      </w:r>
    </w:p>
    <w:p>
      <w:pPr>
        <w:pStyle w:val="ListParagraph"/>
        <w:numPr>
          <w:ilvl w:val="1"/>
          <w:numId w:val="2"/>
        </w:numPr>
        <w:tabs>
          <w:tab w:val="clear" w:pos="1296"/>
          <w:tab w:val="left" w:pos="567" w:leader="none"/>
        </w:tabs>
        <w:spacing w:lineRule="auto" w:line="240" w:before="0" w:after="0"/>
        <w:contextualSpacing/>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Psichikos sveikatos raštingumo didinimo Mokymų programos, skirtos Visuomenei:</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Supratimo stiprinimas</w:t>
      </w:r>
      <w:r>
        <w:rPr>
          <w:rFonts w:eastAsia="Times New Roman" w:cs="Times New Roman" w:ascii="Times New Roman" w:hAnsi="Times New Roman"/>
          <w:sz w:val="24"/>
          <w:szCs w:val="24"/>
        </w:rPr>
        <w:t>: suteikti žinių apie psichikos sveikatą, jos svarbą bei įtaką kasdieniam gyvenimui, psichologinį atsparumą bei supratimą, kada reikia kreiptis pagalbos į Specialistus;</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i/>
          <w:i/>
          <w:iCs/>
          <w:sz w:val="24"/>
          <w:szCs w:val="24"/>
        </w:rPr>
      </w:pPr>
      <w:r>
        <w:rPr>
          <w:rFonts w:eastAsia="Times New Roman" w:cs="Times New Roman" w:ascii="Times New Roman" w:hAnsi="Times New Roman"/>
          <w:i/>
          <w:iCs/>
          <w:sz w:val="24"/>
          <w:szCs w:val="24"/>
        </w:rPr>
        <w:t xml:space="preserve">Pagarbus  kalbėjimas apie psichikos sveikatą: </w:t>
      </w:r>
      <w:r>
        <w:rPr>
          <w:rFonts w:eastAsia="Times New Roman" w:cs="Times New Roman" w:ascii="Times New Roman" w:hAnsi="Times New Roman"/>
          <w:sz w:val="24"/>
          <w:szCs w:val="24"/>
        </w:rPr>
        <w:t>terminai, frazės, požiūris, kurie prisideda prie sąmoningumo ugdymo ir mažina stigmą.</w:t>
      </w:r>
    </w:p>
    <w:p>
      <w:pPr>
        <w:pStyle w:val="ListParagraph"/>
        <w:numPr>
          <w:ilvl w:val="2"/>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Stigmos mažinimas</w:t>
      </w:r>
      <w:r>
        <w:rPr>
          <w:rFonts w:eastAsia="Times New Roman" w:cs="Times New Roman" w:ascii="Times New Roman" w:hAnsi="Times New Roman"/>
          <w:sz w:val="24"/>
          <w:szCs w:val="24"/>
        </w:rPr>
        <w:t>: mažinti su psichikos sveikatos sunkumais susijusią stigmą ir stereotipus, skatinti atvirą ir pagarbų bendravimą psichikos sveikatos temomis;</w:t>
      </w:r>
    </w:p>
    <w:p>
      <w:pPr>
        <w:pStyle w:val="ListParagraph"/>
        <w:numPr>
          <w:ilvl w:val="2"/>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Ženklų atpažinimas</w:t>
      </w:r>
      <w:r>
        <w:rPr>
          <w:rFonts w:eastAsia="Times New Roman" w:cs="Times New Roman" w:ascii="Times New Roman" w:hAnsi="Times New Roman"/>
          <w:sz w:val="24"/>
          <w:szCs w:val="24"/>
        </w:rPr>
        <w:t>: mokyti atpažinti psichikos sveikatos sunkumų požymius savyje ir kituose asmenyse;</w:t>
      </w:r>
    </w:p>
    <w:p>
      <w:pPr>
        <w:pStyle w:val="ListParagraph"/>
        <w:numPr>
          <w:ilvl w:val="2"/>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Komunikavimo gebėjimai:</w:t>
      </w:r>
      <w:r>
        <w:rPr>
          <w:rFonts w:eastAsia="Times New Roman" w:cs="Times New Roman" w:ascii="Times New Roman" w:hAnsi="Times New Roman"/>
          <w:sz w:val="24"/>
          <w:szCs w:val="24"/>
        </w:rPr>
        <w:t xml:space="preserve"> mokyti, kaip palaikyti artimuosius ar bendruomenės narius, susiduriančius su emociniais bei psichikos sveikatos sunkumais;</w:t>
      </w:r>
    </w:p>
    <w:p>
      <w:pPr>
        <w:pStyle w:val="ListParagraph"/>
        <w:numPr>
          <w:ilvl w:val="2"/>
          <w:numId w:val="2"/>
        </w:numPr>
        <w:tabs>
          <w:tab w:val="clear" w:pos="1296"/>
          <w:tab w:val="left" w:pos="1134"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Pagalbos resursai</w:t>
      </w:r>
      <w:r>
        <w:rPr>
          <w:rFonts w:eastAsia="Times New Roman" w:cs="Times New Roman" w:ascii="Times New Roman" w:hAnsi="Times New Roman"/>
          <w:sz w:val="24"/>
          <w:szCs w:val="24"/>
        </w:rPr>
        <w:t>: informuoti apie egzistuojančius psichikos sveikatos pagalbos šaltinius (pvz., psichologinės pagalbos linijas, savitarpio pagalbos grupes, psichikos sveikatos Specialistus).</w:t>
      </w:r>
    </w:p>
    <w:p>
      <w:pPr>
        <w:pStyle w:val="ListParagraph"/>
        <w:numPr>
          <w:ilvl w:val="2"/>
          <w:numId w:val="2"/>
        </w:numPr>
        <w:tabs>
          <w:tab w:val="clear" w:pos="1296"/>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Tinkamas nukreipimas</w:t>
      </w:r>
      <w:r>
        <w:rPr>
          <w:rFonts w:eastAsia="Times New Roman" w:cs="Times New Roman" w:ascii="Times New Roman" w:hAnsi="Times New Roman"/>
          <w:sz w:val="24"/>
          <w:szCs w:val="24"/>
        </w:rPr>
        <w:t>: mokyti, kaip identifikuoti, kada svarbi psichikos sveikatos Specialistų pagalba, ir kaip paskatinti žmogų ją priimti.</w:t>
      </w:r>
    </w:p>
    <w:p>
      <w:pPr>
        <w:pStyle w:val="ListParagraph"/>
        <w:numPr>
          <w:ilvl w:val="1"/>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Papildomos temos, kurios gali būti įtrauktos į programą (esant ribotam laikui, gali būti neaptariamos mokymų metu, tačiau turi patekti į metodinę medžiagą ir nuotolinių mokymų turinį):</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Praktiniai savipagalbos žingsniai:</w:t>
      </w:r>
      <w:r>
        <w:rPr>
          <w:rFonts w:eastAsia="Times New Roman" w:cs="Times New Roman" w:ascii="Times New Roman" w:hAnsi="Times New Roman"/>
          <w:sz w:val="24"/>
          <w:szCs w:val="24"/>
        </w:rPr>
        <w:t xml:space="preserve"> supažindinimas su efektyviais užsiėmimais, psichoterapijos rūšimis, praktikomis, skirtomis gerinti emocinę ir psichologinę gerovę (su aprašymais ir nuorodomis);</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 xml:space="preserve">Savirefleksijos skatinimas: </w:t>
      </w:r>
      <w:r>
        <w:rPr>
          <w:rFonts w:eastAsia="Times New Roman" w:cs="Times New Roman" w:ascii="Times New Roman" w:hAnsi="Times New Roman"/>
          <w:sz w:val="24"/>
          <w:szCs w:val="24"/>
        </w:rPr>
        <w:t>gebėjimas suprasti emocijas bei kas jas sukelia, analizuoti savo reakcijas bei akcentuoti ribų klausimą ir mokytis nustatyti ribas ir spręsti iš to kylančias situacijas;</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Socialiniai ryšiai:</w:t>
      </w:r>
      <w:r>
        <w:rPr>
          <w:rFonts w:eastAsia="Times New Roman" w:cs="Times New Roman" w:ascii="Times New Roman" w:hAnsi="Times New Roman"/>
          <w:sz w:val="24"/>
          <w:szCs w:val="24"/>
        </w:rPr>
        <w:t xml:space="preserve"> kaip pagerinti gebėjimą komunikuoti, kad socialiniai ryšiai bei įsipareigojimai nekeltų iššūkių emocinei būsenai;</w:t>
      </w:r>
    </w:p>
    <w:p>
      <w:pPr>
        <w:pStyle w:val="ListParagraph"/>
        <w:numPr>
          <w:ilvl w:val="2"/>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i/>
          <w:iCs/>
          <w:sz w:val="24"/>
          <w:szCs w:val="24"/>
        </w:rPr>
        <w:t>Emociškai sudėtingų situacijų valdymas (pvz. skyrybos, netektis, sunki liga ir pan.):</w:t>
      </w:r>
      <w:r>
        <w:rPr>
          <w:rFonts w:eastAsia="Times New Roman" w:cs="Times New Roman" w:ascii="Times New Roman" w:hAnsi="Times New Roman"/>
          <w:sz w:val="24"/>
          <w:szCs w:val="24"/>
        </w:rPr>
        <w:t xml:space="preserve"> suprasti kylančių situacijų įtaką bei poveikį psichikos ar emocinei būsenai ir kaip įmanoma sumažinti patiriamą neigiamą poveikį bei suvaldyti reakcijas.</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Jei Programų kūrėjas mato poreikį keisti, papildyti ar atsisakyti siūlomų temų ar potemių, jis privalo tai suderinti su Perkančiąja organizacija. Poreikis turi būti aiškiai pagrįstas (pvz. kitų šalių ar savo patirtimi organizuojant panašaus turinio mokymus). Kitais atvejais mokymų programų temų, apimties ar kitų reikalavimų keitimai nėra leidžiami.</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Programų kūrėjas kartu su Programų dėstytoju įsipareigoja parengti išsamią metodinę medžiagą, kuri apims visą mokymams reikalingą turinį ir suteiks Lektoriams aiškias gaires, medžiagą (metodinę ir vizualinę) tikslinių grupių mokymui. Rengiant metodinę medžiagą, pagal galimybes, atsižvelgti į Perkančiosios organizacijos atliekamo tyrimo dėl Visuomenės psichikos sveikatos raštingumo, išvadas. Šio tyrimo išvados bus pateikiamos Programų kūrėjui sutarties vykdymo metu. </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Mokymų programų turinys turi būti rengiamas vadovaujantis Lietuvos Respublikos galiojančiais teisės aktais, įskaitant Psichikos sveikatos priežiūros įstatymą (1995 m. birželio 6 d. Nr. I-924), Visuomenės sveikatos priežiūros įstatymą (2002 m. gegužės 16 d. Nr. IX-886), Europos žmogaus teisių ir pagrindinių laisvių apsaugos konvencija (1995 m. gegužės 16 d., Nr. 40-987), Švietimo įstatymą (1991 m. birželio 25 d. Nr. I-1489) bei kitus su psichikos sveikatos stiprinimu ir suaugusiųjų švietimu susijusius dokumentus. Negali būti skatinama stereotipų apie moterų ir vyrų, įvairių Visuomenės grupių (kitataučių, jaunesnio ar vyresnio amžiaus, turinčių negalią ar pan.) sklaida. Visa Mokymų programose pateikiama informacinė medžiaga turi būti pagrįsta oficialiais moksliniais tyrimais, statistika bei patikimais šaltiniais.</w:t>
      </w:r>
    </w:p>
    <w:p>
      <w:pPr>
        <w:pStyle w:val="Normal"/>
        <w:tabs>
          <w:tab w:val="clear" w:pos="1296"/>
          <w:tab w:val="left" w:pos="993"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tabs>
          <w:tab w:val="clear" w:pos="1296"/>
          <w:tab w:val="left" w:pos="993"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IV. REIKALAVIMAI  LEKTORIŲ PARENGIMUI IR APMOKYMUI</w:t>
      </w:r>
    </w:p>
    <w:p>
      <w:pPr>
        <w:pStyle w:val="Normal"/>
        <w:tabs>
          <w:tab w:val="clear" w:pos="1296"/>
          <w:tab w:val="left" w:pos="993"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Lektoriai bus rengiami ir apmokomi vesti psichikos sveikatos raštingumo bei pirmosios emocinės pagalbos mokymus, pritaikytus skirtingoms tikslinėms auditorijoms – Visuomenės grupėms. Siekiant užtikrinti aukštą mokymų kokybę ir Lektorių profesinį augimą, parengti Lektoriai reguliariai dalyvaus supervizijose. Supervizijų organizavimą užtikrina Perkančioji organizacija. Lektorių rengimo ir apmokymo procese būtina atsižvelgti į Projekto tikslines grupes, kurioms dėstys Programų dėstytojo parengti Lektoriai, aptarti ir įsivertinti jų poreikius ir darbo specifiką su skirtinga tiksline grupe.</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Perkančioji organizacija atsakinga už Lektorių paiešką, atranką ir registraciją, taip pat už mokymų organizavimą, įskaitant patalpų parinkimą, maitinimo, apgyvendinimo ir kitų būtinų priemonių bei paslaugų užtikrinimą. Perkančioji organizacija mokymų dalyvių skaičių grupėje, nurodytą šios techninės specifikacijos 40 punkte, gali koreguoti atsižvelgiant į poreikius ir  aplinkybes (suderinus su Programų dėstytoju bei Programų kūrėju), tačiau minėtuose punktuose nurodytas bendras parengtų ir apmokytų Lektorių skaičius bus išlaikomas. </w:t>
      </w:r>
    </w:p>
    <w:p>
      <w:pPr>
        <w:pStyle w:val="ListParagraph"/>
        <w:numPr>
          <w:ilvl w:val="0"/>
          <w:numId w:val="2"/>
        </w:numPr>
        <w:spacing w:before="240" w:after="24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kūrėjas kartu su Programų dėstytoju per su Perkančiąja organizacija sutartą laikotarpį įsipareigoja parengti ir apmokyti Lektorius, kurie dėstys I-III mokymų programas Visuomenės grupėms:</w:t>
      </w:r>
    </w:p>
    <w:p>
      <w:pPr>
        <w:pStyle w:val="ListParagraph"/>
        <w:numPr>
          <w:ilvl w:val="1"/>
          <w:numId w:val="2"/>
        </w:numPr>
        <w:spacing w:before="240" w:after="240"/>
        <w:ind w:hanging="54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Programų kūrėjas kartu su Programų dėstytoju įsipareigoja parengti ir apmokyti 40 Lektorių, dėstysiančių mokymų programas Visuomenės grupėms: 10 Lektorių Sostinės regione (vienuose mokymuose dalyvaujančių asmenų ne daugiau kaip 10-14 vienoje grupėje) ir 30 Lektorių VVL regione (vienuose mokymuose dalyvaujančių asmenų ne daugiau kaip 10-14 vienoje grupėje). Numatomi 4 mokymai (Sostinės ir VVL regionuose). </w:t>
      </w:r>
    </w:p>
    <w:p>
      <w:pPr>
        <w:pStyle w:val="ListParagraph"/>
        <w:numPr>
          <w:ilvl w:val="1"/>
          <w:numId w:val="2"/>
        </w:numPr>
        <w:spacing w:lineRule="auto" w:line="240" w:before="240" w:after="240"/>
        <w:ind w:hanging="54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Vieni mokymai Lektoriams turi vykti 2 (dvi) dienas po 8 (aštuonias) astronomines valandas per dieną nuo 8:00 iki 17:00, kontaktiniu būdu.</w:t>
      </w:r>
    </w:p>
    <w:p>
      <w:pPr>
        <w:pStyle w:val="ListParagraph"/>
        <w:numPr>
          <w:ilvl w:val="0"/>
          <w:numId w:val="2"/>
        </w:numPr>
        <w:spacing w:before="240" w:after="24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Lektorių parengimo ir apmokymo paslaugos Visuomenės sveikatos biurų specialistams:</w:t>
      </w:r>
    </w:p>
    <w:p>
      <w:pPr>
        <w:pStyle w:val="ListParagraph"/>
        <w:numPr>
          <w:ilvl w:val="1"/>
          <w:numId w:val="2"/>
        </w:numPr>
        <w:spacing w:before="0" w:after="0"/>
        <w:ind w:hanging="72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kūrėjas kartu su Programų dėstytoju per su Perkančiąja organizacija sutartą laikotarpį įsipareigoja parengti ir apmokyti Lektorius iš Lietuvos Respublikos Visuomenės sveikatos biurų, kurie dėstys visoms visuomenės grupėms skirtas mokymų programas.</w:t>
      </w:r>
    </w:p>
    <w:p>
      <w:pPr>
        <w:pStyle w:val="ListParagraph"/>
        <w:numPr>
          <w:ilvl w:val="1"/>
          <w:numId w:val="2"/>
        </w:numPr>
        <w:spacing w:before="0" w:after="0"/>
        <w:ind w:hanging="72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Programų kūrėjas įsipareigoja parengti ir apmokyti 140 Lektorių iš VSB: 14 Lektorių Sostinės regione ir 126 Lektorius VVL regione (vienuose mokymuose dalyvaujančių asmenų ne daugiau kaip 10-14 vienoje grupėje). Numatoma 10 mokymų (Sostinės ir VVL regionuose). </w:t>
      </w:r>
    </w:p>
    <w:p>
      <w:pPr>
        <w:pStyle w:val="ListParagraph"/>
        <w:numPr>
          <w:ilvl w:val="1"/>
          <w:numId w:val="2"/>
        </w:numPr>
        <w:spacing w:before="0" w:after="0"/>
        <w:ind w:hanging="720" w:left="117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Vieni mokymai Lektoriams turi vykti 2 (dvi) dienas po 8 (aštuonias) astronomines valandas per dieną nuo 8:00 iki 17:00, kontaktiniu būdu. </w:t>
      </w:r>
    </w:p>
    <w:p>
      <w:pPr>
        <w:pStyle w:val="ListParagraph"/>
        <w:numPr>
          <w:ilvl w:val="0"/>
          <w:numId w:val="2"/>
        </w:numPr>
        <w:tabs>
          <w:tab w:val="clear" w:pos="1296"/>
          <w:tab w:val="left" w:pos="567"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Sostinės regione mokymai gali vykti Vilniaus apskrityje, o VVL regione – Alytaus, Kauno, Klaipėdos, Marijampolės, Panevėžio, Šiaulių, Tauragės, Telšių ar Utenos apskrityse. Tikslios mokymų vietos derinamos su Perkančiąja organizacija ir gali priklausyti nuo įvairių veiksnių, pavyzdžiui, dalyvių gyvenamosios vietos ir jų pasiskirstymo.</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Planuojama, jog Lektoriais taps asmenys, kurie yra: psichologai (-ės), psichiatrai (-ės), socialiniai darbuotojai (-os), psichikos sveikatos slaugytojos (-ai), Visuomenės sveikatos specialistės (-ai) bei kiti.</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kūrėjas kartu su Programų dėstytoju įsipareigoja pateikti mokymuose dalyvavusių Lektorių sąrašus bei Lektorių, dalyvavusių mokymuose, grįžtamojo ryšio anketų rezultatus. Lektorių sąrašų, grįžtamojo ryšio anketų formos bei rinkimo būdas suderinami su Perkančiąja organizacija prieš pradedant vykdyti mokymus, likus ne mažiau nei 10 d. d.</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kūrėjas bei dėstytojas turi būti susipažinę su Tarpinstitucinės darbo grupės, sudarytos Lietuvos Respublikos finansų ministro 2021m. birželio 11 d. įsakymu Nr. 1K-219 „Dėl tarpinstitucinės darbo grupės sudarymo“ patvirtintu projekto dalyvių informacijos administravimo instrukcija. </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Programų dėstytojas Perkančiajai organizacijai privalo pateikti projekto dalyvių administravimui skirtus dokumentus: Dalyvio apklausos anketą, Mokymo (-ų) dalyvių sąrašus, Pranešimus apie asmens duomenų tvarkymą ir/arba kitus reikalingus dokumentus. </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dėstytojas privalo užtikrinti galimybę Perkančiosios organizacijos atstovams dalyvauti mokymuose gyvai arba nuotoliniu būdu, taip pat pateikti filmuotą medžiagą arba nuotraukas iš gyvai vykusių mokymų.</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dėstytojas privalo užtikrinti mokymuose dalyvaujančių asmenų asmens duomenų apsaugą, laikydamasis galiojančių teisės aktų reikalavimų dėl asmens duomenų tvarkymo ir konfidencialumo.</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Paslaugų teikėjai dalyviams privalo pateikti pildymui su Perkančiąja organizacija suderintus Projekto dalyvių administravimo dokumentus ( Dalyvio apklausos anketa, mokymų dalyvių sąrašai ir kiti raštu suderinti dokumentai).  Paslaugos teikėjas privalo pateikti Perkančiajai organizacijai Projekto dalyvių administravimui skirtus dokumentus ne vėliau kaip 5 d.d. nuo aktualaus įvykio.  </w:t>
      </w:r>
    </w:p>
    <w:p>
      <w:pPr>
        <w:pStyle w:val="ListParagraph"/>
        <w:numPr>
          <w:ilvl w:val="0"/>
          <w:numId w:val="2"/>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Tiekėjas privalo užtikrinti, kad visi mokymų dalyviai yra realūs asmenys, faktiškai dalyvavę mokymuose. Draudžiama naudoti fiktyvius dalyvių duomenis, dublikatus ar asmenis, faktiškai nedalyvavusius mokymuose. Perkančioji organizacija turi teisę tikrinti dalyvių realumą ir, esant poreikiui, paprašyti dalyvių patvirtinti dalyvavimą (telefonu, el. paštu ar apklausa).</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dėstytojas privalo užtikrinti, kad mokymai būtų prieinami ir tinkami asmenims su judėjimo bei kitomis negaliomis, vadovaujantis įtraukiojo ugdymo principais ir horizontaliuoju nediskriminavimo reikalavimu.</w:t>
      </w:r>
    </w:p>
    <w:p>
      <w:pPr>
        <w:pStyle w:val="ListParagraph"/>
        <w:spacing w:lineRule="auto" w:line="240" w:before="0" w:after="0"/>
        <w:ind w:left="3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spacing w:lineRule="auto" w:line="240" w:before="0" w:after="0"/>
        <w:ind w:left="48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Heading1"/>
        <w:keepNext w:val="false"/>
        <w:keepLines w:val="false"/>
        <w:spacing w:lineRule="auto" w:line="240" w:before="0" w:after="0"/>
        <w:ind w:hanging="360" w:left="360"/>
        <w:jc w:val="center"/>
        <w:rPr>
          <w:rFonts w:ascii="Times New Roman" w:hAnsi="Times New Roman" w:eastAsia="Times New Roman" w:cs="Times New Roman"/>
          <w:b/>
          <w:bCs/>
          <w:color w:val="auto"/>
          <w:sz w:val="24"/>
          <w:szCs w:val="24"/>
        </w:rPr>
      </w:pPr>
      <w:r>
        <w:rPr>
          <w:rFonts w:eastAsia="Times New Roman" w:cs="Times New Roman" w:ascii="Times New Roman" w:hAnsi="Times New Roman"/>
          <w:b/>
          <w:bCs/>
          <w:color w:val="auto"/>
          <w:sz w:val="24"/>
          <w:szCs w:val="24"/>
        </w:rPr>
        <w:t>V. VYKDYMO TVARKA IR TERMINAI</w:t>
      </w:r>
    </w:p>
    <w:p>
      <w:pPr>
        <w:pStyle w:val="Normal"/>
        <w:spacing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Paslaugos suteikiamos etapais plane nurodytais terminais ir turi būti suteiktos ne vėliau kaip per žemiau nurodytus terminus (skaičiuojant nuo sutarties įsigaliojimo dienos).</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Paslaugų teikimo aprašymas bei laikotarpiai, kada vėliausiai jos privalo būti suteiktos:</w:t>
      </w:r>
    </w:p>
    <w:tbl>
      <w:tblPr>
        <w:tblStyle w:val="Lentelstinklelis"/>
        <w:tblW w:w="8850" w:type="dxa"/>
        <w:jc w:val="left"/>
        <w:tblInd w:w="792" w:type="dxa"/>
        <w:tblLayout w:type="fixed"/>
        <w:tblCellMar>
          <w:top w:w="0" w:type="dxa"/>
          <w:left w:w="108" w:type="dxa"/>
          <w:bottom w:w="0" w:type="dxa"/>
          <w:right w:w="108" w:type="dxa"/>
        </w:tblCellMar>
        <w:tblLook w:firstRow="1" w:noVBand="1" w:lastRow="0" w:firstColumn="1" w:lastColumn="0" w:noHBand="1" w:val="06a0"/>
      </w:tblPr>
      <w:tblGrid>
        <w:gridCol w:w="2950"/>
        <w:gridCol w:w="2950"/>
        <w:gridCol w:w="2950"/>
      </w:tblGrid>
      <w:tr>
        <w:trPr>
          <w:trHeight w:val="300" w:hRule="atLeast"/>
        </w:trPr>
        <w:tc>
          <w:tcPr>
            <w:tcW w:w="2950" w:type="dxa"/>
            <w:tcBorders>
              <w:top w:val="single" w:sz="6" w:space="0" w:color="000000"/>
              <w:left w:val="single" w:sz="6" w:space="0" w:color="000000"/>
              <w:bottom w:val="single" w:sz="6" w:space="0" w:color="000000"/>
              <w:right w:val="single" w:sz="6" w:space="0" w:color="000000"/>
            </w:tcBorders>
            <w:shd w:color="auto" w:fill="EDEDED" w:themeFill="accent3" w:themeFillTint="33" w:val="clear"/>
            <w:vAlign w:val="center"/>
          </w:tcPr>
          <w:p>
            <w:pPr>
              <w:pStyle w:val="ListParagraph"/>
              <w:widowControl/>
              <w:suppressAutoHyphens w:val="true"/>
              <w:spacing w:lineRule="auto" w:line="240" w:before="0" w:after="0"/>
              <w:ind w:left="90"/>
              <w:contextualSpacing/>
              <w:jc w:val="center"/>
              <w:rPr>
                <w:rFonts w:ascii="Times New Roman" w:hAnsi="Times New Roman" w:eastAsia="Times New Roman" w:cs="Times New Roman"/>
                <w:i/>
                <w:i/>
                <w:iCs/>
                <w:sz w:val="24"/>
                <w:szCs w:val="24"/>
              </w:rPr>
            </w:pPr>
            <w:r>
              <w:rPr>
                <w:rFonts w:eastAsia="Times New Roman" w:cs="Times New Roman" w:ascii="Times New Roman" w:hAnsi="Times New Roman"/>
                <w:i/>
                <w:iCs/>
                <w:kern w:val="0"/>
                <w:sz w:val="24"/>
                <w:szCs w:val="24"/>
                <w:lang w:val="lt-LT" w:eastAsia="en-US" w:bidi="ar-SA"/>
              </w:rPr>
              <w:t>Užduotis</w:t>
            </w:r>
          </w:p>
        </w:tc>
        <w:tc>
          <w:tcPr>
            <w:tcW w:w="2950" w:type="dxa"/>
            <w:tcBorders>
              <w:top w:val="single" w:sz="6" w:space="0" w:color="000000"/>
              <w:left w:val="single" w:sz="6" w:space="0" w:color="000000"/>
              <w:bottom w:val="single" w:sz="6" w:space="0" w:color="000000"/>
              <w:right w:val="single" w:sz="6" w:space="0" w:color="000000"/>
            </w:tcBorders>
            <w:shd w:color="auto" w:fill="EDEDED" w:themeFill="accent3" w:themeFillTint="33" w:val="clear"/>
          </w:tcPr>
          <w:p>
            <w:pPr>
              <w:pStyle w:val="ListParagraph"/>
              <w:widowControl/>
              <w:suppressAutoHyphens w:val="true"/>
              <w:spacing w:lineRule="auto" w:line="240" w:before="0" w:after="0"/>
              <w:ind w:left="0"/>
              <w:contextualSpacing/>
              <w:jc w:val="center"/>
              <w:rPr>
                <w:rFonts w:ascii="Times New Roman" w:hAnsi="Times New Roman" w:eastAsia="Times New Roman" w:cs="Times New Roman"/>
                <w:i/>
                <w:i/>
                <w:iCs/>
                <w:sz w:val="24"/>
                <w:szCs w:val="24"/>
              </w:rPr>
            </w:pPr>
            <w:r>
              <w:rPr>
                <w:rFonts w:eastAsia="Times New Roman" w:cs="Times New Roman" w:ascii="Times New Roman" w:hAnsi="Times New Roman"/>
                <w:i/>
                <w:iCs/>
                <w:kern w:val="0"/>
                <w:sz w:val="24"/>
                <w:szCs w:val="24"/>
                <w:lang w:val="lt-LT" w:eastAsia="en-US" w:bidi="ar-SA"/>
              </w:rPr>
              <w:t>Užduoties etapai</w:t>
            </w:r>
          </w:p>
        </w:tc>
        <w:tc>
          <w:tcPr>
            <w:tcW w:w="2950" w:type="dxa"/>
            <w:tcBorders>
              <w:top w:val="single" w:sz="6" w:space="0" w:color="000000"/>
              <w:left w:val="single" w:sz="6" w:space="0" w:color="000000"/>
              <w:bottom w:val="single" w:sz="6" w:space="0" w:color="000000"/>
              <w:right w:val="single" w:sz="6" w:space="0" w:color="000000"/>
            </w:tcBorders>
            <w:shd w:color="auto" w:fill="EDEDED" w:themeFill="accent3" w:themeFillTint="33" w:val="clear"/>
            <w:vAlign w:val="center"/>
          </w:tcPr>
          <w:p>
            <w:pPr>
              <w:pStyle w:val="ListParagraph"/>
              <w:widowControl/>
              <w:suppressAutoHyphens w:val="true"/>
              <w:spacing w:lineRule="auto" w:line="240" w:before="0" w:after="0"/>
              <w:ind w:left="-90"/>
              <w:contextualSpacing/>
              <w:jc w:val="center"/>
              <w:rPr>
                <w:rFonts w:ascii="Times New Roman" w:hAnsi="Times New Roman" w:eastAsia="Times New Roman" w:cs="Times New Roman"/>
                <w:i/>
                <w:i/>
                <w:iCs/>
                <w:sz w:val="24"/>
                <w:szCs w:val="24"/>
              </w:rPr>
            </w:pPr>
            <w:r>
              <w:rPr>
                <w:rFonts w:eastAsia="Times New Roman" w:cs="Times New Roman" w:ascii="Times New Roman" w:hAnsi="Times New Roman"/>
                <w:i/>
                <w:iCs/>
                <w:kern w:val="0"/>
                <w:sz w:val="24"/>
                <w:szCs w:val="24"/>
                <w:lang w:val="lt-LT" w:eastAsia="en-US" w:bidi="ar-SA"/>
              </w:rPr>
              <w:t>Paslaugų suteikimo data</w:t>
            </w:r>
          </w:p>
        </w:tc>
      </w:tr>
      <w:tr>
        <w:trPr>
          <w:trHeight w:val="300" w:hRule="atLeast"/>
        </w:trPr>
        <w:tc>
          <w:tcPr>
            <w:tcW w:w="2950" w:type="dxa"/>
            <w:vMerge w:val="restart"/>
            <w:tcBorders>
              <w:top w:val="single" w:sz="6" w:space="0" w:color="000000"/>
              <w:left w:val="single" w:sz="6" w:space="0" w:color="000000"/>
              <w:right w:val="single" w:sz="6" w:space="0" w:color="000000"/>
            </w:tcBorders>
          </w:tcPr>
          <w:p>
            <w:pPr>
              <w:pStyle w:val="ListParagraph"/>
              <w:widowControl/>
              <w:numPr>
                <w:ilvl w:val="0"/>
                <w:numId w:val="1"/>
              </w:numPr>
              <w:suppressAutoHyphens w:val="true"/>
              <w:spacing w:lineRule="auto" w:line="240" w:before="0" w:after="0"/>
              <w:ind w:hanging="270" w:left="360"/>
              <w:contextualSpacing/>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Psichikos sveikatos raštingumo ir pirmosios emocinės pagalbos mokymų programos tikslinėms Visuomenės grupėms</w:t>
            </w:r>
          </w:p>
          <w:p>
            <w:pPr>
              <w:pStyle w:val="Normal"/>
              <w:widowControl/>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spacing w:lineRule="auto" w:line="240" w:before="0" w:after="0"/>
              <w:jc w:val="righ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1.1. Visų trijų mokymų programų struktūrų pateikimas (temos ir potemės)</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suppressAutoHyphens w:val="true"/>
              <w:spacing w:lineRule="auto" w:line="240" w:before="0" w:after="0"/>
              <w:ind w:left="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Per vieną mėnesį nuo sutarties įsigaliojimo dienos</w:t>
            </w:r>
          </w:p>
        </w:tc>
      </w:tr>
      <w:tr>
        <w:trPr>
          <w:trHeight w:val="300" w:hRule="atLeast"/>
        </w:trPr>
        <w:tc>
          <w:tcPr>
            <w:tcW w:w="2950" w:type="dxa"/>
            <w:vMerge w:val="continue"/>
            <w:tcBorders/>
          </w:tcPr>
          <w:p>
            <w:pPr>
              <w:pStyle w:val="ListParagraph"/>
              <w:widowControl/>
              <w:suppressAutoHyphens w:val="true"/>
              <w:spacing w:lineRule="auto" w:line="240" w:before="0" w:after="0"/>
              <w:ind w:left="360"/>
              <w:contextualSpacing/>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1.2. Preliminariai paruoštos mokymų programos medžiagos pateikimas Perkančiajai organizacijai ir suderinimas su ja</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3 mėn. nuo sutarties įsigaliojimo dienos.</w:t>
            </w:r>
          </w:p>
        </w:tc>
      </w:tr>
      <w:tr>
        <w:trPr>
          <w:trHeight w:val="300" w:hRule="atLeast"/>
        </w:trPr>
        <w:tc>
          <w:tcPr>
            <w:tcW w:w="2950" w:type="dxa"/>
            <w:vMerge w:val="continue"/>
            <w:tcBorders/>
          </w:tcPr>
          <w:p>
            <w:pPr>
              <w:pStyle w:val="Normal"/>
              <w:widowControl/>
              <w:suppressAutoHyphens w:val="true"/>
              <w:spacing w:lineRule="auto" w:line="240" w:before="0" w:after="0"/>
              <w:jc w:val="left"/>
              <w:rPr>
                <w:rFonts w:ascii="Calibri" w:hAnsi="Calibri" w:eastAsia="Calibri" w:cs="Arial"/>
              </w:rPr>
            </w:pPr>
            <w:r>
              <w:rPr>
                <w:rFonts w:eastAsia="Calibri" w:cs="Arial"/>
              </w:rPr>
            </w:r>
          </w:p>
        </w:tc>
        <w:tc>
          <w:tcPr>
            <w:tcW w:w="295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1.3. Mokymų programų testavimas su pilotinėmis grupėmis (mokymų programų turinio korekcija pagal poreikį)</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5 mėn. nuo sutarties įsigaliojimo dienos.</w:t>
            </w:r>
          </w:p>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300" w:hRule="atLeast"/>
        </w:trPr>
        <w:tc>
          <w:tcPr>
            <w:tcW w:w="2950" w:type="dxa"/>
            <w:vMerge w:val="continue"/>
            <w:tcBorders/>
          </w:tcPr>
          <w:p>
            <w:pPr>
              <w:pStyle w:val="Normal"/>
              <w:widowControl/>
              <w:suppressAutoHyphens w:val="true"/>
              <w:spacing w:lineRule="auto" w:line="240" w:before="0" w:after="0"/>
              <w:jc w:val="left"/>
              <w:rPr>
                <w:rFonts w:ascii="Calibri" w:hAnsi="Calibri" w:eastAsia="Calibri" w:cs="Arial"/>
              </w:rPr>
            </w:pPr>
            <w:r>
              <w:rPr>
                <w:rFonts w:eastAsia="Calibri" w:cs="Arial"/>
              </w:rPr>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1.4. Informacinės medžiagos, reikalingos vizualinės medžiagos (dalyvio knygoms ir kt.)parengimui bei skaidrių, skirtų dėstyti,  paruošimas</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6 mėn. nuo sutarties įsigaliojimo dienos.</w:t>
            </w:r>
          </w:p>
        </w:tc>
      </w:tr>
      <w:tr>
        <w:trPr>
          <w:trHeight w:val="300" w:hRule="atLeast"/>
        </w:trPr>
        <w:tc>
          <w:tcPr>
            <w:tcW w:w="2950" w:type="dxa"/>
            <w:vMerge w:val="continue"/>
            <w:tcBorders/>
          </w:tcPr>
          <w:p>
            <w:pPr>
              <w:pStyle w:val="Normal"/>
              <w:widowControl/>
              <w:suppressAutoHyphens w:val="true"/>
              <w:spacing w:lineRule="auto" w:line="240" w:before="0" w:after="0"/>
              <w:jc w:val="left"/>
              <w:rPr>
                <w:rFonts w:ascii="Calibri" w:hAnsi="Calibri" w:eastAsia="Calibri" w:cs="Arial"/>
              </w:rPr>
            </w:pPr>
            <w:r>
              <w:rPr>
                <w:rFonts w:eastAsia="Calibri" w:cs="Arial"/>
              </w:rPr>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1.5. Galutinės mokymų programos metodinės medžiagos (įskaitant vizualinę medžiagą) pateikimas Perkančiajai organizacijai</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ind w:left="-9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6 mėn. nuo sutarties įsigaliojimo dienos.</w:t>
            </w:r>
          </w:p>
        </w:tc>
      </w:tr>
      <w:tr>
        <w:trPr>
          <w:trHeight w:val="300" w:hRule="atLeast"/>
        </w:trPr>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numPr>
                <w:ilvl w:val="0"/>
                <w:numId w:val="1"/>
              </w:numPr>
              <w:tabs>
                <w:tab w:val="clear" w:pos="1296"/>
                <w:tab w:val="left" w:pos="364" w:leader="none"/>
              </w:tabs>
              <w:suppressAutoHyphens w:val="true"/>
              <w:spacing w:lineRule="auto" w:line="240" w:before="0" w:after="0"/>
              <w:ind w:hanging="0" w:left="81"/>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Lektorių parengimas ir apmokymas dėstyti psichikos sveikatos raštingumo ir pirmosios emocinės pagalbos mokymus Visuomenės tikslinėms grupėms</w:t>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2.1. Lektorių parengimas ir apmokymas dėstyti mokymus Visuomenės tikslinėms grupėms Sostinės regione</w:t>
            </w:r>
          </w:p>
          <w:p>
            <w:pPr>
              <w:pStyle w:val="ListParagraph"/>
              <w:widowControl/>
              <w:suppressAutoHyphens w:val="true"/>
              <w:spacing w:lineRule="auto" w:line="240" w:before="0" w:after="0"/>
              <w:ind w:left="9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2.2. Lektorių parengimas ir apmokymas dėstyti mokymus Visuomenės tikslinėms grupės Vidurio ir Vakarų Lietuvoje</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8 mėn. nuo sutarties įsigaliojimo dienos.</w:t>
            </w:r>
          </w:p>
        </w:tc>
      </w:tr>
      <w:tr>
        <w:trPr>
          <w:trHeight w:val="300" w:hRule="atLeast"/>
        </w:trPr>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numPr>
                <w:ilvl w:val="0"/>
                <w:numId w:val="1"/>
              </w:numPr>
              <w:tabs>
                <w:tab w:val="clear" w:pos="1296"/>
                <w:tab w:val="left" w:pos="364" w:leader="none"/>
              </w:tabs>
              <w:suppressAutoHyphens w:val="true"/>
              <w:spacing w:lineRule="auto" w:line="240" w:before="0" w:after="0"/>
              <w:ind w:hanging="0" w:left="81"/>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Visuomenės sveikatos specialistų parengimas ir apmokymas dėstyti psichikos sveikatos raštingumo ir pirmosios emocinės pagalbos mokymus</w:t>
            </w:r>
          </w:p>
        </w:tc>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suppressAutoHyphens w:val="true"/>
              <w:spacing w:lineRule="auto" w:line="240" w:before="0" w:after="0"/>
              <w:ind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3.1. Visuomenės sveikatos specialistų parengimas ir apmokymas dėstyti Sostinės regione</w:t>
            </w:r>
          </w:p>
          <w:p>
            <w:pPr>
              <w:pStyle w:val="ListParagraph"/>
              <w:widowControl/>
              <w:suppressAutoHyphens w:val="true"/>
              <w:spacing w:lineRule="auto" w:line="240" w:before="0" w:after="0"/>
              <w:ind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3.2. Visuomenės sveikatos specialistų parengimas ir apmokymas dėstyti Vidurio ir Vakarų Lietuvoje</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suppressAutoHyphens w:val="true"/>
              <w:spacing w:lineRule="auto" w:line="240" w:before="0" w:after="0"/>
              <w:ind w:left="-9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35 mėn. nuo sutarties įsigaliojimo dienos.</w:t>
            </w:r>
          </w:p>
        </w:tc>
      </w:tr>
      <w:tr>
        <w:trPr>
          <w:trHeight w:val="300" w:hRule="atLeast"/>
        </w:trPr>
        <w:tc>
          <w:tcPr>
            <w:tcW w:w="2950" w:type="dxa"/>
            <w:tcBorders>
              <w:top w:val="single" w:sz="6" w:space="0" w:color="000000"/>
              <w:left w:val="single" w:sz="6" w:space="0" w:color="000000"/>
              <w:bottom w:val="single" w:sz="6" w:space="0" w:color="000000"/>
              <w:right w:val="single" w:sz="6" w:space="0" w:color="000000"/>
            </w:tcBorders>
          </w:tcPr>
          <w:p>
            <w:pPr>
              <w:pStyle w:val="ListParagraph"/>
              <w:widowControl/>
              <w:numPr>
                <w:ilvl w:val="0"/>
                <w:numId w:val="1"/>
              </w:numPr>
              <w:tabs>
                <w:tab w:val="clear" w:pos="1296"/>
                <w:tab w:val="left" w:pos="364" w:leader="none"/>
              </w:tabs>
              <w:suppressAutoHyphens w:val="true"/>
              <w:spacing w:lineRule="auto" w:line="240" w:before="0" w:after="0"/>
              <w:ind w:hanging="0" w:left="81"/>
              <w:contextualSpacing/>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Konsultacijos dėl psichikos sveikatos raštingumo ir pirmosios emocinės pagalbos mokymų programos adaptavimo ir pritaikymo internetinei platformai</w:t>
            </w:r>
          </w:p>
        </w:tc>
        <w:tc>
          <w:tcPr>
            <w:tcW w:w="2950" w:type="dxa"/>
            <w:tcBorders>
              <w:top w:val="single" w:sz="6" w:space="0" w:color="000000"/>
              <w:left w:val="single" w:sz="6" w:space="0" w:color="000000"/>
              <w:bottom w:val="single" w:sz="6" w:space="0" w:color="000000"/>
              <w:right w:val="single" w:sz="6" w:space="0" w:color="000000"/>
            </w:tcBorders>
          </w:tcPr>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suppressAutoHyphens w:val="tru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Pagal poreikį</w:t>
            </w:r>
          </w:p>
        </w:tc>
        <w:tc>
          <w:tcPr>
            <w:tcW w:w="2950" w:type="dxa"/>
            <w:tcBorders>
              <w:top w:val="single" w:sz="6" w:space="0" w:color="000000"/>
              <w:left w:val="single" w:sz="6" w:space="0" w:color="000000"/>
              <w:bottom w:val="single" w:sz="6" w:space="0" w:color="000000"/>
              <w:right w:val="single" w:sz="6" w:space="0" w:color="000000"/>
            </w:tcBorders>
            <w:vAlign w:val="center"/>
          </w:tcPr>
          <w:p>
            <w:pPr>
              <w:pStyle w:val="ListParagraph"/>
              <w:widowControl/>
              <w:suppressAutoHyphens w:val="true"/>
              <w:spacing w:lineRule="auto" w:line="240" w:before="0" w:after="0"/>
              <w:ind w:left="0"/>
              <w:contextualSpacing/>
              <w:jc w:val="center"/>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lt-LT" w:eastAsia="en-US" w:bidi="ar-SA"/>
              </w:rPr>
              <w:t>Ne vėliau kaip 35 mėn. po sutarties įsigaliojimo dienos</w:t>
            </w:r>
          </w:p>
        </w:tc>
      </w:tr>
    </w:tbl>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Programų kūrėjas kartu su Programų dėstytoju yra atsakingas už visą mokymų medžiagos rengimo proceso valdymą ir darbų organizavimą bei savalaikį atlikimą.</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Po paslaugų suteikimo, Programų kūrėjas kartu su Programų dėstytoju išrašo Perkančiajai organizacijai Priėmimo perdavimo aktą, kuriame nurodomas suteiktų paslaugų rezultatas ir šis dokumentas laikomas pagrindu sąskaitos faktūros išrašymui. Apmokėjimo tvarka ir terminai pateikiami Sutartyje.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ind w:left="36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VI SKYRIUS</w:t>
      </w:r>
    </w:p>
    <w:p>
      <w:pPr>
        <w:pStyle w:val="ListParagraph"/>
        <w:ind w:left="360"/>
        <w:jc w:val="center"/>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r>
    </w:p>
    <w:p>
      <w:pPr>
        <w:pStyle w:val="ListParagraph"/>
        <w:ind w:left="360"/>
        <w:jc w:val="center"/>
        <w:rPr>
          <w:rFonts w:ascii="Times New Roman" w:hAnsi="Times New Roman" w:eastAsia="Times New Roman" w:cs="Times New Roman"/>
          <w:sz w:val="24"/>
          <w:szCs w:val="24"/>
          <w:lang w:val="en-US"/>
        </w:rPr>
      </w:pPr>
      <w:r>
        <w:rPr>
          <w:rFonts w:eastAsia="Times New Roman" w:cs="Times New Roman" w:ascii="Times New Roman" w:hAnsi="Times New Roman"/>
          <w:b/>
          <w:bCs/>
          <w:sz w:val="24"/>
          <w:szCs w:val="24"/>
        </w:rPr>
        <w:t>ASMENS DUOMENŲ TVARKYMAS</w:t>
      </w:r>
    </w:p>
    <w:p>
      <w:pPr>
        <w:pStyle w:val="ListParagraph"/>
        <w:ind w:left="360"/>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lang w:val="en-US"/>
        </w:rPr>
        <w:t> </w:t>
      </w:r>
    </w:p>
    <w:p>
      <w:pPr>
        <w:pStyle w:val="ListParagraph"/>
        <w:numPr>
          <w:ilvl w:val="0"/>
          <w:numId w:val="2"/>
        </w:numPr>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r>
        <w:rPr>
          <w:rFonts w:eastAsia="Times New Roman" w:cs="Times New Roman" w:ascii="Times New Roman" w:hAnsi="Times New Roman"/>
          <w:sz w:val="24"/>
          <w:szCs w:val="24"/>
          <w:lang w:val="en-US"/>
        </w:rPr>
        <w:t>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Kilus ginčams dėl viešųjų pirkimų organizavimo ar Sutarties vykdymo, Perkančioji organizacija gali tvarkyti 56-59 punktuose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 </w:t>
      </w:r>
    </w:p>
    <w:p>
      <w:pPr>
        <w:pStyle w:val="ListParagraph"/>
        <w:numPr>
          <w:ilvl w:val="0"/>
          <w:numId w:val="2"/>
        </w:numPr>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rPr>
        <w:t>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Perkančiosios organizacijos dokumentacijos plane numatytais terminais.  </w:t>
      </w:r>
      <w:r>
        <w:rPr>
          <w:rFonts w:eastAsia="Times New Roman" w:cs="Times New Roman" w:ascii="Times New Roman" w:hAnsi="Times New Roman"/>
          <w:sz w:val="24"/>
          <w:szCs w:val="24"/>
          <w:lang w:val="en-US"/>
        </w:rPr>
        <w:t> </w:t>
      </w:r>
    </w:p>
    <w:p>
      <w:pPr>
        <w:pStyle w:val="ListParagraph"/>
        <w:numPr>
          <w:ilvl w:val="0"/>
          <w:numId w:val="2"/>
        </w:numPr>
        <w:jc w:val="both"/>
        <w:rPr>
          <w:rFonts w:ascii="Times New Roman" w:hAnsi="Times New Roman" w:eastAsia="Times New Roman" w:cs="Times New Roman"/>
          <w:sz w:val="24"/>
          <w:szCs w:val="24"/>
          <w:lang w:val="en-US"/>
        </w:rPr>
      </w:pPr>
      <w:r>
        <w:rPr>
          <w:rFonts w:eastAsia="Times New Roman" w:cs="Times New Roman" w:ascii="Times New Roman" w:hAnsi="Times New Roman"/>
          <w:sz w:val="24"/>
          <w:szCs w:val="24"/>
        </w:rPr>
        <w:t>Asmens duomenų pateikimas yra privalomas. Nepateikus asmens duomenų Paslaugų teikėjo pasiūlymas negalės būti vertinamas bei nebus galima sudaryti ir vykdyti Sutarties.</w:t>
      </w:r>
      <w:r>
        <w:rPr>
          <w:rFonts w:eastAsia="Times New Roman" w:cs="Times New Roman" w:ascii="Times New Roman" w:hAnsi="Times New Roman"/>
          <w:sz w:val="24"/>
          <w:szCs w:val="24"/>
          <w:lang w:val="en-US"/>
        </w:rPr>
        <w:t>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3" w:tgtFrame="_blank">
        <w:r>
          <w:rPr>
            <w:rStyle w:val="Hyperlink"/>
            <w:rFonts w:eastAsia="Times New Roman" w:cs="Times New Roman" w:ascii="Times New Roman" w:hAnsi="Times New Roman"/>
            <w:sz w:val="24"/>
            <w:szCs w:val="24"/>
          </w:rPr>
          <w:t>https://vdai.lrv.lt/</w:t>
        </w:r>
      </w:hyperlink>
      <w:r>
        <w:rPr>
          <w:rFonts w:eastAsia="Times New Roman" w:cs="Times New Roman" w:ascii="Times New Roman" w:hAnsi="Times New Roman"/>
          <w:sz w:val="24"/>
          <w:szCs w:val="24"/>
        </w:rPr>
        <w:t>.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4" w:tgtFrame="_blank">
        <w:r>
          <w:rPr>
            <w:rStyle w:val="Hyperlink"/>
            <w:rFonts w:eastAsia="Times New Roman" w:cs="Times New Roman" w:ascii="Times New Roman" w:hAnsi="Times New Roman"/>
            <w:sz w:val="24"/>
            <w:szCs w:val="24"/>
          </w:rPr>
          <w:t>institutas@hi.lt</w:t>
        </w:r>
      </w:hyperlink>
      <w:r>
        <w:rPr>
          <w:rFonts w:eastAsia="Times New Roman" w:cs="Times New Roman" w:ascii="Times New Roman" w:hAnsi="Times New Roman"/>
          <w:sz w:val="24"/>
          <w:szCs w:val="24"/>
        </w:rPr>
        <w:t xml:space="preserve"> ar jo duomenų apsaugos pareigūnui el. paštu ada.ekspertai@gmail.com.  </w:t>
      </w:r>
    </w:p>
    <w:p>
      <w:pPr>
        <w:pStyle w:val="ListParagraph"/>
        <w:numPr>
          <w:ilvl w:val="0"/>
          <w:numId w:val="2"/>
        </w:numPr>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Paslaugų teikėjas, prieš teikdamas pasiūlymą ir prieš sudarydamas Sutartį, nurodytus fizinius asmenis privalo supažindinti su 56-65 punktuose pateikta informacija apie Perkančiosios organizacijos vykdomą asmens duomenų tvarkymą.  </w:t>
      </w:r>
    </w:p>
    <w:p>
      <w:pPr>
        <w:pStyle w:val="ListParagraph"/>
        <w:spacing w:lineRule="auto" w:line="240" w:before="0" w:after="0"/>
        <w:ind w:left="36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1296"/>
          <w:tab w:val="left" w:pos="993" w:leader="none"/>
          <w:tab w:val="left" w:pos="3840" w:leader="none"/>
        </w:tabs>
        <w:spacing w:lineRule="auto" w:line="240" w:before="0" w:after="0"/>
        <w:jc w:val="center"/>
        <w:rPr>
          <w:rFonts w:ascii="Times New Roman" w:hAnsi="Times New Roman" w:eastAsia="Times New Roman" w:cs="Times New Roman"/>
          <w:b/>
          <w:bCs/>
          <w:sz w:val="24"/>
          <w:szCs w:val="24"/>
        </w:rPr>
      </w:pPr>
      <w:bookmarkStart w:id="1" w:name="_Hlk169181291"/>
      <w:bookmarkStart w:id="2" w:name="_Hlk167525359"/>
      <w:bookmarkEnd w:id="1"/>
      <w:bookmarkEnd w:id="2"/>
      <w:r>
        <w:rPr>
          <w:rFonts w:eastAsia="Times New Roman" w:cs="Times New Roman" w:ascii="Times New Roman" w:hAnsi="Times New Roman"/>
          <w:b/>
          <w:bCs/>
          <w:sz w:val="24"/>
          <w:szCs w:val="24"/>
        </w:rPr>
        <w:t>VI. KITA INFORMACIJA BEI BAIGIAMOSIOS NUOSTATOS</w:t>
      </w:r>
    </w:p>
    <w:p>
      <w:pPr>
        <w:pStyle w:val="Normal"/>
        <w:tabs>
          <w:tab w:val="clear" w:pos="1296"/>
          <w:tab w:val="left" w:pos="993" w:leader="none"/>
          <w:tab w:val="left" w:pos="3840" w:leader="none"/>
        </w:tabs>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ListParagraph"/>
        <w:numPr>
          <w:ilvl w:val="0"/>
          <w:numId w:val="2"/>
        </w:numPr>
        <w:tabs>
          <w:tab w:val="clear" w:pos="1296"/>
          <w:tab w:val="left" w:pos="851" w:leader="none"/>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Atliekamas žaliasis pirkimas. Pirkimas vykdomas vadovaujantis Lietuvos Respublikos aplinkos ministro 2011 m. birželio 28 d. įsakymo Nr. D1-508 </w:t>
      </w:r>
      <w:r>
        <w:rPr>
          <w:rFonts w:eastAsia="Times New Roman" w:cs="Times New Roman" w:ascii="Times New Roman" w:hAnsi="Times New Roman"/>
          <w:i/>
          <w:iCs/>
          <w:sz w:val="24"/>
          <w:szCs w:val="24"/>
        </w:rPr>
        <w:t>„</w:t>
      </w:r>
      <w:hyperlink r:id="rId5">
        <w:r>
          <w:rPr>
            <w:rStyle w:val="Hyperlink"/>
            <w:rFonts w:eastAsia="Times New Roman" w:cs="Times New Roman" w:ascii="Times New Roman" w:hAnsi="Times New Roman"/>
            <w:i/>
            <w:iCs/>
            <w:color w:val="auto"/>
            <w:sz w:val="24"/>
            <w:szCs w:val="24"/>
            <w:u w:val="none"/>
          </w:rPr>
          <w:t>Dėl Aplinkos apsaugos kriterijų taikymo, vykdant žaliuosius pirkimus, tvarkos aprašo patvirtinimo</w:t>
        </w:r>
      </w:hyperlink>
      <w:r>
        <w:rPr>
          <w:rFonts w:eastAsia="Times New Roman" w:cs="Times New Roman" w:ascii="Times New Roman" w:hAnsi="Times New Roman"/>
          <w:i/>
          <w:iCs/>
          <w:sz w:val="24"/>
          <w:szCs w:val="24"/>
        </w:rPr>
        <w:t>“</w:t>
      </w:r>
      <w:r>
        <w:rPr>
          <w:rFonts w:eastAsia="Times New Roman" w:cs="Times New Roman" w:ascii="Times New Roman" w:hAnsi="Times New Roman"/>
          <w:sz w:val="24"/>
          <w:szCs w:val="24"/>
        </w:rPr>
        <w:t xml:space="preserve"> (toliau – Tvarkos aprašas) 4 punktu ir laikomas žaliuoju, nes atitinka 4.4.3 ir 4.4.4.1. papunkčiuose nustatytas sąlygas:</w:t>
      </w:r>
    </w:p>
    <w:p>
      <w:pPr>
        <w:pStyle w:val="ListParagraph"/>
        <w:numPr>
          <w:ilvl w:val="1"/>
          <w:numId w:val="2"/>
        </w:numPr>
        <w:tabs>
          <w:tab w:val="clear" w:pos="1296"/>
          <w:tab w:val="left" w:pos="851" w:leader="none"/>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ListParagraph"/>
        <w:numPr>
          <w:ilvl w:val="1"/>
          <w:numId w:val="2"/>
        </w:numPr>
        <w:tabs>
          <w:tab w:val="clear" w:pos="1296"/>
          <w:tab w:val="left" w:pos="851" w:leader="none"/>
          <w:tab w:val="left" w:pos="993" w:leader="none"/>
        </w:tabs>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Taikant Tvarkos aprašo 4.4.4.1. papunktį, vykdydamos Sutartį, Perkančioji organizacija ir Paslaugų teikėjas įsipareigoja mažinti popieriaus sunaudojimą, atsisakyti nebūtino dokumentų kopijavimo ir spausdinimo, todėl su Sutarties vykdymu susiję dokumentai Perkančiajai organizacijai turi būti pateikti tik elektroniniu formatu. Išimtiniais atvejais su Sutarties vykdymu susiję dokumentai turi (gali) būti pateikiami popieriniu formatu, jeigu toks formatas privalomas pagal teisės aktus arba Perkančioji organizacija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 turi būti nebalintas arba balintas nenaudojant chloro dujų.</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Techninėje specifikacijoje išdėstyti minimalūs Paslaugoms keliami reikalavimai.</w:t>
      </w:r>
    </w:p>
    <w:p>
      <w:pPr>
        <w:pStyle w:val="ListParagraph"/>
        <w:numPr>
          <w:ilvl w:val="0"/>
          <w:numId w:val="2"/>
        </w:numPr>
        <w:spacing w:lineRule="auto" w:line="240" w:before="0" w:after="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Programų kūrėjas gali siūlyti savo metodus, kurie užtikrintų ne prastesnės kokybės, nei nurodyta, Paslaugų organizavimą. Galutinius sprendinius reikalinga iš anksto suderinti su Perkančiąja organizacija. </w:t>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firstLine="567"/>
        <w:jc w:val="both"/>
        <w:rPr>
          <w:rStyle w:val="FootnoteCharacters"/>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sectPr>
      <w:headerReference w:type="default" r:id="rId6"/>
      <w:headerReference w:type="first" r:id="rId7"/>
      <w:footerReference w:type="default" r:id="rId8"/>
      <w:footerReference w:type="first" r:id="rId9"/>
      <w:type w:val="nextPage"/>
      <w:pgSz w:w="11906" w:h="16838"/>
      <w:pgMar w:left="1701" w:right="567" w:gutter="0" w:header="567" w:top="851" w:footer="567" w:bottom="851"/>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210"/>
      <w:gridCol w:w="3210"/>
      <w:gridCol w:w="3210"/>
    </w:tblGrid>
    <w:tr>
      <w:trPr>
        <w:trHeight w:val="300" w:hRule="atLeast"/>
      </w:trPr>
      <w:tc>
        <w:tcPr>
          <w:tcW w:w="3210" w:type="dxa"/>
          <w:tcBorders/>
        </w:tcPr>
        <w:p>
          <w:pPr>
            <w:pStyle w:val="Header"/>
            <w:ind w:left="-115"/>
            <w:rPr/>
          </w:pPr>
          <w:r>
            <w:rPr/>
          </w:r>
        </w:p>
      </w:tc>
      <w:tc>
        <w:tcPr>
          <w:tcW w:w="3210" w:type="dxa"/>
          <w:tcBorders/>
        </w:tcPr>
        <w:p>
          <w:pPr>
            <w:pStyle w:val="Header"/>
            <w:jc w:val="center"/>
            <w:rPr/>
          </w:pPr>
          <w:r>
            <w:rPr/>
          </w:r>
        </w:p>
      </w:tc>
      <w:tc>
        <w:tcPr>
          <w:tcW w:w="3210" w:type="dxa"/>
          <w:tcBorders/>
        </w:tcPr>
        <w:p>
          <w:pPr>
            <w:pStyle w:val="Header"/>
            <w:ind w:right="-115"/>
            <w:jc w:val="right"/>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11189354"/>
    </w:sdtPr>
    <w:sdtContent>
      <w:p>
        <w:pPr>
          <w:pStyle w:val="Header"/>
          <w:jc w:val="center"/>
          <w:rPr/>
        </w:pP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10</w:t>
        </w:r>
        <w:r>
          <w:rPr>
            <w:sz w:val="24"/>
            <w:szCs w:val="24"/>
            <w:rFonts w:cs="Times New Roman" w:ascii="Times New Roman" w:hAnsi="Times New Roman"/>
          </w:rPr>
          <w:fldChar w:fldCharType="end"/>
        </w:r>
      </w:p>
    </w:sdtContent>
  </w:sdt>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210"/>
      <w:gridCol w:w="3210"/>
      <w:gridCol w:w="3210"/>
    </w:tblGrid>
    <w:tr>
      <w:trPr>
        <w:trHeight w:val="300" w:hRule="atLeast"/>
      </w:trPr>
      <w:tc>
        <w:tcPr>
          <w:tcW w:w="3210" w:type="dxa"/>
          <w:tcBorders/>
        </w:tcPr>
        <w:p>
          <w:pPr>
            <w:pStyle w:val="Header"/>
            <w:ind w:left="-115"/>
            <w:rPr/>
          </w:pPr>
          <w:r>
            <w:rPr/>
          </w:r>
        </w:p>
      </w:tc>
      <w:tc>
        <w:tcPr>
          <w:tcW w:w="3210" w:type="dxa"/>
          <w:tcBorders/>
        </w:tcPr>
        <w:p>
          <w:pPr>
            <w:pStyle w:val="Header"/>
            <w:jc w:val="center"/>
            <w:rPr/>
          </w:pPr>
          <w:r>
            <w:rPr/>
          </w:r>
        </w:p>
      </w:tc>
      <w:tc>
        <w:tcPr>
          <w:tcW w:w="3210" w:type="dxa"/>
          <w:tcBorders/>
        </w:tcPr>
        <w:p>
          <w:pPr>
            <w:pStyle w:val="Header"/>
            <w:ind w:right="-115"/>
            <w:jc w:val="right"/>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94"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decimal"/>
      <w:lvlText w:val="%1."/>
      <w:lvlJc w:val="left"/>
      <w:pPr>
        <w:tabs>
          <w:tab w:val="num" w:pos="0"/>
        </w:tabs>
        <w:ind w:left="360" w:hanging="360"/>
      </w:pPr>
      <w:rPr>
        <w:sz w:val="24"/>
        <w:b w:val="false"/>
        <w:szCs w:val="24"/>
        <w:bCs w:val="false"/>
        <w:color w:val="auto"/>
      </w:rPr>
    </w:lvl>
    <w:lvl w:ilvl="1">
      <w:start w:val="1"/>
      <w:numFmt w:val="decimal"/>
      <w:lvlText w:val="%1.%2."/>
      <w:lvlJc w:val="left"/>
      <w:pPr>
        <w:tabs>
          <w:tab w:val="num" w:pos="0"/>
        </w:tabs>
        <w:ind w:left="1070" w:hanging="360"/>
      </w:pPr>
      <w:rPr>
        <w:sz w:val="24"/>
        <w:b w:val="false"/>
        <w:szCs w:val="24"/>
        <w:bCs w:val="false"/>
        <w:rFonts w:ascii="Times New Roman" w:hAnsi="Times New Roman"/>
        <w:color w:val="auto"/>
      </w:rPr>
    </w:lvl>
    <w:lvl w:ilvl="2">
      <w:start w:val="1"/>
      <w:numFmt w:val="decimal"/>
      <w:lvlText w:val="%1.%2.%3."/>
      <w:lvlJc w:val="left"/>
      <w:pPr>
        <w:tabs>
          <w:tab w:val="num" w:pos="0"/>
        </w:tabs>
        <w:ind w:left="2114" w:hanging="720"/>
      </w:pPr>
      <w:rPr>
        <w:i w:val="false"/>
        <w:iCs w:val="false"/>
      </w:rPr>
    </w:lvl>
    <w:lvl w:ilvl="3">
      <w:start w:val="1"/>
      <w:numFmt w:val="decimal"/>
      <w:lvlText w:val="%1.%2.%3.%4."/>
      <w:lvlJc w:val="left"/>
      <w:pPr>
        <w:tabs>
          <w:tab w:val="num" w:pos="0"/>
        </w:tabs>
        <w:ind w:left="2811" w:hanging="720"/>
      </w:pPr>
      <w:rPr/>
    </w:lvl>
    <w:lvl w:ilvl="4">
      <w:start w:val="1"/>
      <w:numFmt w:val="decimal"/>
      <w:lvlText w:val="%1.%2.%3.%4.%5."/>
      <w:lvlJc w:val="left"/>
      <w:pPr>
        <w:tabs>
          <w:tab w:val="num" w:pos="0"/>
        </w:tabs>
        <w:ind w:left="3868" w:hanging="1080"/>
      </w:pPr>
      <w:rPr/>
    </w:lvl>
    <w:lvl w:ilvl="5">
      <w:start w:val="1"/>
      <w:numFmt w:val="decimal"/>
      <w:lvlText w:val="%1.%2.%3.%4.%5.%6."/>
      <w:lvlJc w:val="left"/>
      <w:pPr>
        <w:tabs>
          <w:tab w:val="num" w:pos="0"/>
        </w:tabs>
        <w:ind w:left="4565" w:hanging="1080"/>
      </w:pPr>
      <w:rPr/>
    </w:lvl>
    <w:lvl w:ilvl="6">
      <w:start w:val="1"/>
      <w:numFmt w:val="decimal"/>
      <w:lvlText w:val="%1.%2.%3.%4.%5.%6.%7."/>
      <w:lvlJc w:val="left"/>
      <w:pPr>
        <w:tabs>
          <w:tab w:val="num" w:pos="0"/>
        </w:tabs>
        <w:ind w:left="5622" w:hanging="1440"/>
      </w:pPr>
      <w:rPr/>
    </w:lvl>
    <w:lvl w:ilvl="7">
      <w:start w:val="1"/>
      <w:numFmt w:val="decimal"/>
      <w:lvlText w:val="%1.%2.%3.%4.%5.%6.%7.%8."/>
      <w:lvlJc w:val="left"/>
      <w:pPr>
        <w:tabs>
          <w:tab w:val="num" w:pos="0"/>
        </w:tabs>
        <w:ind w:left="6319" w:hanging="1440"/>
      </w:pPr>
      <w:rPr/>
    </w:lvl>
    <w:lvl w:ilvl="8">
      <w:start w:val="1"/>
      <w:numFmt w:val="decimal"/>
      <w:lvlText w:val="%1.%2.%3.%4.%5.%6.%7.%8.%9."/>
      <w:lvlJc w:val="left"/>
      <w:pPr>
        <w:tabs>
          <w:tab w:val="num" w:pos="0"/>
        </w:tabs>
        <w:ind w:left="7376" w:hanging="180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370f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Heading1">
    <w:name w:val="Heading 1"/>
    <w:basedOn w:val="Normal"/>
    <w:next w:val="Normal"/>
    <w:uiPriority w:val="9"/>
    <w:qFormat/>
    <w:rsid w:val="4d543983"/>
    <w:pPr>
      <w:keepNext w:val="true"/>
      <w:keepLines/>
      <w:spacing w:before="360" w:after="80"/>
      <w:outlineLvl w:val="0"/>
    </w:pPr>
    <w:rPr>
      <w:rFonts w:ascii="Calibri Light" w:hAnsi="Calibri Light" w:eastAsia="" w:cs="" w:asciiTheme="majorHAnsi" w:cstheme="majorEastAsia" w:eastAsiaTheme="minorEastAsia" w:hAnsiTheme="majorHAnsi"/>
      <w:color w:themeColor="accent1" w:themeShade="bf" w:val="2E74B5"/>
      <w:sz w:val="40"/>
      <w:szCs w:val="40"/>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a370fa"/>
    <w:rPr>
      <w:color w:themeColor="hyperlink" w:val="0563C1"/>
      <w:u w:val="single"/>
    </w:rPr>
  </w:style>
  <w:style w:type="character" w:styleId="PoratDiagrama" w:customStyle="1">
    <w:name w:val="Poraštė Diagrama"/>
    <w:basedOn w:val="DefaultParagraphFont"/>
    <w:link w:val="Footer"/>
    <w:uiPriority w:val="99"/>
    <w:qFormat/>
    <w:rsid w:val="00a370fa"/>
    <w:rPr/>
  </w:style>
  <w:style w:type="character" w:styleId="AntratsDiagrama" w:customStyle="1">
    <w:name w:val="Antraštės Diagrama"/>
    <w:basedOn w:val="DefaultParagraphFont"/>
    <w:link w:val="Header"/>
    <w:uiPriority w:val="99"/>
    <w:qFormat/>
    <w:rsid w:val="00f05dc3"/>
    <w:rPr/>
  </w:style>
  <w:style w:type="character" w:styleId="UnresolvedMention">
    <w:name w:val="Unresolved Mention"/>
    <w:basedOn w:val="DefaultParagraphFont"/>
    <w:uiPriority w:val="99"/>
    <w:semiHidden/>
    <w:unhideWhenUsed/>
    <w:qFormat/>
    <w:rsid w:val="00074e07"/>
    <w:rPr>
      <w:color w:val="605E5C"/>
      <w:shd w:fill="E1DFDD" w:val="clear"/>
    </w:rPr>
  </w:style>
  <w:style w:type="character" w:styleId="Annotationreference">
    <w:name w:val="annotation reference"/>
    <w:basedOn w:val="DefaultParagraphFont"/>
    <w:uiPriority w:val="99"/>
    <w:semiHidden/>
    <w:unhideWhenUsed/>
    <w:qFormat/>
    <w:rsid w:val="004e14ce"/>
    <w:rPr>
      <w:sz w:val="16"/>
      <w:szCs w:val="16"/>
    </w:rPr>
  </w:style>
  <w:style w:type="character" w:styleId="KomentarotekstasDiagrama" w:customStyle="1">
    <w:name w:val="Komentaro tekstas Diagrama"/>
    <w:basedOn w:val="DefaultParagraphFont"/>
    <w:link w:val="Annotationtext"/>
    <w:uiPriority w:val="99"/>
    <w:qFormat/>
    <w:rsid w:val="004e14ce"/>
    <w:rPr>
      <w:sz w:val="20"/>
      <w:szCs w:val="20"/>
    </w:rPr>
  </w:style>
  <w:style w:type="character" w:styleId="KomentarotemaDiagrama" w:customStyle="1">
    <w:name w:val="Komentaro tema Diagrama"/>
    <w:basedOn w:val="KomentarotekstasDiagrama"/>
    <w:link w:val="Annotationsubject"/>
    <w:uiPriority w:val="99"/>
    <w:semiHidden/>
    <w:qFormat/>
    <w:rsid w:val="004e14ce"/>
    <w:rPr>
      <w:b/>
      <w:bCs/>
      <w:sz w:val="20"/>
      <w:szCs w:val="20"/>
    </w:rPr>
  </w:style>
  <w:style w:type="character" w:styleId="FootnoteCharacters" w:customStyle="1">
    <w:name w:val="Footnote Characters"/>
    <w:uiPriority w:val="99"/>
    <w:semiHidden/>
    <w:unhideWhenUsed/>
    <w:qFormat/>
    <w:rsid w:val="7e40a129"/>
    <w:rPr>
      <w:vertAlign w:val="superscript"/>
    </w:rPr>
  </w:style>
  <w:style w:type="character" w:styleId="FootnoteReference">
    <w:name w:val="Footnote Reference"/>
    <w:rPr>
      <w:vertAlign w:val="superscript"/>
    </w:rPr>
  </w:style>
  <w:style w:type="character" w:styleId="Cf01" w:customStyle="1">
    <w:name w:val="cf01"/>
    <w:basedOn w:val="DefaultParagraphFont"/>
    <w:qFormat/>
    <w:rsid w:val="00b61b38"/>
    <w:rPr>
      <w:rFonts w:ascii="Segoe UI" w:hAnsi="Segoe UI" w:cs="Segoe UI"/>
      <w:sz w:val="18"/>
      <w:szCs w:val="18"/>
    </w:rPr>
  </w:style>
  <w:style w:type="character" w:styleId="SraopastraipaDiagrama" w:customStyle="1">
    <w:name w:val="Sąrašo pastraipa Diagrama"/>
    <w:basedOn w:val="DefaultParagraphFont"/>
    <w:link w:val="ListParagraph"/>
    <w:uiPriority w:val="34"/>
    <w:qFormat/>
    <w:locked/>
    <w:rsid w:val="003823bf"/>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ListParagraph">
    <w:name w:val="List Paragraph"/>
    <w:basedOn w:val="Normal"/>
    <w:link w:val="SraopastraipaDiagrama"/>
    <w:uiPriority w:val="34"/>
    <w:qFormat/>
    <w:rsid w:val="00a370fa"/>
    <w:pPr>
      <w:spacing w:before="0" w:after="160"/>
      <w:ind w:left="720"/>
      <w:contextualSpacing/>
    </w:pPr>
    <w:rPr/>
  </w:style>
  <w:style w:type="paragraph" w:styleId="NormalWeb">
    <w:name w:val="Normal (Web)"/>
    <w:basedOn w:val="Normal"/>
    <w:uiPriority w:val="99"/>
    <w:unhideWhenUsed/>
    <w:qFormat/>
    <w:rsid w:val="00a370fa"/>
    <w:pPr>
      <w:spacing w:lineRule="auto" w:line="240" w:beforeAutospacing="1" w:afterAutospacing="1"/>
    </w:pPr>
    <w:rPr>
      <w:rFonts w:ascii="Times New Roman" w:hAnsi="Times New Roman" w:eastAsia="Times New Roman" w:cs="Times New Roman"/>
      <w:sz w:val="24"/>
      <w:szCs w:val="24"/>
      <w:lang w:eastAsia="lt-LT"/>
    </w:rPr>
  </w:style>
  <w:style w:type="paragraph" w:styleId="HeaderandFooter" w:customStyle="1">
    <w:name w:val="Header and Footer"/>
    <w:basedOn w:val="Normal"/>
    <w:qFormat/>
    <w:pPr/>
    <w:rPr/>
  </w:style>
  <w:style w:type="paragraph" w:styleId="Footer">
    <w:name w:val="Footer"/>
    <w:basedOn w:val="Normal"/>
    <w:link w:val="PoratDiagrama"/>
    <w:uiPriority w:val="99"/>
    <w:unhideWhenUsed/>
    <w:rsid w:val="00a370fa"/>
    <w:pPr>
      <w:tabs>
        <w:tab w:val="clear" w:pos="1296"/>
        <w:tab w:val="center" w:pos="4513" w:leader="none"/>
        <w:tab w:val="right" w:pos="9026" w:leader="none"/>
      </w:tabs>
      <w:spacing w:lineRule="auto" w:line="240" w:before="0" w:after="0"/>
    </w:pPr>
    <w:rPr/>
  </w:style>
  <w:style w:type="paragraph" w:styleId="Header">
    <w:name w:val="Header"/>
    <w:basedOn w:val="Normal"/>
    <w:link w:val="AntratsDiagrama"/>
    <w:uiPriority w:val="99"/>
    <w:unhideWhenUsed/>
    <w:rsid w:val="00f05dc3"/>
    <w:pPr>
      <w:tabs>
        <w:tab w:val="clear" w:pos="1296"/>
        <w:tab w:val="center" w:pos="4819" w:leader="none"/>
        <w:tab w:val="right" w:pos="9638" w:leader="none"/>
      </w:tabs>
      <w:spacing w:lineRule="auto" w:line="240" w:before="0" w:after="0"/>
    </w:pPr>
    <w:rPr/>
  </w:style>
  <w:style w:type="paragraph" w:styleId="Annotationtext">
    <w:name w:val="annotation text"/>
    <w:basedOn w:val="Normal"/>
    <w:link w:val="KomentarotekstasDiagrama"/>
    <w:uiPriority w:val="99"/>
    <w:unhideWhenUsed/>
    <w:qFormat/>
    <w:rsid w:val="004e14ce"/>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4e14ce"/>
    <w:pPr/>
    <w:rPr>
      <w:b/>
      <w:bCs/>
    </w:rPr>
  </w:style>
  <w:style w:type="paragraph" w:styleId="Revision">
    <w:name w:val="Revision"/>
    <w:uiPriority w:val="99"/>
    <w:semiHidden/>
    <w:qFormat/>
    <w:rsid w:val="004e14c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paragraph" w:styleId="FootnoteText">
    <w:name w:val="Footnote Text"/>
    <w:basedOn w:val="Normal"/>
    <w:uiPriority w:val="99"/>
    <w:semiHidden/>
    <w:unhideWhenUsed/>
    <w:rsid w:val="7e40a129"/>
    <w:pPr>
      <w:spacing w:lineRule="auto" w:line="240" w:before="0" w:after="0"/>
    </w:pPr>
    <w:rPr>
      <w:sz w:val="20"/>
      <w:szCs w:val="20"/>
    </w:rPr>
  </w:style>
  <w:style w:type="paragraph" w:styleId="Pf0" w:customStyle="1">
    <w:name w:val="pf0"/>
    <w:basedOn w:val="Normal"/>
    <w:qFormat/>
    <w:rsid w:val="00b61b38"/>
    <w:pPr>
      <w:spacing w:lineRule="auto" w:line="240" w:beforeAutospacing="1" w:afterAutospacing="1"/>
    </w:pPr>
    <w:rPr>
      <w:rFonts w:ascii="Times New Roman" w:hAnsi="Times New Roman" w:eastAsia="Times New Roman" w:cs="Times New Roman"/>
      <w:sz w:val="24"/>
      <w:szCs w:val="24"/>
      <w:lang w:val="en-US"/>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stitutas@hi.lt" TargetMode="External"/><Relationship Id="rId3" Type="http://schemas.openxmlformats.org/officeDocument/2006/relationships/hyperlink" Target="https://vdai.lrv.lt/" TargetMode="External"/><Relationship Id="rId4" Type="http://schemas.openxmlformats.org/officeDocument/2006/relationships/hyperlink" Target="mailto:institutas@hi.lt" TargetMode="External"/><Relationship Id="rId5" Type="http://schemas.openxmlformats.org/officeDocument/2006/relationships/hyperlink" Target="https://www.e-tar.lt/portal/lt/legalAct/TAR.4B60A8C9678B/asr"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Relationship Id="rId16" Type="http://schemas.openxmlformats.org/officeDocument/2006/relationships/customXml" Target="../customXml/item3.xml"/><Relationship Id="rId17"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7ed64-432f-4597-91d7-8ecdfaa554c1">
      <Terms xmlns="http://schemas.microsoft.com/office/infopath/2007/PartnerControls"/>
    </lcf76f155ced4ddcb4097134ff3c332f>
    <s_x0105_skaitosiraktaisuRa_x0161_ele xmlns="34a7ed64-432f-4597-91d7-8ecdfaa554c1" xsi:nil="true"/>
    <TaxCatchAll xmlns="6278c960-4695-481e-a734-54ce7c355f41" xsi:nil="true"/>
    <_x0031_pusme_x010d_iofinansin_x0117_sataskaitos xmlns="34a7ed64-432f-4597-91d7-8ecdfaa554c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C3D4B57F08884A84A46D4663A3F85D" ma:contentTypeVersion="7" ma:contentTypeDescription="Create a new document." ma:contentTypeScope="" ma:versionID="dba4570717e85634e18de29015c655c2">
  <xsd:schema xmlns:xsd="http://www.w3.org/2001/XMLSchema" xmlns:xs="http://www.w3.org/2001/XMLSchema" xmlns:p="http://schemas.microsoft.com/office/2006/metadata/properties" xmlns:ns2="704df70a-80ee-4a3a-b28b-07334ca3a202" xmlns:ns3="c526fa51-ce84-4a15-8945-b020ed914d41" xmlns:ns4="34a7ed64-432f-4597-91d7-8ecdfaa554c1" xmlns:ns5="6278c960-4695-481e-a734-54ce7c355f41" targetNamespace="http://schemas.microsoft.com/office/2006/metadata/properties" ma:root="true" ma:fieldsID="4156d9b983c3800b480dae7306452974" ns2:_="" ns3:_="" ns4:_="" ns5:_="">
    <xsd:import namespace="704df70a-80ee-4a3a-b28b-07334ca3a202"/>
    <xsd:import namespace="c526fa51-ce84-4a15-8945-b020ed914d41"/>
    <xsd:import namespace="34a7ed64-432f-4597-91d7-8ecdfaa554c1"/>
    <xsd:import namespace="6278c960-4695-481e-a734-54ce7c355f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bjectDetectorVersions" minOccurs="0"/>
                <xsd:element ref="ns4:lcf76f155ced4ddcb4097134ff3c332f" minOccurs="0"/>
                <xsd:element ref="ns5:TaxCatchAll" minOccurs="0"/>
                <xsd:element ref="ns4:s_x0105_skaitosiraktaisuRa_x0161_ele" minOccurs="0"/>
                <xsd:element ref="ns4:MediaServiceSearchProperties" minOccurs="0"/>
                <xsd:element ref="ns4:_x0031_pusme_x010d_iofinansin_x0117_sataskait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df70a-80ee-4a3a-b28b-07334ca3a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6fa51-ce84-4a15-8945-b020ed914d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7ed64-432f-4597-91d7-8ecdfaa554c1"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s_x0105_skaitosiraktaisuRa_x0161_ele" ma:index="25" nillable="true" ma:displayName="sąskaitos ir aktai su Rašele" ma:format="Dropdown" ma:internalName="s_x0105_skaitosiraktaisuRa_x0161_ele">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0031_pusme_x010d_iofinansin_x0117_sataskaitos" ma:index="27" nillable="true" ma:displayName="1 pusmečio finansinės ataskaitos" ma:format="Dropdown" ma:internalName="_x0031_pusme_x010d_iofinansin_x0117_sataskaito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78c960-4695-481e-a734-54ce7c355f4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8acd7a7-66c9-4e0c-862b-f755b033d57f}" ma:internalName="TaxCatchAll" ma:showField="CatchAllData" ma:web="6278c960-4695-481e-a734-54ce7c35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4731F7-4845-4812-85D8-15BD795EE5BC}">
  <ds:schemaRefs>
    <ds:schemaRef ds:uri="http://schemas.microsoft.com/sharepoint/v3/contenttype/forms"/>
  </ds:schemaRefs>
</ds:datastoreItem>
</file>

<file path=customXml/itemProps2.xml><?xml version="1.0" encoding="utf-8"?>
<ds:datastoreItem xmlns:ds="http://schemas.openxmlformats.org/officeDocument/2006/customXml" ds:itemID="{02CA6D0C-E479-463B-B7CE-8C1C65BD5E74}">
  <ds:schemaRefs>
    <ds:schemaRef ds:uri="http://schemas.openxmlformats.org/officeDocument/2006/bibliography"/>
  </ds:schemaRefs>
</ds:datastoreItem>
</file>

<file path=customXml/itemProps3.xml><?xml version="1.0" encoding="utf-8"?>
<ds:datastoreItem xmlns:ds="http://schemas.openxmlformats.org/officeDocument/2006/customXml" ds:itemID="{83A1E879-389E-43BA-86D7-7B52083805C5}">
  <ds:schemaRefs>
    <ds:schemaRef ds:uri="http://schemas.microsoft.com/office/2006/metadata/properties"/>
    <ds:schemaRef ds:uri="http://schemas.microsoft.com/office/infopath/2007/PartnerControls"/>
    <ds:schemaRef ds:uri="34a7ed64-432f-4597-91d7-8ecdfaa554c1"/>
    <ds:schemaRef ds:uri="6278c960-4695-481e-a734-54ce7c355f41"/>
  </ds:schemaRefs>
</ds:datastoreItem>
</file>

<file path=customXml/itemProps4.xml><?xml version="1.0" encoding="utf-8"?>
<ds:datastoreItem xmlns:ds="http://schemas.openxmlformats.org/officeDocument/2006/customXml" ds:itemID="{F569499B-B8D0-4097-A1B5-B587F4865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df70a-80ee-4a3a-b28b-07334ca3a202"/>
    <ds:schemaRef ds:uri="c526fa51-ce84-4a15-8945-b020ed914d41"/>
    <ds:schemaRef ds:uri="34a7ed64-432f-4597-91d7-8ecdfaa554c1"/>
    <ds:schemaRef ds:uri="6278c960-4695-481e-a734-54ce7c35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LibreOffice/7.6.4.1$Windows_X86_64 LibreOffice_project/e19e193f88cd6c0525a17fb7a176ed8e6a3e2aa1</Application>
  <AppVersion>15.0000</AppVersion>
  <Pages>7</Pages>
  <Words>4151</Words>
  <Characters>29750</Characters>
  <CharactersWithSpaces>33768</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2025-06-02T10:58:00Z</dcterms:created>
  <dc:creator>Aida Stakutienė</dc:creator>
  <dc:description/>
  <dc:language>en-US</dc:language>
  <cp:lastModifiedBy>Lina Chmieliauskienė</cp:lastModifiedBy>
  <dcterms:modified xsi:type="dcterms:W3CDTF">2025-07-17T11:29:00Z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0x010100C8C3D4B57F08884A84A46D4663A3F85D</vt:lpwstr>
  </property>
  <property fmtid="{D5CDD505-2E9C-101B-9397-08002B2CF9AE}" pid="3" name="MediaServiceImageTags">
    <vt:lpwstr/>
  </property>
</Properties>
</file>