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67"/>
        <w:jc w:val="right"/>
        <w:rPr>
          <w:rFonts w:ascii="Times New Roman" w:hAnsi="Times New Roman" w:eastAsia="Times New Roman" w:cs="Times New Roman"/>
          <w:b/>
          <w:bCs/>
        </w:rPr>
      </w:pPr>
      <w:r>
        <w:rPr>
          <w:rFonts w:eastAsia="Times New Roman" w:cs="Times New Roman" w:ascii="Times New Roman" w:hAnsi="Times New Roman"/>
        </w:rPr>
        <w:t>Pirkimo sąlygų .2 priedas „Techninė specifikacija“</w:t>
      </w:r>
    </w:p>
    <w:p>
      <w:pPr>
        <w:pStyle w:val="Normal"/>
        <w:spacing w:lineRule="auto" w:line="240" w:before="0" w:after="0"/>
        <w:ind w:firstLine="567"/>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t xml:space="preserve"> </w:t>
      </w:r>
      <w:r>
        <w:rPr>
          <w:rFonts w:eastAsia="Times New Roman" w:cs="Times New Roman" w:ascii="Times New Roman" w:hAnsi="Times New Roman"/>
          <w:b/>
          <w:bCs/>
          <w:color w:themeColor="text1" w:val="000000"/>
          <w:sz w:val="24"/>
          <w:szCs w:val="24"/>
        </w:rPr>
        <w:t xml:space="preserve">TECHNINĖ SPECIFIKACIJA </w:t>
      </w:r>
    </w:p>
    <w:p>
      <w:pPr>
        <w:pStyle w:val="Normal"/>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color w:themeColor="text1" w:val="000000"/>
          <w:sz w:val="24"/>
          <w:szCs w:val="24"/>
        </w:rPr>
        <w:t>MOKYMŲ PROGRAMOS PARENGIMO IR LEKTORIŲ  PASLAUGOS</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 PIRKIMO OBJEKTO DALIS</w:t>
      </w:r>
    </w:p>
    <w:p>
      <w:pPr>
        <w:pStyle w:val="Normal"/>
        <w:spacing w:lineRule="auto" w:line="276"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color w:themeColor="text1" w:val="000000"/>
          <w:sz w:val="24"/>
          <w:szCs w:val="24"/>
        </w:rPr>
        <w:t>PSICHIKOS SVEIKATOS RAŠTINGUMO MOKYMŲ PROGRAMŲ PARENGIMO IR LEKTORIŲ PASLAUGOS SPECIALISTAMS</w:t>
      </w:r>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I. ĮVADINĖ INFORMACIJA </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 Higienos institutas, biudžetinė įstaiga (toliau – Perkančioji organizacija). Perkančiosios organizacijos kodas 111958286, adresas: Studentų g. 45A, Vilnius, LT-08107, tel. (0 5) 2624583, el. paštas </w:t>
      </w:r>
      <w:hyperlink r:id="rId2">
        <w:r>
          <w:rPr>
            <w:rStyle w:val="Hyperlink"/>
            <w:rFonts w:eastAsia="Times New Roman" w:cs="Times New Roman" w:ascii="Times New Roman" w:hAnsi="Times New Roman"/>
            <w:color w:val="auto"/>
            <w:sz w:val="24"/>
            <w:szCs w:val="24"/>
          </w:rPr>
          <w:t>institutas@hi.lt</w:t>
        </w:r>
      </w:hyperlink>
      <w:r>
        <w:rPr>
          <w:rFonts w:eastAsia="Times New Roman" w:cs="Times New Roman" w:ascii="Times New Roman" w:hAnsi="Times New Roman"/>
          <w:sz w:val="24"/>
          <w:szCs w:val="24"/>
        </w:rPr>
        <w:t xml:space="preserve">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įgyvendina projektą </w:t>
      </w:r>
      <w:r>
        <w:rPr>
          <w:rFonts w:eastAsia="Times New Roman" w:cs="Times New Roman" w:ascii="Times New Roman" w:hAnsi="Times New Roman"/>
          <w:i/>
          <w:iCs/>
          <w:sz w:val="24"/>
          <w:szCs w:val="24"/>
        </w:rPr>
        <w:t>„Psichikos sveikatos stiprinimas, stigmatizavimo mažinimas, savižudybių prevencija Vidurio, Vakarų Lietuvos ir Sostinės regione“</w:t>
      </w:r>
      <w:r>
        <w:rPr>
          <w:rFonts w:eastAsia="Times New Roman" w:cs="Times New Roman" w:ascii="Times New Roman" w:hAnsi="Times New Roman"/>
          <w:sz w:val="24"/>
          <w:szCs w:val="24"/>
        </w:rPr>
        <w:t xml:space="preserve"> </w:t>
      </w:r>
      <w:r>
        <w:rPr>
          <w:rFonts w:cs="Times New Roman" w:ascii="Times New Roman" w:hAnsi="Times New Roman"/>
          <w:spacing w:val="-2"/>
          <w:sz w:val="24"/>
          <w:szCs w:val="24"/>
        </w:rPr>
        <w:t>Nr. 09-025-</w:t>
      </w:r>
      <w:r>
        <w:rPr>
          <w:rFonts w:cs="Times New Roman" w:ascii="Times New Roman" w:hAnsi="Times New Roman"/>
          <w:spacing w:val="-10"/>
          <w:sz w:val="24"/>
          <w:szCs w:val="24"/>
        </w:rPr>
        <w:t>P</w:t>
      </w:r>
      <w:r>
        <w:rPr>
          <w:rFonts w:eastAsia="Times New Roman" w:cs="Times New Roman" w:ascii="Times New Roman" w:hAnsi="Times New Roman"/>
          <w:sz w:val="24"/>
          <w:szCs w:val="24"/>
        </w:rPr>
        <w:t xml:space="preserve"> (toliau – Projektas), kurio tikslas – didinti visuomenės psichikos sveikatos raštingumą, stiprinti psichikos sveikatą ir skatinti psichikos sveikatos stigmos mažinimą bei vykdyti savižudybių prevencijos priemonių įgyvendinimą Sostinės ir Vidurio, Vakarų Lietuvos regionuose.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Teisinis projekto pagrindimas – 2024 m. gegužės 27 d. Lietuvos Respublikos sveikatos apsaugos ministro įsakymas Nr. V-591 „Dėl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pakeitimo“​.</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Projekto veiklos:</w:t>
      </w:r>
    </w:p>
    <w:p>
      <w:pPr>
        <w:pStyle w:val="ListParagraph"/>
        <w:numPr>
          <w:ilvl w:val="1"/>
          <w:numId w:val="2"/>
        </w:numPr>
        <w:spacing w:lineRule="auto" w:line="240" w:before="0" w:after="0"/>
        <w:ind w:hanging="567" w:left="1276"/>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Psichikos sveikatos stiprinimas, psichikos sveikatos raštingumo didinimas ir psichikos sveikatos stigmatizavimo mažinimas​;</w:t>
      </w:r>
    </w:p>
    <w:p>
      <w:pPr>
        <w:pStyle w:val="ListParagraph"/>
        <w:numPr>
          <w:ilvl w:val="1"/>
          <w:numId w:val="2"/>
        </w:numPr>
        <w:spacing w:lineRule="auto" w:line="240" w:before="0" w:after="0"/>
        <w:ind w:hanging="567" w:left="1276"/>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Savižudybių prevencija.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Projekto poveiklė, kuriai vykdomas pirkimas – psichikos sveikatos raštingumo ir pirmosios emocinės pagalbos mokymų programų tikslinėms Visuomenės grupėms ir Specialistams parengimas. Psichikos sveikatos raštingumo didinimas ir pirmosios emocinės pagalbos teikimo įgūdžių stiprinimas Visuomenės grupėms ir Specialistams yra viena iš pagrindinių projekto dalių bei tikslų.</w:t>
      </w:r>
    </w:p>
    <w:p>
      <w:pPr>
        <w:pStyle w:val="ListParagraph"/>
        <w:numPr>
          <w:ilvl w:val="0"/>
          <w:numId w:val="2"/>
        </w:numPr>
        <w:tabs>
          <w:tab w:val="clear" w:pos="1296"/>
          <w:tab w:val="left" w:pos="426"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Projekto vykdymo teritorija</w:t>
      </w:r>
      <w:r>
        <w:rPr>
          <w:rFonts w:eastAsia="Times New Roman" w:cs="Times New Roman" w:ascii="Times New Roman" w:hAnsi="Times New Roman"/>
          <w:sz w:val="24"/>
          <w:szCs w:val="24"/>
        </w:rPr>
        <w:t xml:space="preserve"> – Sostinės regionas (Vilniaus apskritis) ir Vidurio bei Vakarų Lietuvos regionas (visos apskritys, išskyrus Vilniaus apskritį) (toliau – VVL regionas). </w:t>
      </w:r>
    </w:p>
    <w:p>
      <w:pPr>
        <w:pStyle w:val="ListParagraph"/>
        <w:numPr>
          <w:ilvl w:val="0"/>
          <w:numId w:val="2"/>
        </w:numPr>
        <w:tabs>
          <w:tab w:val="clear" w:pos="1296"/>
          <w:tab w:val="left" w:pos="426"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Pirkimo objektas</w:t>
      </w:r>
      <w:r>
        <w:rPr>
          <w:rFonts w:eastAsia="Times New Roman" w:cs="Times New Roman" w:ascii="Times New Roman" w:hAnsi="Times New Roman"/>
          <w:sz w:val="24"/>
          <w:szCs w:val="24"/>
        </w:rPr>
        <w:t xml:space="preserve"> – </w:t>
      </w:r>
      <w:bookmarkStart w:id="0" w:name="_Hlk203125741"/>
      <w:r>
        <w:rPr>
          <w:rFonts w:eastAsia="Times New Roman" w:cs="Times New Roman" w:ascii="Times New Roman" w:hAnsi="Times New Roman"/>
          <w:sz w:val="24"/>
          <w:szCs w:val="24"/>
        </w:rPr>
        <w:t>psichikos sveikatos raštingumo mokymų programos kūrimas, Lektorių apmokymo ir konsultavimo paslaugos dėl turinio pritaikymo internetinei platformai.</w:t>
      </w:r>
      <w:bookmarkEnd w:id="0"/>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Mokymų programa</w:t>
      </w:r>
      <w:r>
        <w:rPr>
          <w:rFonts w:eastAsia="Times New Roman" w:cs="Times New Roman" w:ascii="Times New Roman" w:hAnsi="Times New Roman"/>
          <w:sz w:val="24"/>
          <w:szCs w:val="24"/>
        </w:rPr>
        <w:t xml:space="preserve"> – tai mokymų turinio parengimas, apimantis mokymo programos (temų, trukmės, mokymosi tikslų ir rezultatų) sukūrimą bei metodinės medžiagos rengimą. Metodinė medžiaga apima mokymams skirtų skaidrių, dalyvių užduočių ir (ar) mokomosios medžiagos parengimą, atsižvelgiant į skirtingas tikslinę auditoriją - Specialistus.</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Programos kūrėjas</w:t>
      </w:r>
      <w:r>
        <w:rPr>
          <w:rFonts w:eastAsia="Times New Roman" w:cs="Times New Roman" w:ascii="Times New Roman" w:hAnsi="Times New Roman"/>
          <w:sz w:val="24"/>
          <w:szCs w:val="24"/>
        </w:rPr>
        <w:t xml:space="preserve"> – Paslaugų teikėjas, kuris vykdant viešąjį pirkimą pripažintas kaip atitinkantis visus kvalifikacinius bei kitus reikalavimus, pateikiamus šiame dokumente bei kituose, tiesiogiai susijusiuose su pirkimo vykdymu bei paslaugos teikimu ir kartu su Programos dėstytoju paskelbtas konkurso laimėtoju (toliau – Programos kūrėjas).</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i/>
          <w:iCs/>
          <w:sz w:val="24"/>
          <w:szCs w:val="24"/>
        </w:rPr>
        <w:t>Programos dėstytojas</w:t>
      </w:r>
      <w:r>
        <w:rPr>
          <w:rFonts w:eastAsia="Times New Roman" w:cs="Times New Roman" w:ascii="Times New Roman" w:hAnsi="Times New Roman"/>
          <w:sz w:val="24"/>
          <w:szCs w:val="24"/>
        </w:rPr>
        <w:t xml:space="preserve"> – </w:t>
      </w:r>
      <w:r>
        <w:rPr>
          <w:rFonts w:cs="Times New Roman" w:ascii="Times New Roman" w:hAnsi="Times New Roman"/>
          <w:sz w:val="24"/>
          <w:szCs w:val="24"/>
        </w:rPr>
        <w:t xml:space="preserve">tai Paslaugų teikėjas, turintis reikiamą kvalifikaciją, žinias ir profesinę patirtį, kuris yra atsakingas už mokymo programos turinio išdėstymą, dalyvių mokymą, praktinių užduočių vedimą ir/arba vertinimą pagal </w:t>
      </w:r>
      <w:r>
        <w:rPr>
          <w:rFonts w:eastAsia="Times New Roman" w:cs="Times New Roman" w:ascii="Times New Roman" w:hAnsi="Times New Roman"/>
          <w:sz w:val="24"/>
          <w:szCs w:val="24"/>
        </w:rPr>
        <w:t xml:space="preserve">Programos kūrėjo </w:t>
      </w:r>
      <w:r>
        <w:rPr>
          <w:rFonts w:cs="Times New Roman" w:ascii="Times New Roman" w:hAnsi="Times New Roman"/>
          <w:sz w:val="24"/>
          <w:szCs w:val="24"/>
        </w:rPr>
        <w:t xml:space="preserve">sukurtą mokymo programą, taip pat </w:t>
      </w:r>
      <w:r>
        <w:rPr>
          <w:rFonts w:eastAsia="Times New Roman" w:cs="Times New Roman" w:ascii="Times New Roman" w:hAnsi="Times New Roman"/>
          <w:sz w:val="24"/>
          <w:szCs w:val="24"/>
        </w:rPr>
        <w:t>kuris vykdant viešąjį pirkimą pripažintas kaip atitinkantis visus kvalifikacinius bei kitus reikalavimus, pateikiamus šiame dokumente bei kituose, tiesiogiai susijusiuose su pirkimo vykdymu bei paslaugos teikimu ir kartu su Programos kūrėju paskelbtas konkurso laimėtoju</w:t>
      </w:r>
      <w:r>
        <w:rPr>
          <w:rFonts w:cs="Times New Roman" w:ascii="Times New Roman" w:hAnsi="Times New Roman"/>
          <w:sz w:val="24"/>
          <w:szCs w:val="24"/>
        </w:rPr>
        <w:t xml:space="preserve"> (toliau – Programos dėstytojas).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rPr>
      </w:pPr>
      <w:r>
        <w:rPr>
          <w:rFonts w:eastAsia="Times New Roman" w:cs="Times New Roman" w:ascii="Times New Roman" w:hAnsi="Times New Roman"/>
          <w:i/>
          <w:iCs/>
          <w:sz w:val="24"/>
          <w:szCs w:val="24"/>
        </w:rPr>
        <w:t>Lektorius</w:t>
      </w:r>
      <w:r>
        <w:rPr>
          <w:rFonts w:eastAsia="Times New Roman" w:cs="Times New Roman" w:ascii="Times New Roman" w:hAnsi="Times New Roman"/>
          <w:sz w:val="24"/>
          <w:szCs w:val="24"/>
        </w:rPr>
        <w:t xml:space="preserve"> – tai Programos dėstytojo parengtas asmuo, vedantis psichikos sveikatos raštingumo ir pirmosios emocinės pagalbos mokymus tikslinėms Specialistų grupėms.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rPr>
      </w:pPr>
      <w:r>
        <w:rPr>
          <w:rFonts w:eastAsia="Times New Roman" w:cs="Times New Roman" w:ascii="Times New Roman" w:hAnsi="Times New Roman"/>
          <w:i/>
          <w:iCs/>
          <w:sz w:val="24"/>
          <w:szCs w:val="24"/>
        </w:rPr>
        <w:t>Psichikos sveikatos raštingumas</w:t>
      </w:r>
      <w:r>
        <w:rPr>
          <w:rFonts w:eastAsia="Times New Roman" w:cs="Times New Roman" w:ascii="Times New Roman" w:hAnsi="Times New Roman"/>
          <w:sz w:val="24"/>
          <w:szCs w:val="24"/>
        </w:rPr>
        <w:t xml:space="preserve"> – šiame Projekte suprantamas kaip asmens amžiui adekvačios žinios ir nuostatos apie psichikos sveikatą ir jos rizikos veiksnius, psichikos sveikatos sutrikimus ir jų prevenciją, atpažinimą ir valdymą. Psichikos sveikatos raštingumo komponentai: a) gebėjimas atpažinti skirtingų psichikos ir elgesio sutrikimų požymius; b) žinios ir nuostatos apie psichikos sveikatos rizikos veiksnius ir jų priežastis; c) žinios ir nuostatos apie pagalbos sau ir kitiems būdus bei profesionalios pagalbos prieinamumą; d) palankus požiūris į psichikos sveikatą, skatinantis pripažinti psichikos sveikatos problemas ir ieškoti reikiamos pagalbos; e) žinios ir įgūdžiai, kaip ir kur ieškoti informacijos apie psichikos sveikatą.</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Pirmoji emocinė pagalba</w:t>
      </w:r>
      <w:r>
        <w:rPr>
          <w:rFonts w:eastAsia="Times New Roman" w:cs="Times New Roman" w:ascii="Times New Roman" w:hAnsi="Times New Roman"/>
          <w:sz w:val="24"/>
          <w:szCs w:val="24"/>
        </w:rPr>
        <w:t xml:space="preserve"> šiame Projekte suprantama kaip emocinė parama žmogui, patiriančiam stiprų stresą, susiduriančiam su stipriomis emocijomis ar kitais emociniais sunkumais. Pagrindiniai pirmosios emocinės pagalbos tikslai – atpažinti tokios pagalbos poreikį ir suteikti emocinę paramą asmeniui, padėsiančią kiek nurimti ir esant poreikiui, ieškotis  profesionalios pagalbos.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Visuomenė</w:t>
      </w:r>
      <w:r>
        <w:rPr>
          <w:rFonts w:eastAsia="Times New Roman" w:cs="Times New Roman" w:ascii="Times New Roman" w:hAnsi="Times New Roman"/>
          <w:sz w:val="24"/>
          <w:szCs w:val="24"/>
        </w:rPr>
        <w:t xml:space="preserve"> šiame Projekte suprantama kaip įvairaus amžiaus ir socialinių grupių gyventojai – jaunimas, darbingo amžiaus asmenys ir vyresnio amžiaus žmonės, kurie nėra sveikatos ar psichikos sveikatos Specialistai, tačiau yra svarbi Visuomenės dalis, galinti prisidėti prie psichikos sveikatos stiprinimo, prevencijos ir pagalbos artimiesiems ar bendruomenės nariams.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Specialistai – </w:t>
      </w:r>
      <w:r>
        <w:rPr>
          <w:rFonts w:eastAsia="Times New Roman" w:cs="Times New Roman" w:ascii="Times New Roman" w:hAnsi="Times New Roman"/>
          <w:sz w:val="24"/>
          <w:szCs w:val="24"/>
        </w:rPr>
        <w:t>šiame projekte suprantami kaip asmenys, dirbantys sveikatos priežiūros srityje.</w:t>
      </w:r>
    </w:p>
    <w:p>
      <w:pPr>
        <w:pStyle w:val="Normal"/>
        <w:numPr>
          <w:ilvl w:val="0"/>
          <w:numId w:val="2"/>
        </w:numPr>
        <w:tabs>
          <w:tab w:val="clear" w:pos="1296"/>
          <w:tab w:val="left" w:pos="270" w:leader="none"/>
        </w:tabs>
        <w:spacing w:lineRule="auto" w:line="240" w:before="0" w:after="0"/>
        <w:ind w:hanging="357" w:left="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Pirkimo objektą sudaro:</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programos parengimas – sukuriama mokymų programa, pritaikyta tikslinei auditorijai - Specialistams (įskaitant metodinės medžiagos bei skaidrių parengimą).</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Segoe UI" w:cs="Times New Roman" w:ascii="Times New Roman" w:hAnsi="Times New Roman"/>
          <w:sz w:val="24"/>
          <w:szCs w:val="24"/>
        </w:rPr>
        <w:t>Perkančiosios organizacijos paskirtų Lektorių apmokymas pagal Programos kūrėjo parengtą programą ir joje išdėstytus reikalavimus</w:t>
      </w:r>
      <w:r>
        <w:rPr>
          <w:rFonts w:eastAsia="Times New Roman" w:cs="Times New Roman" w:ascii="Times New Roman" w:hAnsi="Times New Roman"/>
          <w:sz w:val="24"/>
          <w:szCs w:val="24"/>
        </w:rPr>
        <w:t xml:space="preserve"> vesti mokymus Specialistams.</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Konsultacijos dėl mokymų turinio pritaikymo e. platformai – konsultacijų teikimas darbuotojams, užtikrinantiems sklandų mokymų medžiagos perkėlimą į internetinę mokymosi platformą.</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Pirkimo objektas neapima spaudos maketų, spausdinimo paslaugų, mokymų programos turinio perkėlimo į internetinę platformą procesų vykdymo.</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Perkančioji organizacija įgyja visas turtines ir neturtines teises į parengtą (-as) mokymų programą (-as), įskaitant bet kokią su ja (-omis) susijusią medžiagą (skaidres, metodinius leidinius, vaizdo ar garso įrašus, užduotis ir kt.), ir tampa jų vienintele savininke. Paslaugų teikėjas neturi teisės naudoti, platinti, adaptuoti ar perduoti šių medžiagų be išankstinio rašytinio Perkančiosios organizacijos sutikimo.</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b/>
          <w:bCs/>
          <w:i/>
          <w:i/>
          <w:iCs/>
        </w:rPr>
      </w:pPr>
      <w:r>
        <w:rPr>
          <w:rFonts w:eastAsia="Times New Roman" w:cs="Times New Roman" w:ascii="Times New Roman" w:hAnsi="Times New Roman"/>
          <w:sz w:val="24"/>
          <w:szCs w:val="24"/>
        </w:rPr>
        <w:t xml:space="preserve">Pirkimui numatoma suma – </w:t>
      </w:r>
      <w:r>
        <w:rPr>
          <w:rFonts w:eastAsia="Times New Roman" w:cs="Times New Roman" w:ascii="Times New Roman" w:hAnsi="Times New Roman"/>
          <w:b/>
          <w:bCs/>
          <w:i/>
          <w:iCs/>
          <w:sz w:val="24"/>
          <w:szCs w:val="24"/>
        </w:rPr>
        <w:t xml:space="preserve">32178,51 Eur be PVM. </w:t>
      </w:r>
    </w:p>
    <w:p>
      <w:pPr>
        <w:pStyle w:val="ListParagraph"/>
        <w:tabs>
          <w:tab w:val="clear" w:pos="1296"/>
          <w:tab w:val="left" w:pos="993" w:leader="none"/>
        </w:tabs>
        <w:spacing w:lineRule="auto" w:line="240" w:before="0" w:after="0"/>
        <w:ind w:left="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 PIRKIMO OBJEKTAS IR JO APRAŠYMAS</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programos tikslas – stiprinti asmenų gebėjimus laiku atpažinti psichikos sveikatos sunkumus, įgyti pakankamai žinių apie juos bei ugdyti praktinius įgūdžius, padedančius pasirūpinti savo ir kitų emocine gerove. Psichikos sveikatos raštingumo programos mažina negatyvias nuostatas į psichikos sveikatą, suteikia pirmosios emocinės pagalbos teikimo įgūdžių, mažina sunkesnės formos psichologinių sutrikimų išsivystymo tikimybę, suteikia žinių kaip bendrauti su asmenimis, kurie patiria psichikos sveikatos sunkumus bei pastiprina pasitikėjimą ir kompetencijas teikiant jiems pagalbą.</w:t>
      </w:r>
    </w:p>
    <w:p>
      <w:pPr>
        <w:pStyle w:val="Normal"/>
        <w:numPr>
          <w:ilvl w:val="0"/>
          <w:numId w:val="2"/>
        </w:numPr>
        <w:spacing w:lineRule="auto" w:line="240" w:before="0" w:after="0"/>
        <w:ind w:hanging="357" w:left="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Mokymo programos turinys turi būti pritaikytas tikslinei auditorijai, atsižvelgiant į jų poreikius ir kontekstą, kuriame asmenys susiduria su psichikos sveikatos srityje kylančiais iššūkiais: sveikatos priežiūros Specialistams.  </w:t>
      </w:r>
    </w:p>
    <w:p>
      <w:pPr>
        <w:pStyle w:val="ListParagraph"/>
        <w:numPr>
          <w:ilvl w:val="0"/>
          <w:numId w:val="2"/>
        </w:numPr>
        <w:spacing w:before="0" w:after="0"/>
        <w:ind w:hanging="357" w:left="35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Į mokymų programos sukūrimą įeina informacinės medžiagos, reikalingos vizualinės medžiagos (t. y. skaidrėms, dalyvio knygoms ir kt.) parengimui, paruošimas.</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Sukūrus mokymų programą, ji turi būti išbandoma su 5-8 asmenų pilotine grupe. Pilotinės grupės dalyvius parenka Programos kūrėjas kartu su Programos dėstytoju, atsižvelgdami į tikslinę auditoriją. Remiantis pilotinio testavimo rezultatais, esant poreikiui, mokymų programa ir metodinė medžiaga turi būti tikslinama.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Pilotinio testavimo metu surinkti rezultatai, dalyvių komentarai ir siūlomi programos ir/arba mokymų proceso pakeitimai turi būti aptariami ir derinami su Perkančiąja organizacija, prieš atliekant galutinius pakeitimus.</w:t>
      </w:r>
    </w:p>
    <w:p>
      <w:pPr>
        <w:pStyle w:val="ListParagraph"/>
        <w:numPr>
          <w:ilvl w:val="0"/>
          <w:numId w:val="2"/>
        </w:numPr>
        <w:spacing w:before="0" w:after="0"/>
        <w:ind w:hanging="357" w:left="357"/>
        <w:contextualSpacing/>
        <w:jc w:val="both"/>
        <w:rPr>
          <w:rFonts w:ascii="Times New Roman" w:hAnsi="Times New Roman" w:eastAsia="Times New Roman" w:cs="Times New Roman"/>
        </w:rPr>
      </w:pPr>
      <w:r>
        <w:rPr>
          <w:rFonts w:eastAsia="Times New Roman" w:cs="Times New Roman" w:ascii="Times New Roman" w:hAnsi="Times New Roman"/>
          <w:sz w:val="24"/>
          <w:szCs w:val="24"/>
        </w:rPr>
        <w:t xml:space="preserve">Po mokymų programos sukūrimo bei metodinės medžiagos parengimo, Programos kūrėjas kartu su Programos dėstytoju įsipareigoja parengti Lektorius, kurie dėstys psichikos sveikatos raštingumo ir pirmosios emocinės pagalbos mokymų programas Specialistų tikslinei grupei. Lektorių parengimas vykdomas atsižvelgiant į tikslinės auditorijos poreikius ir ypatumus. </w:t>
      </w:r>
    </w:p>
    <w:p>
      <w:pPr>
        <w:pStyle w:val="ListParagraph"/>
        <w:numPr>
          <w:ilvl w:val="0"/>
          <w:numId w:val="2"/>
        </w:numPr>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Į šį pirkimo objektą neįeina mokymų organizavimas, t. y. maitinimas, apgyvendinimas, patalpų nuoma, techninės išlaidos bei Lektorių atrankos proceso organizavimas – tuo pasirūpina Perkančioji organizacija. </w:t>
      </w:r>
    </w:p>
    <w:p>
      <w:pPr>
        <w:pStyle w:val="ListParagraph"/>
        <w:numPr>
          <w:ilvl w:val="0"/>
          <w:numId w:val="2"/>
        </w:numPr>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Viso programos kūrimo bei Lektorių parengimo dėstyti proceso metu Programos kūrėjas kartu su Programos dėstytoju įsipareigoja užtikrinti nuolatinę ir sklandžią komunikaciją su Perkančiąja organizacija.</w:t>
      </w:r>
    </w:p>
    <w:p>
      <w:pPr>
        <w:pStyle w:val="ListParagraph"/>
        <w:numPr>
          <w:ilvl w:val="0"/>
          <w:numId w:val="2"/>
        </w:numPr>
        <w:tabs>
          <w:tab w:val="clear" w:pos="1296"/>
          <w:tab w:val="left" w:pos="360"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sz w:val="24"/>
          <w:szCs w:val="24"/>
        </w:rPr>
        <w:t xml:space="preserve">Siekiant didinti galimybę Visuomenei susipažinti su mokymų programos turiniu ir užtikrinti jų prieinamumą, ilgalaikį tęstinumą ir plėtrą, planuojamas mokymų turinio perkėlimas į internetinę platformą, sudarant galimybes plačiau skleisti informaciją ir naudotis ja ateityje. Į šį pirkimo objektą įtraukiama iki 35 val. Programos kūrėjo (poreikiui esant – ir Programos dėstytojo) konsultacijų žodžiu ir/arba raštu dėl mokymų programos pritaikymo internetinei platformai (viena konsultacija – 1-os astronominės valandos trukmės). </w:t>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III. REIKALAVIMAI MOKYMŲ PROGRAMOS TURINIUI</w:t>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 xml:space="preserve">Mokymų programoje psichikos sveikata turi būti suprantama taip, kaip ji apibrėžiama </w:t>
      </w:r>
      <w:r>
        <w:rPr>
          <w:rFonts w:eastAsia="Times New Roman" w:cs="Times New Roman" w:ascii="Times New Roman" w:hAnsi="Times New Roman"/>
          <w:i/>
          <w:iCs/>
          <w:sz w:val="24"/>
          <w:szCs w:val="24"/>
        </w:rPr>
        <w:t>Lietuvos Respublikos psichikos sveikatos priežiūros įstatyme (1995 m. birželio 6 d. Nr. I-924)</w:t>
      </w:r>
      <w:r>
        <w:rPr>
          <w:rFonts w:eastAsia="Times New Roman" w:cs="Times New Roman" w:ascii="Times New Roman" w:hAnsi="Times New Roman"/>
          <w:sz w:val="24"/>
          <w:szCs w:val="24"/>
        </w:rPr>
        <w:t>. Mokymų programos turi būti rengiamos lietuvių kalba ir turi atitikti bendrinės lietuvių kalbos stilistikos, rašybos ir skyrybos taisyklių reikalavimus (vadovaujantis 2022 m. sausio 6 d. Valstybinės lietuvių kalbos komisijos nutarimu dėl lietuvių kalbos rašybos taisyklių patvirtinimo Nr. N-1 (190).</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Psichikos sveikatos raštingumo ir pirmosios emocinės pagalbos Mokymų programą sudarančios dalys turi siekti konkrečių tikslų, kad būtų užtikrintas veiksmingas mokymasis, gerinamas dalyvių gebėjimas atpažinti psichikos sveikatos sunkumus, mokoma tinkamai reaguoti ir suteikti pagalbą.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sz w:val="24"/>
          <w:szCs w:val="24"/>
        </w:rPr>
        <w:t>Pagrindiniai Mokymo programos tikslai - didinti psichikos sveikatos raštingumą, mažinti stigmą, ugdyti gebėjimus atpažinti psichikos sveikatos sunkumus ir teikti pirmąją emocinę pagalbą. Programa turi būti sudaryta iš teorijos bei praktinių užsiėmimų.</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Mokymų Programos kūrėjas bei Programos dėstytojas privalo būti susipažinęs su Lietuvoje ir pasaulyje vykdoma sveikatos politika, kampanijomis bei iniciatyvomis, skirtomis psichikos sveikatos temos aktualizavimui ir Visuomenės psichikos sveikatos raštingumo didinimui. Jie turi aktyviai domėtis mokslo pažanga, būti susipažinus su naujausiais moksliniais tyrimais, statistiniais duomenimis bei vadovautis Pasaulio sveikatos organizacijos (toliau – PSO) rekomendacijomis psichikos sveikatos srityje. Mokymų programos turinys turi būti pagrįstas šiuolaikiniais moksliniais įrodymais ir gerosiomis praktikomis. Rengiant Mokymų programą, Programos kūrėjas turi remtis tyrimais ar kitais šaltiniais, kuriuose būtų analizuojama ar pateikiama informacija apie psichikos sveikatos sunkumų turinčių asmenų patirtį.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Preliminari Mokymų programos dėstymo trukmė, kurią parengti Lektoriai dėstys Specialistų grupėms – 6–8 val.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programos temos:</w:t>
      </w:r>
    </w:p>
    <w:p>
      <w:pPr>
        <w:pStyle w:val="ListParagraph"/>
        <w:numPr>
          <w:ilvl w:val="1"/>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Psichikos sveikatos raštingumo didinimo mokymų programa, skirta Specialistams: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Supratimo stiprinimas</w:t>
      </w:r>
      <w:r>
        <w:rPr>
          <w:rFonts w:eastAsia="Times New Roman" w:cs="Times New Roman" w:ascii="Times New Roman" w:hAnsi="Times New Roman"/>
          <w:sz w:val="24"/>
          <w:szCs w:val="24"/>
        </w:rPr>
        <w:t>: suteikti žinių apie psichikos sveikatą, jos svarbą bei įtaką kasdieniam gyvenimui, psichologinį atsparumą bei supratimą, kada reikia kreiptis pagalbos į Specialistus. Suteikti papildomų žinių ir įgūdžių apie psichikos sveikatą, kad Specialistai galėtų tinkamai pasirūpinti klientais, pacientais bei patys savimi.</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i/>
          <w:i/>
          <w:iCs/>
        </w:rPr>
      </w:pPr>
      <w:r>
        <w:rPr>
          <w:rFonts w:eastAsia="Times New Roman" w:cs="Times New Roman" w:ascii="Times New Roman" w:hAnsi="Times New Roman"/>
          <w:i/>
          <w:iCs/>
          <w:sz w:val="24"/>
          <w:szCs w:val="24"/>
        </w:rPr>
        <w:t xml:space="preserve">Pagarbus  kalbėjimas apie psichikos sveikatą: </w:t>
      </w:r>
      <w:r>
        <w:rPr>
          <w:rFonts w:eastAsia="Times New Roman" w:cs="Times New Roman" w:ascii="Times New Roman" w:hAnsi="Times New Roman"/>
          <w:sz w:val="24"/>
          <w:szCs w:val="24"/>
        </w:rPr>
        <w:t>terminai, frazės, požiūris, kurie prisideda prie sąmoningumo ugdymo ir mažina stigmą.</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Stigmos mažinimas</w:t>
      </w:r>
      <w:r>
        <w:rPr>
          <w:rFonts w:eastAsia="Times New Roman" w:cs="Times New Roman" w:ascii="Times New Roman" w:hAnsi="Times New Roman"/>
          <w:sz w:val="24"/>
          <w:szCs w:val="24"/>
        </w:rPr>
        <w:t>: mažinti su psichikos sveikatos problemomis susijusią stigmą ir stereotipus, skatinti atvirą ir pagarbų bendravimą psichikos sveikatos temomis;</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sz w:val="24"/>
          <w:szCs w:val="24"/>
        </w:rPr>
        <w:t>Ženklų atpažinimas ir pirmos emocinės pagalbos suteikimo principai:</w:t>
      </w:r>
      <w:r>
        <w:rPr>
          <w:rFonts w:eastAsia="Times New Roman" w:cs="Times New Roman" w:ascii="Times New Roman" w:hAnsi="Times New Roman"/>
          <w:sz w:val="24"/>
          <w:szCs w:val="24"/>
        </w:rPr>
        <w:t xml:space="preserve"> mokyti, kaip suteikti </w:t>
      </w:r>
      <w:r>
        <w:rPr>
          <w:rFonts w:eastAsia="Times New Roman" w:cs="Times New Roman" w:ascii="Times New Roman" w:hAnsi="Times New Roman"/>
          <w:i/>
          <w:sz w:val="24"/>
          <w:szCs w:val="24"/>
        </w:rPr>
        <w:t>pirmąją psichologinę pagalbą</w:t>
      </w:r>
      <w:r>
        <w:rPr>
          <w:rFonts w:eastAsia="Times New Roman" w:cs="Times New Roman" w:ascii="Times New Roman" w:hAnsi="Times New Roman"/>
          <w:sz w:val="24"/>
          <w:szCs w:val="24"/>
        </w:rPr>
        <w:t xml:space="preserve"> asmenims, susiduriantiems su krizinėmis situacijomis, kol bus suteikta profesionali pagalba. Suteikti žinių, kaip įvertinti situacijos pavojingumą ir prireikus kviesti profesionalią pagalbą.</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Efektyvi komunikacija</w:t>
      </w:r>
      <w:r>
        <w:rPr>
          <w:rFonts w:eastAsia="Times New Roman" w:cs="Times New Roman" w:ascii="Times New Roman" w:hAnsi="Times New Roman"/>
          <w:sz w:val="24"/>
          <w:szCs w:val="24"/>
        </w:rPr>
        <w:t>: Ugdyti įgūdžius, kaip užmegzti ryšį su žmogumi, kuriam reikalinga pagalba, empatiškai klausytis ir bendrauti be išankstinio vertinimo (ar nusistatymo);</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Praktiniai žingsniai</w:t>
      </w:r>
      <w:r>
        <w:rPr>
          <w:rFonts w:eastAsia="Times New Roman" w:cs="Times New Roman" w:ascii="Times New Roman" w:hAnsi="Times New Roman"/>
          <w:sz w:val="24"/>
          <w:szCs w:val="24"/>
        </w:rPr>
        <w:t xml:space="preserve">: Mokyti konkrečių veiksmų – kaip nukreipti žmogų ir pasiūlyti prieinamą pagalbą (pvz., pagalbos linijas, Specialistus). </w:t>
      </w:r>
    </w:p>
    <w:p>
      <w:pPr>
        <w:pStyle w:val="ListParagraph"/>
        <w:numPr>
          <w:ilvl w:val="1"/>
          <w:numId w:val="2"/>
        </w:numPr>
        <w:spacing w:lineRule="auto" w:line="240" w:before="0" w:after="0"/>
        <w:contextualSpacing/>
        <w:jc w:val="both"/>
        <w:rPr>
          <w:rFonts w:ascii="Times New Roman" w:hAnsi="Times New Roman" w:eastAsia="Times New Roman" w:cs="Times New Roman"/>
        </w:rPr>
      </w:pPr>
      <w:r>
        <w:rPr>
          <w:rFonts w:eastAsia="Times New Roman" w:cs="Times New Roman" w:ascii="Times New Roman" w:hAnsi="Times New Roman"/>
          <w:b/>
          <w:bCs/>
          <w:sz w:val="24"/>
          <w:szCs w:val="24"/>
        </w:rPr>
        <w:t>Papildomos temos, kurios gali būti įtrauktos į programą (esant ribotam laikui, gali būti neaptariamos mokymų metu, tačiau turi patekti į metodinę medžiagą ir nuotolinių mokymų turinį):</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Praktiniai savipagalbos žingsniai:</w:t>
      </w:r>
      <w:r>
        <w:rPr>
          <w:rFonts w:eastAsia="Times New Roman" w:cs="Times New Roman" w:ascii="Times New Roman" w:hAnsi="Times New Roman"/>
          <w:sz w:val="24"/>
          <w:szCs w:val="24"/>
        </w:rPr>
        <w:t xml:space="preserve"> supažindinimas su efektyviais užsiėmimais, psichoterapijos rūšimis, praktikomis, skirtomis gerinti emocinę ir psichologinę gerovę (su aprašymais ir nuorodomis);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Savirefleksijos skatinimas: </w:t>
      </w:r>
      <w:r>
        <w:rPr>
          <w:rFonts w:eastAsia="Times New Roman" w:cs="Times New Roman" w:ascii="Times New Roman" w:hAnsi="Times New Roman"/>
          <w:sz w:val="24"/>
          <w:szCs w:val="24"/>
        </w:rPr>
        <w:t>gebėjimas suprasti emocijas bei kas jas sukelia, analizuoti savo reakcijas bei akcentuoti ribų klausimą ir mokytis nustatyti ribas ir spręsti iš to kylančias situacijas;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Socialiniai ryšiai:</w:t>
      </w:r>
      <w:r>
        <w:rPr>
          <w:rFonts w:eastAsia="Times New Roman" w:cs="Times New Roman" w:ascii="Times New Roman" w:hAnsi="Times New Roman"/>
          <w:sz w:val="24"/>
          <w:szCs w:val="24"/>
        </w:rPr>
        <w:t xml:space="preserve"> kaip pagerinti gebėjimą komunikuoti, kad socialiniai ryšiai bei įsipareigojimai nekeltų iššūkių emocinei būsenai;</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Emociškai sudėtingų situacijų valdymas (pvz. skyrybos, netektis, sunki liga ir pan.):</w:t>
      </w:r>
      <w:r>
        <w:rPr>
          <w:rFonts w:eastAsia="Times New Roman" w:cs="Times New Roman" w:ascii="Times New Roman" w:hAnsi="Times New Roman"/>
          <w:sz w:val="24"/>
          <w:szCs w:val="24"/>
        </w:rPr>
        <w:t xml:space="preserve"> suprasti kylančių situacijų įtaką bei poveikį psichikos ar emocinei būsenai ir kaip įmanoma sumažinti patiriamą neigiamą poveikį bei suvaldyti reakcijas.</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Jei Programos kūrėjas nustato poreikį keisti, papildyti ar atsisakyti siūlomų temų ar potemių, jis privalo tai suderinti su Perkančiąja organizacija. Poreikis turi būti aiškiai pagrįstas (pvz. kitų šalių ar savo patirtimi organizuojant panašaus turinio mokymus). Kitais atvejais mokymų programos temų, apimties ar kitų reikalavimų keitimai nėra leidžiami.</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Mokymų programa, skirta Specialistams, turi būti parengta vadovaujantis Lietuvos Respublikos sveikatos apsaugos ministro 2011 m. birželio 28 d. įsakymu Nr. V-645 patvirtintomis </w:t>
      </w:r>
      <w:r>
        <w:rPr>
          <w:rFonts w:eastAsia="Times New Roman" w:cs="Times New Roman" w:ascii="Times New Roman" w:hAnsi="Times New Roman"/>
          <w:i/>
          <w:iCs/>
          <w:sz w:val="24"/>
          <w:szCs w:val="24"/>
        </w:rPr>
        <w:t>Sveikatos priežiūros ir farmacijos specialistų profesinės kvalifikacijos tobulinimo programos ir vienkartinių profesinės kvalifikacijos tobulinimo renginių derinimo taisyklėmis</w:t>
      </w:r>
      <w:r>
        <w:rPr>
          <w:rFonts w:eastAsia="Times New Roman" w:cs="Times New Roman" w:ascii="Times New Roman" w:hAnsi="Times New Roman"/>
          <w:sz w:val="24"/>
          <w:szCs w:val="24"/>
        </w:rPr>
        <w:t>. Programos kūrėjas įsipareigoja atlikti visas reikalingas turinio ir kitų aspektų korekcijas tol, kol programa bus sėkmingai užregistruota Sveikatos specialistų kompetencijų platformoje (registravimo procedūras vykdys Perkančioji organizacija).</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4"/>
          <w:szCs w:val="24"/>
        </w:rPr>
        <w:t xml:space="preserve">Programos kūrėjas kartu su Programos dėstytoju įsipareigoja parengti išsamią metodinę medžiagą, kuri apims visą mokymams reikalingą turinį ir suteiks Lektoriams aiškias gaires tikslinės grupės mokymui. Rengiant metodinę medžiagą, pagal galimybes, atsižvelgti į Perkančiosios organizacijos atliekamo tyrimo dėl Visuomenės psichikos sveikatos raštingumo, išvadas. Šio tyrimo išvados bus pateikiamos Programos kūrėjui sutarties vykdymo metu.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programos turinys turi būti rengiamas vadovaujantis Lietuvos Respublikos galiojančiais teisės aktais, įskaitant Psichikos sveikatos priežiūros įstatymą (1995 m. birželio 6 d. Nr. I-924), Visuomenės sveikatos priežiūros įstatymą (2002 m. gegužės 16 d. Nr. IX-886), Europos žmogaus teisių ir pagrindinių laisvių apsaugos konvencija (1995 m. gegužės 16 d., Nr. 40-987), Švietimo įstatymą (1991 m. birželio 25 d. Nr. I-1489) bei kitus su psichikos sveikatos stiprinimu ir suaugusiųjų švietimu susijusius dokumentus. Negali būti skatinama stereotipų apie moterų ir vyrų, įvairių Visuomenės grupių (kitataučių, jaunesnio ar vyresnio amžiaus, turinčių negalią ar pan.) sklaida. Visa Mokymų programoje pateikiama informacinė medžiaga turi būti pagrįsta oficialiais moksliniais tyrimais, statistika bei patikimais šaltiniais.</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IV. REIKALAVIMAI  LEKTORIŲ PARENGIMUI IR APMOKYMUI</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Lektoriai bus rengiami ir apmokomi vesti psichikos sveikatos raštingumo bei pirmosios emocinės pagalbos mokymus, pritaikytus Specialistams. Siekiant užtikrinti aukštą mokymų kokybę ir Lektorių profesinį augimą, parengti Lektoriai reguliariai dalyvaus supervizijose. Supervizijų organizavimą užtikrina Perkančioji organizacija. Lektorių rengimo ir apmokymo procese būtina atsižvelgti į Projekto tikslines grupes, kurioms dėstys Programos dėstytojo parengti Lektoriai.</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atsakinga už Lektorių paiešką, atranką ir registraciją, taip pat už mokymų organizavimą, įskaitant patalpų parinkimą, maitinimo, apgyvendinimo ir kitų būtinų priemonių bei paslaugų užtikrinimą. Perkančioji organizacija mokymų dalyvių skaičių grupėje, nurodytą šios techninės specifikacijos 41 punkte, gali koreguoti atsižvelgiant į poreikius ir  aplinkybes (suderinus su Programos dėstytoju bei Programos kūrėju), tačiau minėtuose punktuose nurodytas bendras parengtų ir apmokytų lektorių skaičius bus išlaikomas. </w:t>
      </w:r>
    </w:p>
    <w:p>
      <w:pPr>
        <w:pStyle w:val="ListParagraph"/>
        <w:numPr>
          <w:ilvl w:val="0"/>
          <w:numId w:val="2"/>
        </w:numPr>
        <w:spacing w:lineRule="auto" w:line="240" w:before="240" w:after="24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Programos kūrėjas kartu su Programos dėstytoju per su Perkančiąja organizacija sutartą laikotarpį įsipareigoja parengti ir apmokyti Lektorius, kurie dėstys sveikatos priežiūros Specialistams:</w:t>
      </w:r>
    </w:p>
    <w:p>
      <w:pPr>
        <w:pStyle w:val="ListParagraph"/>
        <w:numPr>
          <w:ilvl w:val="1"/>
          <w:numId w:val="2"/>
        </w:numPr>
        <w:spacing w:lineRule="auto" w:line="240" w:before="0" w:after="0"/>
        <w:ind w:hanging="63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Programos kūrėjas kartu su Programos dėstytoju per su Perkančiąja organizacija sutartą laikotarpį įsipareigoja parengti Lektorius, kurie dėstys mokymų programą sveikatos priežiūros Specialistams.</w:t>
      </w:r>
    </w:p>
    <w:p>
      <w:pPr>
        <w:pStyle w:val="ListParagraph"/>
        <w:numPr>
          <w:ilvl w:val="1"/>
          <w:numId w:val="2"/>
        </w:numPr>
        <w:spacing w:before="0" w:after="0"/>
        <w:ind w:hanging="63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Programos kūrėjas kartu su Programos dėstytoju įsipareigoja parengti ir apmokyti 26 Lektorius, dėstysiančius mokymų programą Specialistams: 13 Lektorių Sostinės regione (vienuose mokymuose dalyvaujančių asmenų ne daugiau kaip 13 vienoje grupėje) ir 13 Lektorių VVL regione (vienuose mokymuose dalyvaujančių asmenų ne daugiau kaip 13 vienoje grupėje).  Numatomi 2 mokymai (Sostinės ir VVL regionuose). </w:t>
      </w:r>
    </w:p>
    <w:p>
      <w:pPr>
        <w:pStyle w:val="ListParagraph"/>
        <w:numPr>
          <w:ilvl w:val="1"/>
          <w:numId w:val="2"/>
        </w:numPr>
        <w:spacing w:before="0" w:after="0"/>
        <w:ind w:hanging="63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Vieni mokymai Lektoriams turi vykti 4 (keturias) dienas po 8 (aštuonias) astronomines valandas per dieną nuo 08:00 iki 17:00 kontaktiniu būdu.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Sostinės regione mokymai gali vykti Vilniaus apskrityje, o VVL regione – Alytaus, Kauno, Klaipėdos, Marijampolės, Panevėžio, Šiaulių, Tauragės, Telšių ar Utenos apskrityse. Tikslios mokymų vietos derinamos su Perkančiąja organizacija ir gali priklausyti nuo įvairių veiksnių, pavyzdžiui, dalyvių gyvenamosios vietos ir jų pasiskirstymo.</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Planuojama, jog Lektoriais taps asmenys, kurie yra: psichologai (-ės), psichiatrai (-ės), socialiniai darbuotojai (-os), psichikos sveikatos slaugytojos (-ai), Visuomenės sveikatos specialistės (-ai) bei kiti.</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Programos kūrėjas kartu su Programos dėstytoju įsipareigoja pateikti mokymuose dalyvavusių Lektorių sąrašus bei Lektorių, dalyvavusių mokymuose, grįžtamojo ryšio anketų rezultatus. Lektorių sąrašų, grįžtamojo ryšio anketų formos bei rinkimo būdas suderinami su Perkančiąja organizacija prieš pradedant vykdyti mokymus, likus ne mažiau nei 10 d. d.</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Programos kūrėjas bei dėstytojas turi būti susipažinę su Tarpinstitucinės darbo grupės, sudarytos Lietuvos Respublikos  finansų ministro 2021 m. birželio 11 d. įsakymu Nr. 1K-219 „Dėl tarpinstitucinės darbo grupės sudarymo“ patvirtintu projekto dalyvių informacijos administravimo instrukcija. </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Paslaugų teikėjai, Užsakovui privalo pateikti projekto dalyvių administravimui skirtus dokumentus: Dalyvio apklausos anketą, Mokymo (-ų) dalyvių sąrašus, Pranešimus apie asmens duomenų tvarkymą. Paslaugų teikėjai dalyviams privalo pateikti pildymui su Perkančiąja organizacija suderintus Projekto dalyvių administravimo dokumentus ( Dalyvio apklausos anketa, mokymų dalyvių sąrašai ir kiti raštu suderinti dokumentai).  Paslaugos teikėjas privalo pateikti Perkančiajai organizacijai Projekto dalyvių administravimui skirtus dokumentus ne vėliau kaip 5 d.d. nuo aktualaus įvykio.</w:t>
      </w:r>
      <w:r>
        <w:rPr>
          <w:rFonts w:cs="Times New Roman" w:ascii="Times New Roman" w:hAnsi="Times New Roman"/>
          <w:i/>
          <w:iCs/>
          <w:sz w:val="24"/>
          <w:szCs w:val="24"/>
        </w:rPr>
        <w:t> </w:t>
      </w:r>
      <w:r>
        <w:rPr>
          <w:rFonts w:cs="Times New Roman" w:ascii="Times New Roman" w:hAnsi="Times New Roman"/>
          <w:sz w:val="24"/>
          <w:szCs w:val="24"/>
        </w:rPr>
        <w:t>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dėstytojas privalo užtikrinti galimybę Perkančiosios organizacijos atstovams dalyvauti mokymuose gyvai arba nuotoliniu būdu, taip pat pateikti filmuotą medžiagą arba nuotraukas iš gyvai vykusių mokymų.</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dėstytojas privalo užtikrinti mokymuose dalyvaujančių asmenų asmens duomenų apsaugą, laikydamasis galiojančių teisės aktų reikalavimų dėl asmens duomenų tvarkymo ir konfidencialumo.</w:t>
      </w:r>
    </w:p>
    <w:p>
      <w:pPr>
        <w:pStyle w:val="ListParagraph"/>
        <w:numPr>
          <w:ilvl w:val="0"/>
          <w:numId w:val="2"/>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Tiekėjas privalo užtikrinti, kad visi mokymų dalyviai yra realūs asmenys, faktiškai dalyvavę mokymuose. Draudžiama naudoti fiktyvius dalyvių duomenis, dublikatus ar asmenis, faktiškai nedalyvavusius mokymuose. Perkančioji organizacija turi teisę tikrinti dalyvių realumą ir, esant poreikiui, paprašyti dalyvių patvirtinti dalyvavimą (telefonu, el. paštu ar apklausa).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bookmarkStart w:id="1" w:name="_Hlk203124467"/>
      <w:r>
        <w:rPr>
          <w:rFonts w:eastAsia="Times New Roman" w:cs="Times New Roman" w:ascii="Times New Roman" w:hAnsi="Times New Roman"/>
          <w:sz w:val="24"/>
          <w:szCs w:val="24"/>
        </w:rPr>
        <w:t>Programų dėstytojas privalo užtikrinti, kad mokymai būtų prieinami ir tinkami asmenims su judėjimo bei kitomis negaliomis, vadovaujantis įtraukiojo ugdymo principais ir horizontaliuoju nediskriminavimo reikalavimu.</w:t>
      </w:r>
      <w:bookmarkEnd w:id="1"/>
    </w:p>
    <w:p>
      <w:pPr>
        <w:pStyle w:val="ListParagraph"/>
        <w:ind w:left="360"/>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ind w:left="48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1"/>
        <w:keepNext w:val="false"/>
        <w:keepLines w:val="false"/>
        <w:spacing w:lineRule="auto" w:line="240" w:before="0" w:after="0"/>
        <w:ind w:hanging="360" w:left="360"/>
        <w:jc w:val="center"/>
        <w:rPr>
          <w:rFonts w:ascii="Times New Roman" w:hAnsi="Times New Roman" w:eastAsia="Times New Roman" w:cs="Times New Roman"/>
          <w:b/>
          <w:bCs/>
          <w:color w:val="auto"/>
          <w:sz w:val="24"/>
          <w:szCs w:val="24"/>
        </w:rPr>
      </w:pPr>
      <w:r>
        <w:rPr>
          <w:rFonts w:eastAsia="Times New Roman" w:cs="Times New Roman" w:ascii="Times New Roman" w:hAnsi="Times New Roman"/>
          <w:b/>
          <w:bCs/>
          <w:color w:val="auto"/>
          <w:sz w:val="24"/>
          <w:szCs w:val="24"/>
        </w:rPr>
        <w:t>V. VYKDYMO TVARKA IR TERMINAI</w:t>
      </w:r>
    </w:p>
    <w:p>
      <w:pPr>
        <w:pStyle w:val="Normal"/>
        <w:spacing w:before="0" w:after="0"/>
        <w:rPr/>
      </w:pPr>
      <w:r>
        <w:rPr/>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Paslaugos suteikiamos etapais plane nurodytais terminais ir turi būti suteiktos ne vėliau kaip per žemiau nurodytus terminus (skaičiuojant nuo sutarties įsigaliojimo dienos).</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teikimo aprašymas bei laikotarpiai, kada vėliausiai jos privalo būti suteiktos:</w:t>
      </w:r>
    </w:p>
    <w:tbl>
      <w:tblPr>
        <w:tblStyle w:val="Lentelstinklelis"/>
        <w:tblW w:w="8850" w:type="dxa"/>
        <w:jc w:val="left"/>
        <w:tblInd w:w="792" w:type="dxa"/>
        <w:tblLayout w:type="fixed"/>
        <w:tblCellMar>
          <w:top w:w="0" w:type="dxa"/>
          <w:left w:w="108" w:type="dxa"/>
          <w:bottom w:w="0" w:type="dxa"/>
          <w:right w:w="108" w:type="dxa"/>
        </w:tblCellMar>
        <w:tblLook w:firstRow="1" w:noVBand="1" w:lastRow="0" w:firstColumn="1" w:lastColumn="0" w:noHBand="1" w:val="06a0"/>
      </w:tblPr>
      <w:tblGrid>
        <w:gridCol w:w="2950"/>
        <w:gridCol w:w="2950"/>
        <w:gridCol w:w="2950"/>
      </w:tblGrid>
      <w:tr>
        <w:trPr>
          <w:trHeight w:val="300" w:hRule="atLeast"/>
        </w:trPr>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Užduotis Programos kūrėjui</w:t>
            </w:r>
          </w:p>
        </w:tc>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Užduoties etapai</w:t>
            </w:r>
          </w:p>
        </w:tc>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Paslaugų suteikimo  data</w:t>
            </w:r>
          </w:p>
        </w:tc>
      </w:tr>
      <w:tr>
        <w:trPr>
          <w:trHeight w:val="300" w:hRule="atLeast"/>
        </w:trPr>
        <w:tc>
          <w:tcPr>
            <w:tcW w:w="2950" w:type="dxa"/>
            <w:vMerge w:val="restart"/>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suppressAutoHyphens w:val="true"/>
              <w:spacing w:lineRule="auto" w:line="240" w:before="0" w:after="0"/>
              <w:ind w:hanging="270" w:left="360"/>
              <w:contextualSpacing/>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Psichikos sveikatos raštingumo ir pirmosios emocinės pagalbos mokymų programos Specialistams parengimas</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right"/>
              <w:rPr>
                <w:rFonts w:ascii="Calibri" w:hAnsi="Calibri" w:eastAsia="Calibri" w:cs="Arial"/>
              </w:rPr>
            </w:pPr>
            <w:r>
              <w:rPr>
                <w:rFonts w:eastAsia="Calibri" w:cs="Arial"/>
              </w:rPr>
            </w:r>
          </w:p>
          <w:p>
            <w:pPr>
              <w:pStyle w:val="Normal"/>
              <w:widowControl/>
              <w:suppressAutoHyphens w:val="true"/>
              <w:spacing w:lineRule="auto" w:line="240" w:before="0" w:after="0"/>
              <w:jc w:val="right"/>
              <w:rPr>
                <w:rFonts w:ascii="Calibri" w:hAnsi="Calibri" w:eastAsia="Calibri" w:cs="Arial"/>
              </w:rPr>
            </w:pPr>
            <w:r>
              <w:rPr>
                <w:rFonts w:eastAsia="Calibri" w:cs="Arial"/>
              </w:rPr>
            </w:r>
          </w:p>
          <w:p>
            <w:pPr>
              <w:pStyle w:val="Normal"/>
              <w:widowControl/>
              <w:suppressAutoHyphens w:val="true"/>
              <w:spacing w:lineRule="auto" w:line="240" w:before="0" w:after="0"/>
              <w:jc w:val="right"/>
              <w:rPr>
                <w:rFonts w:ascii="Calibri" w:hAnsi="Calibri" w:eastAsia="Calibri" w:cs="Arial"/>
              </w:rPr>
            </w:pPr>
            <w:r>
              <w:rPr>
                <w:rFonts w:eastAsia="Calibri" w:cs="Arial"/>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1.1. Mokymų programos struktūra (temos bei potemės)</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Per vieną mėnesį nuo sutarties įsigaliojimo dienos</w:t>
            </w:r>
          </w:p>
        </w:tc>
      </w:tr>
      <w:tr>
        <w:trPr>
          <w:trHeight w:val="300" w:hRule="atLeast"/>
        </w:trPr>
        <w:tc>
          <w:tcPr>
            <w:tcW w:w="2950" w:type="dxa"/>
            <w:vMerge w:val="continue"/>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360"/>
              <w:contextualSpacing/>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1.2. Preliminariai paruoštos mokymų programos medžiagos pateikimas Perkančiajai organizacijai ir suderinimas su ja</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3 mėn. nuo sutarties įsigaliojimo dienos.</w:t>
            </w:r>
          </w:p>
        </w:tc>
      </w:tr>
      <w:tr>
        <w:trPr>
          <w:trHeight w:val="300" w:hRule="atLeast"/>
        </w:trPr>
        <w:tc>
          <w:tcPr>
            <w:tcW w:w="2950" w:type="dxa"/>
            <w:vMerge w:val="continue"/>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left"/>
              <w:rPr>
                <w:rFonts w:ascii="Calibri" w:hAnsi="Calibri" w:eastAsia="Calibri" w:cs="Arial"/>
              </w:rPr>
            </w:pPr>
            <w:r>
              <w:rPr>
                <w:rFonts w:eastAsia="Calibri" w:cs="Arial"/>
              </w:rPr>
            </w:r>
          </w:p>
        </w:tc>
        <w:tc>
          <w:tcPr>
            <w:tcW w:w="295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1.3. Pilotinės grupės mokymas (mokymų programos turinio korekcija pagal poreikį)</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5 mėn. nuo sutarties įsigaliojimo dienos.</w:t>
            </w:r>
          </w:p>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0" w:hRule="atLeast"/>
        </w:trPr>
        <w:tc>
          <w:tcPr>
            <w:tcW w:w="2950" w:type="dxa"/>
            <w:vMerge w:val="continue"/>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left"/>
              <w:rPr>
                <w:rFonts w:ascii="Calibri" w:hAnsi="Calibri" w:eastAsia="Calibri" w:cs="Arial"/>
              </w:rPr>
            </w:pPr>
            <w:r>
              <w:rPr>
                <w:rFonts w:eastAsia="Calibri" w:cs="Arial"/>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1.4. Informacinės medžiagos, reikalingos vizualinės medžiagos (dalyvio knygoms ir kt.) parengimui bei skaidrių, skirtų dėstyti,  paruošimas</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6 mėn. nuo sutarties įsigaliojimo dienos.</w:t>
            </w:r>
          </w:p>
        </w:tc>
      </w:tr>
      <w:tr>
        <w:trPr>
          <w:trHeight w:val="300" w:hRule="atLeast"/>
        </w:trPr>
        <w:tc>
          <w:tcPr>
            <w:tcW w:w="2950" w:type="dxa"/>
            <w:vMerge w:val="continue"/>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left"/>
              <w:rPr>
                <w:rFonts w:ascii="Calibri" w:hAnsi="Calibri" w:eastAsia="Calibri" w:cs="Arial"/>
              </w:rPr>
            </w:pPr>
            <w:r>
              <w:rPr>
                <w:rFonts w:eastAsia="Calibri" w:cs="Arial"/>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1.5. Galutinės mokymų programos metodinės medžiagos pateikimas Perkančiajai organizacijai</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ind w:left="-9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6 mėn. nuo sutarties įsigaliojimo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Lektorių parengimas ir apmokymas dėstyti psichikos sveikatos raštingumo ir pirmosios emocinės pagalbos mokymus Specialistams</w:t>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2.1. Lektorių parengimas ir apmokymas dėstyti mokymus Sostinės regione</w:t>
            </w:r>
          </w:p>
          <w:p>
            <w:pPr>
              <w:pStyle w:val="ListParagraph"/>
              <w:widowControl/>
              <w:suppressAutoHyphens w:val="true"/>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2.2. Lektorių parengimas ir apmokymas dėstyti mokymus Vidurio ir Vakarų Lietuvoje</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8 mėn. nuo sutarties įsigaliojimo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Konsultacijos dėl psichikos sveikatos raštingumo ir pirmosios emocinės pagalbos mokymų programos adaptavimo ir pritaikymo internetinei platformai</w:t>
            </w:r>
          </w:p>
        </w:tc>
        <w:tc>
          <w:tcPr>
            <w:tcW w:w="295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Pagal poreikį</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35 mėn. po sutarties įsigaliojimo dienos</w:t>
            </w:r>
          </w:p>
        </w:tc>
      </w:tr>
    </w:tbl>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Programos kūrėjas kartu su Programos dėstytoju yra atsakingas už visą mokymų medžiagos proceso valdymą ir darbų organizavimą bei savalaikį atlikimą.</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 paslaugų suteikimo, Programos kūrėjas kartu su Programos dėstytoju išrašo Perkančiajai organizacijai Priėmimo perdavimo aktą, kuriame nurodomas suteiktų paslaugų rezultatas ir šis dokumentas laikomas pagrindu sąskaitos faktūros išrašymui. Apmokėjimo tvarka ir terminai pateikiami Sutartyje.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ind w:left="36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VI SKYRIUS</w:t>
      </w:r>
    </w:p>
    <w:p>
      <w:pPr>
        <w:pStyle w:val="ListParagraph"/>
        <w:ind w:left="360"/>
        <w:jc w:val="center"/>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ListParagraph"/>
        <w:ind w:left="360"/>
        <w:jc w:val="center"/>
        <w:rPr>
          <w:rFonts w:ascii="Times New Roman" w:hAnsi="Times New Roman" w:eastAsia="Times New Roman" w:cs="Times New Roman"/>
          <w:sz w:val="24"/>
          <w:szCs w:val="24"/>
          <w:lang w:val="en-US"/>
        </w:rPr>
      </w:pPr>
      <w:r>
        <w:rPr>
          <w:rFonts w:eastAsia="Times New Roman" w:cs="Times New Roman" w:ascii="Times New Roman" w:hAnsi="Times New Roman"/>
          <w:b/>
          <w:bCs/>
          <w:sz w:val="24"/>
          <w:szCs w:val="24"/>
        </w:rPr>
        <w:t>ASMENS DUOMENŲ TVARKYMAS</w:t>
      </w:r>
    </w:p>
    <w:p>
      <w:pPr>
        <w:pStyle w:val="ListParagraph"/>
        <w:ind w:left="36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Kilus ginčams dėl viešųjų pirkimų organizavimo ar Sutarties vykdymo, Perkančioji organizacija gali tvarkyti 55-58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 </w:t>
      </w:r>
    </w:p>
    <w:p>
      <w:pPr>
        <w:pStyle w:val="ListParagraph"/>
        <w:numPr>
          <w:ilvl w:val="0"/>
          <w:numId w:val="2"/>
        </w:numPr>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Asmens duomenų pateikimas yra privalomas. Nepateikus asmens duomenų Paslaugų teikėjo pasiūlymas negalės būti vertinamas bei nebus galima sudaryti ir vykdyti Sutarties.</w:t>
      </w: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3" w:tgtFrame="_blank">
        <w:r>
          <w:rPr>
            <w:rStyle w:val="Hyperlink"/>
            <w:rFonts w:eastAsia="Times New Roman" w:cs="Times New Roman" w:ascii="Times New Roman" w:hAnsi="Times New Roman"/>
            <w:sz w:val="24"/>
            <w:szCs w:val="24"/>
          </w:rPr>
          <w:t>https://vdai.lrv.lt/</w:t>
        </w:r>
      </w:hyperlink>
      <w:r>
        <w:rPr>
          <w:rFonts w:eastAsia="Times New Roman" w:cs="Times New Roman" w:ascii="Times New Roman" w:hAnsi="Times New Roman"/>
          <w:sz w:val="24"/>
          <w:szCs w:val="24"/>
        </w:rPr>
        <w:t>.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4" w:tgtFrame="_blank">
        <w:r>
          <w:rPr>
            <w:rStyle w:val="Hyperlink"/>
            <w:rFonts w:eastAsia="Times New Roman" w:cs="Times New Roman" w:ascii="Times New Roman" w:hAnsi="Times New Roman"/>
            <w:sz w:val="24"/>
            <w:szCs w:val="24"/>
          </w:rPr>
          <w:t>institutas@hi.lt</w:t>
        </w:r>
      </w:hyperlink>
      <w:r>
        <w:rPr>
          <w:rFonts w:eastAsia="Times New Roman" w:cs="Times New Roman" w:ascii="Times New Roman" w:hAnsi="Times New Roman"/>
          <w:sz w:val="24"/>
          <w:szCs w:val="24"/>
        </w:rPr>
        <w:t xml:space="preserve"> ar jo duomenų apsaugos pareigūnui el. paštu ada.ekspertai@gmail.com.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teikėjas, prieš teikdamas pasiūlymą ir prieš sudarydamas Sutartį, nurodytus fizinius asmenis privalo supažindinti su 55-64 punktuose pateikta informacija apie Perkančiosios organizacijos vykdomą asmens duomenų tvarkymą.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993" w:leader="none"/>
          <w:tab w:val="left" w:pos="3840" w:leader="none"/>
        </w:tabs>
        <w:spacing w:lineRule="auto" w:line="240" w:before="0" w:after="0"/>
        <w:jc w:val="center"/>
        <w:rPr>
          <w:rFonts w:ascii="Times New Roman" w:hAnsi="Times New Roman" w:eastAsia="Times New Roman" w:cs="Times New Roman"/>
          <w:b/>
          <w:bCs/>
          <w:sz w:val="24"/>
          <w:szCs w:val="24"/>
        </w:rPr>
      </w:pPr>
      <w:bookmarkStart w:id="2" w:name="_Hlk169181291"/>
      <w:bookmarkStart w:id="3" w:name="_Hlk167525359"/>
      <w:bookmarkEnd w:id="2"/>
      <w:bookmarkEnd w:id="3"/>
      <w:r>
        <w:rPr>
          <w:rFonts w:eastAsia="Times New Roman" w:cs="Times New Roman" w:ascii="Times New Roman" w:hAnsi="Times New Roman"/>
          <w:b/>
          <w:bCs/>
          <w:sz w:val="24"/>
          <w:szCs w:val="24"/>
        </w:rPr>
        <w:t>VI. KITA INFORMACIJA BEI BAIGIAMOSIOS NUOSTATOS</w:t>
      </w:r>
    </w:p>
    <w:p>
      <w:pPr>
        <w:pStyle w:val="Normal"/>
        <w:tabs>
          <w:tab w:val="clear" w:pos="1296"/>
          <w:tab w:val="left" w:pos="993" w:leader="none"/>
          <w:tab w:val="left" w:pos="3840"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851" w:leader="none"/>
          <w:tab w:val="left" w:pos="993"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Atliekamas žaliasis pirkimas. Pirkimas vykdomas vadovaujantis Lietuvos Respublikos aplinkos ministro 2011 m. birželio 28 d. įsakymo Nr. D1-508 </w:t>
      </w:r>
      <w:r>
        <w:rPr>
          <w:rFonts w:cs="Times New Roman" w:ascii="Times New Roman" w:hAnsi="Times New Roman"/>
          <w:i/>
          <w:iCs/>
          <w:sz w:val="24"/>
          <w:szCs w:val="24"/>
        </w:rPr>
        <w:t>„</w:t>
      </w:r>
      <w:hyperlink r:id="rId5">
        <w:r>
          <w:rPr>
            <w:rStyle w:val="Hyperlink"/>
            <w:rFonts w:cs="Times New Roman" w:ascii="Times New Roman" w:hAnsi="Times New Roman"/>
            <w:i/>
            <w:iCs/>
            <w:color w:val="auto"/>
            <w:sz w:val="24"/>
            <w:szCs w:val="24"/>
            <w:u w:val="none"/>
          </w:rPr>
          <w:t>Dėl Aplinkos apsaugos kriterijų taikymo, vykdant žaliuosius pirkimus, tvarkos aprašo patvirtinimo</w:t>
        </w:r>
      </w:hyperlink>
      <w:r>
        <w:rPr>
          <w:rFonts w:cs="Times New Roman" w:ascii="Times New Roman" w:hAnsi="Times New Roman"/>
          <w:i/>
          <w:iCs/>
          <w:sz w:val="24"/>
          <w:szCs w:val="24"/>
        </w:rPr>
        <w:t>“</w:t>
      </w:r>
      <w:r>
        <w:rPr>
          <w:rFonts w:cs="Times New Roman" w:ascii="Times New Roman" w:hAnsi="Times New Roman"/>
          <w:sz w:val="24"/>
          <w:szCs w:val="24"/>
        </w:rPr>
        <w:t xml:space="preserve"> (toliau – Tvarkos aprašas) 4 punktu ir laikomas žaliuoju, nes atitinka 4.4.3 ir 4.4.4.1. papunkčiuose nustatytas sąlygas:</w:t>
      </w:r>
    </w:p>
    <w:p>
      <w:pPr>
        <w:pStyle w:val="ListParagraph"/>
        <w:numPr>
          <w:ilvl w:val="1"/>
          <w:numId w:val="2"/>
        </w:numPr>
        <w:tabs>
          <w:tab w:val="clear" w:pos="1296"/>
          <w:tab w:val="left" w:pos="851" w:leader="none"/>
          <w:tab w:val="left" w:pos="993"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numPr>
          <w:ilvl w:val="1"/>
          <w:numId w:val="2"/>
        </w:numPr>
        <w:tabs>
          <w:tab w:val="clear" w:pos="1296"/>
          <w:tab w:val="left" w:pos="851" w:leader="none"/>
          <w:tab w:val="left" w:pos="993"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Taikant Tvarkos aprašo 4.4.4.1. papunktį, vykdydamos Sutartį, Perkančioji organizacija ir Paslaugos teikėjas įsipareigoja mažinti popieriaus sunaudojimą, atsisakyti nebūtino dokumentų kopijavimo ir spausdinimo, todėl su Sutarties vykdymu susiję dokumentai Perkančiajai organizacijai turi būti pateikti tik elektroniniu formatu. Išimtiniais atvejais su Sutarties vykdymu susiję dokumentai turi (gali) būti pateikiami popieriniu formatu, jeigu toks formatas privalomas pagal teisės aktus arba Perkančioji organizacija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Techninėje specifikacijoje išdėstyti minimalūs Paslaugoms keliami reikalavimai.</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Programos kūrėjas gali siūlyti savo metodus, kurie užtikrintų ne prastesnės kokybės, nei nurodyta, Paslaugų organizavimą. Galutinius sprendinius reikalinga iš anksto suderinti su Perkančiąja organizacija.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both"/>
        <w:rPr>
          <w:rStyle w:val="FootnoteCharacters"/>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sectPr>
      <w:headerReference w:type="default" r:id="rId6"/>
      <w:headerReference w:type="first" r:id="rId7"/>
      <w:footerReference w:type="default" r:id="rId8"/>
      <w:footerReference w:type="first" r:id="rId9"/>
      <w:type w:val="nextPage"/>
      <w:pgSz w:w="11906" w:h="16838"/>
      <w:pgMar w:left="1701" w:right="567" w:gutter="0" w:header="567" w:top="851" w:footer="567" w:bottom="851"/>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1189354"/>
    </w:sdtPr>
    <w:sdtContent>
      <w:p>
        <w:pPr>
          <w:pStyle w:val="Header"/>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9</w:t>
        </w:r>
        <w:r>
          <w:rPr>
            <w:sz w:val="24"/>
            <w:szCs w:val="24"/>
            <w:rFonts w:cs="Times New Roman" w:ascii="Times New Roman" w:hAnsi="Times New Roman"/>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94"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360" w:hanging="360"/>
      </w:pPr>
      <w:rPr>
        <w:sz w:val="24"/>
        <w:b w:val="false"/>
        <w:szCs w:val="24"/>
        <w:bCs w:val="false"/>
        <w:color w:val="auto"/>
      </w:rPr>
    </w:lvl>
    <w:lvl w:ilvl="1">
      <w:start w:val="1"/>
      <w:numFmt w:val="decimal"/>
      <w:lvlText w:val="%1.%2."/>
      <w:lvlJc w:val="left"/>
      <w:pPr>
        <w:tabs>
          <w:tab w:val="num" w:pos="0"/>
        </w:tabs>
        <w:ind w:left="1070" w:hanging="360"/>
      </w:pPr>
      <w:rPr>
        <w:sz w:val="24"/>
        <w:b w:val="false"/>
        <w:szCs w:val="24"/>
        <w:bCs w:val="false"/>
        <w:rFonts w:ascii="Times New Roman" w:hAnsi="Times New Roman"/>
        <w:color w:val="auto"/>
      </w:rPr>
    </w:lvl>
    <w:lvl w:ilvl="2">
      <w:start w:val="1"/>
      <w:numFmt w:val="decimal"/>
      <w:lvlText w:val="%1.%2.%3."/>
      <w:lvlJc w:val="left"/>
      <w:pPr>
        <w:tabs>
          <w:tab w:val="num" w:pos="0"/>
        </w:tabs>
        <w:ind w:left="2114" w:hanging="720"/>
      </w:pPr>
      <w:rPr>
        <w:i w:val="false"/>
        <w:iCs w:val="false"/>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70f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uiPriority w:val="9"/>
    <w:qFormat/>
    <w:rsid w:val="4d543983"/>
    <w:pPr>
      <w:keepNext w:val="true"/>
      <w:keepLines/>
      <w:spacing w:before="360" w:after="80"/>
      <w:outlineLvl w:val="0"/>
    </w:pPr>
    <w:rPr>
      <w:rFonts w:ascii="Calibri Light" w:hAnsi="Calibri Light" w:eastAsia="" w:cs="" w:asciiTheme="majorHAnsi" w:cstheme="majorEastAsia" w:eastAsiaTheme="minorEastAsia" w:hAnsiTheme="majorHAnsi"/>
      <w:color w:themeColor="accent1" w:themeShade="bf" w:val="2E74B5"/>
      <w:sz w:val="40"/>
      <w:szCs w:val="4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370fa"/>
    <w:rPr>
      <w:color w:themeColor="hyperlink" w:val="0563C1"/>
      <w:u w:val="single"/>
    </w:rPr>
  </w:style>
  <w:style w:type="character" w:styleId="PoratDiagrama" w:customStyle="1">
    <w:name w:val="Poraštė Diagrama"/>
    <w:basedOn w:val="DefaultParagraphFont"/>
    <w:link w:val="Footer"/>
    <w:uiPriority w:val="99"/>
    <w:qFormat/>
    <w:rsid w:val="00a370fa"/>
    <w:rPr/>
  </w:style>
  <w:style w:type="character" w:styleId="AntratsDiagrama" w:customStyle="1">
    <w:name w:val="Antraštės Diagrama"/>
    <w:basedOn w:val="DefaultParagraphFont"/>
    <w:link w:val="Header"/>
    <w:uiPriority w:val="99"/>
    <w:qFormat/>
    <w:rsid w:val="00f05dc3"/>
    <w:rPr/>
  </w:style>
  <w:style w:type="character" w:styleId="UnresolvedMention">
    <w:name w:val="Unresolved Mention"/>
    <w:basedOn w:val="DefaultParagraphFont"/>
    <w:uiPriority w:val="99"/>
    <w:semiHidden/>
    <w:unhideWhenUsed/>
    <w:qFormat/>
    <w:rsid w:val="00074e07"/>
    <w:rPr>
      <w:color w:val="605E5C"/>
      <w:shd w:fill="E1DFDD" w:val="clear"/>
    </w:rPr>
  </w:style>
  <w:style w:type="character" w:styleId="Annotationreference">
    <w:name w:val="annotation reference"/>
    <w:basedOn w:val="DefaultParagraphFont"/>
    <w:uiPriority w:val="99"/>
    <w:semiHidden/>
    <w:unhideWhenUsed/>
    <w:qFormat/>
    <w:rsid w:val="004e14ce"/>
    <w:rPr>
      <w:sz w:val="16"/>
      <w:szCs w:val="16"/>
    </w:rPr>
  </w:style>
  <w:style w:type="character" w:styleId="KomentarotekstasDiagrama" w:customStyle="1">
    <w:name w:val="Komentaro tekstas Diagrama"/>
    <w:basedOn w:val="DefaultParagraphFont"/>
    <w:link w:val="Annotationtext"/>
    <w:uiPriority w:val="99"/>
    <w:qFormat/>
    <w:rsid w:val="004e14ce"/>
    <w:rPr>
      <w:sz w:val="20"/>
      <w:szCs w:val="20"/>
    </w:rPr>
  </w:style>
  <w:style w:type="character" w:styleId="KomentarotemaDiagrama" w:customStyle="1">
    <w:name w:val="Komentaro tema Diagrama"/>
    <w:basedOn w:val="KomentarotekstasDiagrama"/>
    <w:link w:val="Annotationsubject"/>
    <w:uiPriority w:val="99"/>
    <w:semiHidden/>
    <w:qFormat/>
    <w:rsid w:val="004e14ce"/>
    <w:rPr>
      <w:b/>
      <w:bCs/>
      <w:sz w:val="20"/>
      <w:szCs w:val="20"/>
    </w:rPr>
  </w:style>
  <w:style w:type="character" w:styleId="FootnoteCharacters" w:customStyle="1">
    <w:name w:val="Footnote Characters"/>
    <w:uiPriority w:val="99"/>
    <w:semiHidden/>
    <w:unhideWhenUsed/>
    <w:qFormat/>
    <w:rsid w:val="7e40a129"/>
    <w:rPr>
      <w:vertAlign w:val="superscript"/>
    </w:rPr>
  </w:style>
  <w:style w:type="character" w:styleId="FootnoteReference">
    <w:name w:val="Footnote Reference"/>
    <w:rPr>
      <w:vertAlign w:val="superscript"/>
    </w:rPr>
  </w:style>
  <w:style w:type="character" w:styleId="Cf01" w:customStyle="1">
    <w:name w:val="cf01"/>
    <w:basedOn w:val="DefaultParagraphFont"/>
    <w:qFormat/>
    <w:rsid w:val="00b61b38"/>
    <w:rPr>
      <w:rFonts w:ascii="Segoe UI" w:hAnsi="Segoe UI" w:cs="Segoe UI"/>
      <w:sz w:val="18"/>
      <w:szCs w:val="18"/>
    </w:rPr>
  </w:style>
  <w:style w:type="character" w:styleId="SraopastraipaDiagrama" w:customStyle="1">
    <w:name w:val="Sąrašo pastraipa Diagrama"/>
    <w:basedOn w:val="DefaultParagraphFont"/>
    <w:link w:val="ListParagraph"/>
    <w:uiPriority w:val="34"/>
    <w:qFormat/>
    <w:locked/>
    <w:rsid w:val="003823bf"/>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ListParagraph">
    <w:name w:val="List Paragraph"/>
    <w:basedOn w:val="Normal"/>
    <w:link w:val="SraopastraipaDiagrama"/>
    <w:uiPriority w:val="34"/>
    <w:qFormat/>
    <w:rsid w:val="00a370fa"/>
    <w:pPr>
      <w:spacing w:before="0" w:after="160"/>
      <w:ind w:left="720"/>
      <w:contextualSpacing/>
    </w:pPr>
    <w:rPr/>
  </w:style>
  <w:style w:type="paragraph" w:styleId="NormalWeb">
    <w:name w:val="Normal (Web)"/>
    <w:basedOn w:val="Normal"/>
    <w:uiPriority w:val="99"/>
    <w:unhideWhenUsed/>
    <w:qFormat/>
    <w:rsid w:val="00a370fa"/>
    <w:pPr>
      <w:spacing w:lineRule="auto" w:line="240" w:beforeAutospacing="1" w:afterAutospacing="1"/>
    </w:pPr>
    <w:rPr>
      <w:rFonts w:ascii="Times New Roman" w:hAnsi="Times New Roman" w:eastAsia="Times New Roman" w:cs="Times New Roman"/>
      <w:sz w:val="24"/>
      <w:szCs w:val="24"/>
      <w:lang w:eastAsia="lt-LT"/>
    </w:rPr>
  </w:style>
  <w:style w:type="paragraph" w:styleId="HeaderandFooter" w:customStyle="1">
    <w:name w:val="Header and Footer"/>
    <w:basedOn w:val="Normal"/>
    <w:qFormat/>
    <w:pPr/>
    <w:rPr/>
  </w:style>
  <w:style w:type="paragraph" w:styleId="Footer">
    <w:name w:val="Footer"/>
    <w:basedOn w:val="Normal"/>
    <w:link w:val="PoratDiagrama"/>
    <w:uiPriority w:val="99"/>
    <w:unhideWhenUsed/>
    <w:rsid w:val="00a370fa"/>
    <w:pPr>
      <w:tabs>
        <w:tab w:val="clear" w:pos="1296"/>
        <w:tab w:val="center" w:pos="4513" w:leader="none"/>
        <w:tab w:val="right" w:pos="9026" w:leader="none"/>
      </w:tabs>
      <w:spacing w:lineRule="auto" w:line="240" w:before="0" w:after="0"/>
    </w:pPr>
    <w:rPr/>
  </w:style>
  <w:style w:type="paragraph" w:styleId="Header">
    <w:name w:val="Header"/>
    <w:basedOn w:val="Normal"/>
    <w:link w:val="AntratsDiagrama"/>
    <w:uiPriority w:val="99"/>
    <w:unhideWhenUsed/>
    <w:rsid w:val="00f05dc3"/>
    <w:pPr>
      <w:tabs>
        <w:tab w:val="clear" w:pos="1296"/>
        <w:tab w:val="center" w:pos="4819" w:leader="none"/>
        <w:tab w:val="right" w:pos="9638" w:leader="none"/>
      </w:tabs>
      <w:spacing w:lineRule="auto" w:line="240" w:before="0" w:after="0"/>
    </w:pPr>
    <w:rPr/>
  </w:style>
  <w:style w:type="paragraph" w:styleId="Annotationtext">
    <w:name w:val="annotation text"/>
    <w:basedOn w:val="Normal"/>
    <w:link w:val="KomentarotekstasDiagrama"/>
    <w:uiPriority w:val="99"/>
    <w:unhideWhenUsed/>
    <w:qFormat/>
    <w:rsid w:val="004e14ce"/>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4e14ce"/>
    <w:pPr/>
    <w:rPr>
      <w:b/>
      <w:bCs/>
    </w:rPr>
  </w:style>
  <w:style w:type="paragraph" w:styleId="Revision">
    <w:name w:val="Revision"/>
    <w:uiPriority w:val="99"/>
    <w:semiHidden/>
    <w:qFormat/>
    <w:rsid w:val="004e14c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FootnoteText">
    <w:name w:val="Footnote Text"/>
    <w:basedOn w:val="Normal"/>
    <w:uiPriority w:val="99"/>
    <w:semiHidden/>
    <w:unhideWhenUsed/>
    <w:rsid w:val="7e40a129"/>
    <w:pPr>
      <w:spacing w:lineRule="auto" w:line="240" w:before="0" w:after="0"/>
    </w:pPr>
    <w:rPr>
      <w:sz w:val="20"/>
      <w:szCs w:val="20"/>
    </w:rPr>
  </w:style>
  <w:style w:type="paragraph" w:styleId="Pf0" w:customStyle="1">
    <w:name w:val="pf0"/>
    <w:basedOn w:val="Normal"/>
    <w:qFormat/>
    <w:rsid w:val="00b61b38"/>
    <w:pPr>
      <w:spacing w:lineRule="auto" w:line="240" w:beforeAutospacing="1" w:afterAutospacing="1"/>
    </w:pPr>
    <w:rPr>
      <w:rFonts w:ascii="Times New Roman" w:hAnsi="Times New Roman" w:eastAsia="Times New Roman" w:cs="Times New Roman"/>
      <w:sz w:val="24"/>
      <w:szCs w:val="24"/>
      <w:lang w:val="en-U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titutas@hi.lt" TargetMode="External"/><Relationship Id="rId3" Type="http://schemas.openxmlformats.org/officeDocument/2006/relationships/hyperlink" Target="https://vdai.lrv.lt/" TargetMode="External"/><Relationship Id="rId4" Type="http://schemas.openxmlformats.org/officeDocument/2006/relationships/hyperlink" Target="mailto:institutas@hi.lt" TargetMode="External"/><Relationship Id="rId5" Type="http://schemas.openxmlformats.org/officeDocument/2006/relationships/hyperlink" Target="https://www.e-tar.lt/portal/lt/legalAct/TAR.4B60A8C9678B/as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7" ma:contentTypeDescription="Create a new document." ma:contentTypeScope="" ma:versionID="dba4570717e85634e18de29015c655c2">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4156d9b983c3800b480dae7306452974"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element ref="ns4:_x0031_pusme_x010d_iofinansin_x0117_sataskait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1_pusme_x010d_iofinansin_x0117_sataskaitos" ma:index="27" nillable="true" ma:displayName="1 pusmečio finansinės ataskaitos" ma:format="Dropdown" ma:internalName="_x0031_pusme_x010d_iofinansin_x0117_sataskaito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7ed64-432f-4597-91d7-8ecdfaa554c1">
      <Terms xmlns="http://schemas.microsoft.com/office/infopath/2007/PartnerControls"/>
    </lcf76f155ced4ddcb4097134ff3c332f>
    <s_x0105_skaitosiraktaisuRa_x0161_ele xmlns="34a7ed64-432f-4597-91d7-8ecdfaa554c1" xsi:nil="true"/>
    <TaxCatchAll xmlns="6278c960-4695-481e-a734-54ce7c355f41" xsi:nil="true"/>
    <_x0031_pusme_x010d_iofinansin_x0117_sataskaitos xmlns="34a7ed64-432f-4597-91d7-8ecdfaa554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E97CF-B076-4521-9466-42A0E8F0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A6D0C-E479-463B-B7CE-8C1C65BD5E74}">
  <ds:schemaRefs>
    <ds:schemaRef ds:uri="http://schemas.openxmlformats.org/officeDocument/2006/bibliography"/>
  </ds:schemaRefs>
</ds:datastoreItem>
</file>

<file path=customXml/itemProps3.xml><?xml version="1.0" encoding="utf-8"?>
<ds:datastoreItem xmlns:ds="http://schemas.openxmlformats.org/officeDocument/2006/customXml" ds:itemID="{83A1E879-389E-43BA-86D7-7B52083805C5}">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customXml/itemProps4.xml><?xml version="1.0" encoding="utf-8"?>
<ds:datastoreItem xmlns:ds="http://schemas.openxmlformats.org/officeDocument/2006/customXml" ds:itemID="{FD4731F7-4845-4812-85D8-15BD795EE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LibreOffice/7.6.4.1$Windows_X86_64 LibreOffice_project/e19e193f88cd6c0525a17fb7a176ed8e6a3e2aa1</Application>
  <AppVersion>15.0000</AppVersion>
  <Pages>7</Pages>
  <Words>3913</Words>
  <Characters>28200</Characters>
  <CharactersWithSpaces>32000</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2025-06-02T11:14:00Z</dcterms:created>
  <dc:creator>Aida Stakutienė</dc:creator>
  <dc:description/>
  <dc:language>en-US</dc:language>
  <cp:lastModifiedBy>Lina Chmieliauskienė</cp:lastModifiedBy>
  <dcterms:modified xsi:type="dcterms:W3CDTF">2025-07-17T11:26:00Z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