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4A4B14" w:rsidRDefault="001E17C2">
      <w:pPr>
        <w:textAlignment w:val="baseline"/>
        <w:rPr>
          <w:sz w:val="18"/>
          <w:szCs w:val="18"/>
          <w:lang w:val="en-US"/>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BD4DD8" w:rsidP="00BD4DD8">
            <w:pPr>
              <w:jc w:val="both"/>
              <w:rPr>
                <w:rFonts w:ascii="Cambria" w:hAnsi="Cambria"/>
                <w:kern w:val="2"/>
                <w:sz w:val="22"/>
                <w:szCs w:val="22"/>
              </w:rPr>
            </w:pPr>
            <w:proofErr w:type="spellStart"/>
            <w:r>
              <w:rPr>
                <w:rFonts w:ascii="Cambria" w:hAnsi="Cambria"/>
                <w:kern w:val="2"/>
                <w:sz w:val="22"/>
                <w:szCs w:val="22"/>
              </w:rPr>
              <w:t>Peritoninės</w:t>
            </w:r>
            <w:proofErr w:type="spellEnd"/>
            <w:r>
              <w:rPr>
                <w:rFonts w:ascii="Cambria" w:hAnsi="Cambria"/>
                <w:kern w:val="2"/>
                <w:sz w:val="22"/>
                <w:szCs w:val="22"/>
              </w:rPr>
              <w:t xml:space="preserve"> dializės kateteriai</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Default="00C44E26" w:rsidP="00C44E26">
            <w:pPr>
              <w:rPr>
                <w:rFonts w:ascii="Cambria" w:hAnsi="Cambria"/>
                <w:kern w:val="2"/>
                <w:sz w:val="22"/>
                <w:szCs w:val="22"/>
              </w:rPr>
            </w:pPr>
            <w:r w:rsidRPr="00D85E3E">
              <w:rPr>
                <w:rFonts w:ascii="Cambria" w:hAnsi="Cambria"/>
                <w:kern w:val="2"/>
                <w:sz w:val="22"/>
                <w:szCs w:val="22"/>
              </w:rPr>
              <w:t xml:space="preserve">Generalinis direktorius </w:t>
            </w:r>
          </w:p>
          <w:p w:rsidR="00C44E26" w:rsidRPr="00A90257" w:rsidRDefault="00C44E26" w:rsidP="00C44E26">
            <w:pPr>
              <w:jc w:val="center"/>
              <w:rPr>
                <w:rFonts w:ascii="Cambria" w:hAnsi="Cambria"/>
                <w:kern w:val="2"/>
                <w:sz w:val="22"/>
                <w:szCs w:val="22"/>
              </w:rPr>
            </w:pPr>
            <w:r w:rsidRPr="00D85E3E">
              <w:rPr>
                <w:rFonts w:ascii="Cambria" w:hAnsi="Cambria"/>
                <w:kern w:val="2"/>
                <w:sz w:val="22"/>
                <w:szCs w:val="22"/>
              </w:rPr>
              <w:t>prof. habil. dr. Renaldas Jurkevičius</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Įstatų pagrindas</w:t>
            </w: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proofErr w:type="spellStart"/>
            <w:r w:rsidR="00BD4DD8">
              <w:rPr>
                <w:rFonts w:ascii="Cambria" w:hAnsi="Cambria"/>
                <w:kern w:val="2"/>
                <w:sz w:val="22"/>
                <w:szCs w:val="22"/>
              </w:rPr>
              <w:t>peritoninės</w:t>
            </w:r>
            <w:proofErr w:type="spellEnd"/>
            <w:r w:rsidR="00BD4DD8">
              <w:rPr>
                <w:rFonts w:ascii="Cambria" w:hAnsi="Cambria"/>
                <w:kern w:val="2"/>
                <w:sz w:val="22"/>
                <w:szCs w:val="22"/>
              </w:rPr>
              <w:t xml:space="preserve"> dializės kateterius</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BD4DD8" w:rsidP="00BD4DD8">
            <w:pPr>
              <w:rPr>
                <w:rFonts w:ascii="Cambria" w:hAnsi="Cambria"/>
                <w:kern w:val="2"/>
                <w:sz w:val="22"/>
                <w:szCs w:val="22"/>
              </w:rPr>
            </w:pPr>
            <w:proofErr w:type="spellStart"/>
            <w:r>
              <w:rPr>
                <w:rFonts w:ascii="Cambria" w:hAnsi="Cambria"/>
                <w:kern w:val="2"/>
                <w:sz w:val="22"/>
                <w:szCs w:val="22"/>
              </w:rPr>
              <w:t>Peritoninės</w:t>
            </w:r>
            <w:proofErr w:type="spellEnd"/>
            <w:r>
              <w:rPr>
                <w:rFonts w:ascii="Cambria" w:hAnsi="Cambria"/>
                <w:kern w:val="2"/>
                <w:sz w:val="22"/>
                <w:szCs w:val="22"/>
              </w:rPr>
              <w:t xml:space="preserve"> dializės kateteriai</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BD4DD8">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w:t>
            </w:r>
            <w:r w:rsidR="00BD4DD8">
              <w:rPr>
                <w:rFonts w:ascii="Cambria" w:hAnsi="Cambria"/>
                <w:b/>
                <w:kern w:val="2"/>
                <w:sz w:val="22"/>
                <w:szCs w:val="22"/>
              </w:rPr>
              <w:t>5</w:t>
            </w:r>
            <w:r w:rsidR="00CC2C4A" w:rsidRPr="00A90257">
              <w:rPr>
                <w:rFonts w:ascii="Cambria" w:hAnsi="Cambria"/>
                <w:b/>
                <w:kern w:val="2"/>
                <w:sz w:val="22"/>
                <w:szCs w:val="22"/>
              </w:rPr>
              <w:t xml:space="preserve"> (</w:t>
            </w:r>
            <w:r w:rsidR="00BD4DD8">
              <w:rPr>
                <w:rFonts w:ascii="Cambria" w:hAnsi="Cambria"/>
                <w:b/>
                <w:kern w:val="2"/>
                <w:sz w:val="22"/>
                <w:szCs w:val="22"/>
              </w:rPr>
              <w:t>penkiolika</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5E4F1B">
              <w:rPr>
                <w:rFonts w:ascii="Cambria" w:hAnsi="Cambria"/>
                <w:kern w:val="2"/>
                <w:sz w:val="22"/>
                <w:szCs w:val="22"/>
              </w:rPr>
              <w:t xml:space="preserve">(i) </w:t>
            </w:r>
            <w:r w:rsidR="007D5FB8" w:rsidRPr="007D5FB8">
              <w:rPr>
                <w:rFonts w:ascii="Cambria" w:hAnsi="Cambria"/>
                <w:sz w:val="22"/>
                <w:szCs w:val="22"/>
                <w:shd w:val="clear" w:color="auto" w:fill="FFFFFF"/>
              </w:rPr>
              <w:t>Sąskaita, kuri bus laikoma Prekių perdavimo-priėmimo aktu</w:t>
            </w:r>
            <w:r w:rsidR="005E4F1B">
              <w:rPr>
                <w:rFonts w:ascii="Cambria" w:hAnsi="Cambria"/>
                <w:sz w:val="22"/>
                <w:szCs w:val="22"/>
                <w:shd w:val="clear" w:color="auto" w:fill="FFFFFF"/>
              </w:rPr>
              <w:t>; (ii) Pirkėjui pareikalavus, galio</w:t>
            </w:r>
            <w:r w:rsidR="00994AA0">
              <w:rPr>
                <w:rFonts w:ascii="Cambria" w:hAnsi="Cambria"/>
                <w:sz w:val="22"/>
                <w:szCs w:val="22"/>
                <w:shd w:val="clear" w:color="auto" w:fill="FFFFFF"/>
              </w:rPr>
              <w:t>jančio dokumento, liudijančio Prekių žymėjimą CE ženklu, kopijos</w:t>
            </w:r>
            <w:r w:rsidR="00CB24D9">
              <w:rPr>
                <w:rFonts w:ascii="Cambria" w:hAnsi="Cambria"/>
                <w:sz w:val="22"/>
                <w:szCs w:val="22"/>
                <w:shd w:val="clear" w:color="auto" w:fill="FFFFFF"/>
              </w:rPr>
              <w:t>.</w:t>
            </w:r>
            <w:r w:rsidR="00994AA0">
              <w:rPr>
                <w:rFonts w:ascii="Cambria" w:hAnsi="Cambria"/>
                <w:sz w:val="22"/>
                <w:szCs w:val="22"/>
                <w:shd w:val="clear" w:color="auto" w:fill="FFFFFF"/>
              </w:rPr>
              <w:t xml:space="preserve"> </w:t>
            </w:r>
          </w:p>
          <w:p w:rsidR="001E17C2" w:rsidRPr="00A90257" w:rsidRDefault="00F102D8" w:rsidP="004A4B14">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w:t>
            </w:r>
            <w:r w:rsidR="004A4B14">
              <w:rPr>
                <w:rFonts w:ascii="Cambria" w:hAnsi="Cambria"/>
                <w:kern w:val="2"/>
                <w:sz w:val="22"/>
                <w:szCs w:val="22"/>
              </w:rPr>
              <w:t>ų</w:t>
            </w:r>
            <w:r w:rsidRPr="00A90257">
              <w:rPr>
                <w:rFonts w:ascii="Cambria" w:hAnsi="Cambria"/>
                <w:kern w:val="2"/>
                <w:sz w:val="22"/>
                <w:szCs w:val="22"/>
              </w:rPr>
              <w:t xml:space="preserve"> dokument</w:t>
            </w:r>
            <w:r w:rsidR="004A4B14">
              <w:rPr>
                <w:rFonts w:ascii="Cambria" w:hAnsi="Cambria"/>
                <w:kern w:val="2"/>
                <w:sz w:val="22"/>
                <w:szCs w:val="22"/>
              </w:rPr>
              <w:t>ų</w:t>
            </w:r>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w:t>
            </w:r>
            <w:r w:rsidRPr="00A90257">
              <w:rPr>
                <w:rFonts w:ascii="Cambria" w:hAnsi="Cambria"/>
                <w:b/>
                <w:bCs/>
                <w:kern w:val="2"/>
                <w:sz w:val="22"/>
                <w:szCs w:val="22"/>
              </w:rPr>
              <w:lastRenderedPageBreak/>
              <w:t xml:space="preserve">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BB52B5"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D248CC">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D248CC">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w:t>
            </w:r>
            <w:r w:rsidR="00D248CC">
              <w:rPr>
                <w:rFonts w:ascii="Cambria" w:hAnsi="Cambria"/>
                <w:color w:val="000000"/>
                <w:kern w:val="2"/>
                <w:sz w:val="22"/>
                <w:szCs w:val="22"/>
              </w:rPr>
              <w:t>idešimt keturi</w:t>
            </w:r>
            <w:r w:rsidR="0021339F" w:rsidRPr="00A90257">
              <w:rPr>
                <w:rFonts w:ascii="Cambria" w:hAnsi="Cambria"/>
                <w:color w:val="000000"/>
                <w:kern w:val="2"/>
                <w:sz w:val="22"/>
                <w:szCs w:val="22"/>
              </w:rPr>
              <w:t>) mėnesi</w:t>
            </w:r>
            <w:r w:rsidR="00D248CC">
              <w:rPr>
                <w:rFonts w:ascii="Cambria" w:hAnsi="Cambria"/>
                <w:color w:val="000000"/>
                <w:kern w:val="2"/>
                <w:sz w:val="22"/>
                <w:szCs w:val="22"/>
              </w:rPr>
              <w:t>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A539FF" w:rsidP="00D248CC">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r w:rsidR="00D248CC">
              <w:rPr>
                <w:rFonts w:ascii="Cambria" w:hAnsi="Cambria"/>
                <w:kern w:val="2"/>
                <w:sz w:val="22"/>
                <w:szCs w:val="22"/>
              </w:rPr>
              <w:t xml:space="preserve"> </w:t>
            </w: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Default="0012673C" w:rsidP="0012673C">
      <w:pPr>
        <w:tabs>
          <w:tab w:val="left" w:pos="4080"/>
        </w:tabs>
        <w:jc w:val="center"/>
        <w:rPr>
          <w:rFonts w:ascii="Cambria" w:hAnsi="Cambria"/>
          <w:b/>
          <w:sz w:val="22"/>
          <w:szCs w:val="22"/>
        </w:rPr>
      </w:pPr>
      <w:r w:rsidRPr="006B6FFF">
        <w:rPr>
          <w:rFonts w:ascii="Cambria" w:hAnsi="Cambria"/>
          <w:b/>
          <w:sz w:val="22"/>
          <w:szCs w:val="22"/>
        </w:rPr>
        <w:t>TECHNINĖ SPECIFIKACIJA</w:t>
      </w: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r>
      <w:r>
        <w:rPr>
          <w:rFonts w:ascii="Cambria" w:hAnsi="Cambria"/>
          <w:sz w:val="22"/>
          <w:szCs w:val="22"/>
        </w:rPr>
        <w:t>2</w:t>
      </w:r>
      <w:r w:rsidRPr="006B6FFF">
        <w:rPr>
          <w:rFonts w:ascii="Cambria" w:hAnsi="Cambria"/>
          <w:sz w:val="22"/>
          <w:szCs w:val="22"/>
        </w:rPr>
        <w:t xml:space="preserve">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tabs>
          <w:tab w:val="left" w:pos="4080"/>
        </w:tabs>
        <w:jc w:val="center"/>
        <w:rPr>
          <w:rFonts w:ascii="Cambria" w:hAnsi="Cambria"/>
          <w:sz w:val="22"/>
          <w:szCs w:val="22"/>
        </w:rPr>
      </w:pPr>
      <w:r>
        <w:rPr>
          <w:rFonts w:ascii="Cambria" w:hAnsi="Cambria"/>
          <w:b/>
          <w:sz w:val="22"/>
          <w:szCs w:val="22"/>
        </w:rPr>
        <w:t>PREKIŲ ŽINIARAŠTIS</w:t>
      </w:r>
      <w:bookmarkStart w:id="0" w:name="_GoBack"/>
      <w:bookmarkEnd w:id="0"/>
    </w:p>
    <w:p w:rsidR="0012673C" w:rsidRDefault="0012673C" w:rsidP="0012673C">
      <w:pPr>
        <w:tabs>
          <w:tab w:val="left" w:pos="9072"/>
          <w:tab w:val="left" w:pos="9214"/>
        </w:tabs>
        <w:ind w:right="49"/>
        <w:jc w:val="right"/>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Pr="00A90257" w:rsidRDefault="0012673C">
      <w:pPr>
        <w:jc w:val="center"/>
        <w:rPr>
          <w:rFonts w:ascii="Cambria" w:hAnsi="Cambria"/>
          <w:szCs w:val="24"/>
        </w:rPr>
      </w:pPr>
    </w:p>
    <w:sectPr w:rsidR="0012673C"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2B5" w:rsidRDefault="00BB52B5">
      <w:r>
        <w:separator/>
      </w:r>
    </w:p>
  </w:endnote>
  <w:endnote w:type="continuationSeparator" w:id="0">
    <w:p w:rsidR="00BB52B5" w:rsidRDefault="00BB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2B5" w:rsidRDefault="00BB52B5">
      <w:r>
        <w:separator/>
      </w:r>
    </w:p>
  </w:footnote>
  <w:footnote w:type="continuationSeparator" w:id="0">
    <w:p w:rsidR="00BB52B5" w:rsidRDefault="00BB5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673C"/>
    <w:rsid w:val="0012736B"/>
    <w:rsid w:val="001459DA"/>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6A55"/>
    <w:rsid w:val="003A2759"/>
    <w:rsid w:val="003C5D14"/>
    <w:rsid w:val="00453B93"/>
    <w:rsid w:val="00455C0B"/>
    <w:rsid w:val="004967BE"/>
    <w:rsid w:val="004A4B14"/>
    <w:rsid w:val="004C767F"/>
    <w:rsid w:val="004F5924"/>
    <w:rsid w:val="00505881"/>
    <w:rsid w:val="00533AF3"/>
    <w:rsid w:val="005454F2"/>
    <w:rsid w:val="00551715"/>
    <w:rsid w:val="005557A2"/>
    <w:rsid w:val="00561B61"/>
    <w:rsid w:val="0056707B"/>
    <w:rsid w:val="00577C2F"/>
    <w:rsid w:val="005800AA"/>
    <w:rsid w:val="00583E49"/>
    <w:rsid w:val="005D1D96"/>
    <w:rsid w:val="005E4F1B"/>
    <w:rsid w:val="0063169D"/>
    <w:rsid w:val="00656E17"/>
    <w:rsid w:val="00672859"/>
    <w:rsid w:val="0069104D"/>
    <w:rsid w:val="006E343D"/>
    <w:rsid w:val="006E4843"/>
    <w:rsid w:val="00715859"/>
    <w:rsid w:val="00746631"/>
    <w:rsid w:val="0075637B"/>
    <w:rsid w:val="00782C33"/>
    <w:rsid w:val="00784F5D"/>
    <w:rsid w:val="007A2AE3"/>
    <w:rsid w:val="007B514F"/>
    <w:rsid w:val="007D5FB8"/>
    <w:rsid w:val="007E4916"/>
    <w:rsid w:val="007E7DC5"/>
    <w:rsid w:val="007F0D31"/>
    <w:rsid w:val="00800F31"/>
    <w:rsid w:val="00851242"/>
    <w:rsid w:val="00897B45"/>
    <w:rsid w:val="008C09A7"/>
    <w:rsid w:val="00915729"/>
    <w:rsid w:val="00916B0A"/>
    <w:rsid w:val="00974D89"/>
    <w:rsid w:val="00987201"/>
    <w:rsid w:val="00994AA0"/>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BB52B5"/>
    <w:rsid w:val="00BD4DD8"/>
    <w:rsid w:val="00C0628B"/>
    <w:rsid w:val="00C44E26"/>
    <w:rsid w:val="00C732C6"/>
    <w:rsid w:val="00C919CA"/>
    <w:rsid w:val="00C92815"/>
    <w:rsid w:val="00CB075D"/>
    <w:rsid w:val="00CB24D9"/>
    <w:rsid w:val="00CC2C4A"/>
    <w:rsid w:val="00CF5F8E"/>
    <w:rsid w:val="00D036BB"/>
    <w:rsid w:val="00D248CC"/>
    <w:rsid w:val="00D41144"/>
    <w:rsid w:val="00D61B73"/>
    <w:rsid w:val="00D67419"/>
    <w:rsid w:val="00D70821"/>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11394</Words>
  <Characters>6496</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4</cp:revision>
  <cp:lastPrinted>2025-05-28T06:43:00Z</cp:lastPrinted>
  <dcterms:created xsi:type="dcterms:W3CDTF">2025-08-07T15:27:00Z</dcterms:created>
  <dcterms:modified xsi:type="dcterms:W3CDTF">2025-08-07T16:41:00Z</dcterms:modified>
</cp:coreProperties>
</file>