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游ゴシック Light" w:cs="Times New Roman" w:eastAsiaTheme="majorEastAsia"/>
                    <w:color w:themeColor="accent1" w:val="4472C4"/>
                    <w:sz w:val="88"/>
                    <w:szCs w:val="88"/>
                    <w:lang w:val="lt-LT"/>
                  </w:rPr>
                </w:pPr>
                <w:sdt>
                  <w:sdtPr>
                    <w:id w:val="13406919"/>
                    <w:dataBinding w:prefixMappings="xmlns:ns0='http://schemas.openxmlformats.org/package/2006/metadata/core-properties' xmlns:ns1='http://purl.org/dc/elements/1.1/'" w:xpath="/ns0:coreProperties[1]/ns1:title[1]" w:storeItemID="{6C3C8BC8-F283-45AE-878A-BAB7291924A1}"/>
                    <w:placeholder>
                      <w:docPart w:val="4BC55A80B30B45CCB89723455B45E645"/>
                    </w:placeholder>
                    <w:alias w:val="Title"/>
                    <w:text/>
                  </w:sdtPr>
                  <w:sdtContent>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id w:val="13406923"/>
                    <w:dataBinding w:prefixMappings="xmlns:ns0='http://schemas.openxmlformats.org/package/2006/metadata/core-properties' xmlns:ns1='http://purl.org/dc/elements/1.1/'" w:xpath="/ns0:coreProperties[1]/ns1:subject[1]" w:storeItemID="{6C3C8BC8-F283-45AE-878A-BAB7291924A1}"/>
                    <w:placeholder>
                      <w:docPart w:val="16A92E1E7DF54A09B98F3F4484B265FB"/>
                    </w:placeholder>
                    <w:alias w:val="Subtitle"/>
                    <w:text/>
                  </w:sdtPr>
                  <w:sdtContent>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r>
            <w:fldChar w:fldCharType="begin"/>
          </w:r>
          <w:r>
            <w:rPr>
              <w:webHidden/>
              <w:rStyle w:val="IndexLink"/>
              <w:sz w:val="22"/>
              <w:b w:val="false"/>
              <w:szCs w:val="22"/>
              <w:bCs w:val="false"/>
              <w:rFonts w:cs="Times New Roman" w:ascii="Times New Roman" w:hAnsi="Times New Roman"/>
            </w:rPr>
            <w:instrText xml:space="preserve"> TOC \z \o "1-3" \u \h</w:instrText>
          </w:r>
          <w:r>
            <w:rPr>
              <w:webHidden/>
              <w:rStyle w:val="IndexLink"/>
              <w:sz w:val="22"/>
              <w:b w:val="false"/>
              <w:szCs w:val="22"/>
              <w:bCs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sz w:val="22"/>
                <w:szCs w:val="22"/>
              </w:rPr>
              <w:t>1.</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Sąvokos ir sutrumpinimai</w:t>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sz w:val="22"/>
                <w:szCs w:val="22"/>
              </w:rPr>
              <w:t>2.</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Bendrosios nuostatos</w:t>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sz w:val="22"/>
                <w:szCs w:val="22"/>
              </w:rPr>
              <w:t>3.</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objektas</w:t>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sz w:val="22"/>
                <w:szCs w:val="22"/>
              </w:rPr>
              <w:t>4.</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sz w:val="22"/>
                <w:szCs w:val="22"/>
              </w:rPr>
              <w:t>5.</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sz w:val="22"/>
                <w:szCs w:val="22"/>
              </w:rPr>
              <w:t>6.</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pašalinimo pagrindai</w:t>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sz w:val="22"/>
                <w:szCs w:val="22"/>
              </w:rPr>
              <w:t>7.</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sz w:val="22"/>
                <w:szCs w:val="22"/>
              </w:rPr>
              <w:t>8.</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Rezervuota teisė dalyvauti pirkime</w:t>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sz w:val="22"/>
                <w:szCs w:val="22"/>
              </w:rPr>
              <w:t>9.</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vanish w:val="false"/>
                <w:sz w:val="22"/>
                <w:szCs w:val="22"/>
              </w:rPr>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sz w:val="22"/>
                <w:szCs w:val="22"/>
              </w:rPr>
              <w:t>10.</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sz w:val="22"/>
                <w:szCs w:val="22"/>
              </w:rPr>
              <w:t>11.</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Subtiekėjų pasitelkimas</w:t>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sz w:val="22"/>
                <w:szCs w:val="22"/>
              </w:rPr>
              <w:t>12.</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grupės dalyvavimas</w:t>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sz w:val="22"/>
                <w:szCs w:val="22"/>
              </w:rPr>
              <w:t>13.</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1">
            <w:r>
              <w:rPr>
                <w:webHidden/>
                <w:rStyle w:val="IndexLink"/>
                <w:rFonts w:cs="Times New Roman" w:ascii="Times New Roman" w:hAnsi="Times New Roman"/>
                <w:b w:val="false"/>
                <w:bCs w:val="false"/>
                <w:sz w:val="22"/>
                <w:szCs w:val="22"/>
              </w:rPr>
              <w:t>14.    Pasiūlymų šifravimas</w:t>
            </w:r>
            <w:r>
              <w:rPr>
                <w:webHidden/>
              </w:rPr>
              <w:fldChar w:fldCharType="begin"/>
            </w:r>
            <w:r>
              <w:rPr>
                <w:webHidden/>
              </w:rPr>
              <w:instrText xml:space="preserve">PAGEREF _Toc126263061 \h</w:instrText>
            </w:r>
            <w:r>
              <w:rPr>
                <w:webHidden/>
              </w:rPr>
              <w:fldChar w:fldCharType="separate"/>
            </w:r>
            <w:r>
              <w:rPr>
                <w:rStyle w:val="IndexLink"/>
                <w:rFonts w:cs="Times New Roman" w:ascii="Times New Roman" w:hAnsi="Times New Roman"/>
                <w:b w:val="false"/>
                <w:bCs w:val="false"/>
                <w:vanish w:val="false"/>
                <w:sz w:val="22"/>
                <w:szCs w:val="22"/>
              </w:rPr>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sz w:val="22"/>
                <w:szCs w:val="22"/>
              </w:rPr>
              <w:t>15.</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Susipažinimas su pasiūlymais</w:t>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vanish w:val="false"/>
                <w:sz w:val="22"/>
                <w:szCs w:val="22"/>
              </w:rPr>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sz w:val="22"/>
                <w:szCs w:val="22"/>
              </w:rPr>
              <w:t>16.</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Elektroninis aukcionas</w:t>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sz w:val="22"/>
                <w:szCs w:val="22"/>
              </w:rPr>
              <w:t>17.</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vertinimas</w:t>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sz w:val="22"/>
                <w:szCs w:val="22"/>
              </w:rPr>
              <w:t>18.</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atmetimo pagrindai</w:t>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vanish w:val="false"/>
                <w:sz w:val="22"/>
                <w:szCs w:val="22"/>
              </w:rPr>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sz w:val="22"/>
                <w:szCs w:val="22"/>
              </w:rPr>
              <w:t>19.</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sz w:val="22"/>
                <w:szCs w:val="22"/>
              </w:rPr>
              <w:t>20.</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sz w:val="22"/>
                <w:szCs w:val="22"/>
              </w:rPr>
              <w:t>21.</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Sutarties sudarymas</w:t>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sz w:val="22"/>
                <w:szCs w:val="22"/>
              </w:rPr>
              <w:t>22.</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p>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r>
            <w:rPr>
              <w:rFonts w:cs="Times New Roman" w:ascii="Times New Roman" w:hAnsi="Times New Roman"/>
              <w:lang w:val="lt-LT"/>
            </w:rPr>
            <w:fldChar w:fldCharType="end"/>
          </w:r>
        </w:p>
      </w:sdtContent>
    </w:sdt>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HeaderChar"/>
          <w:rFonts w:cs="Times New Roman" w:ascii="Times New Roman" w:hAnsi="Times New Roman"/>
          <w:sz w:val="22"/>
          <w:szCs w:val="22"/>
        </w:rPr>
        <w:t xml:space="preserve"> </w:t>
      </w:r>
      <w:r>
        <w:rPr>
          <w:rStyle w:val="Cf01"/>
          <w:rFonts w:eastAsia="游ゴシック Light"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Toc126263052"/>
      <w:bookmarkStart w:id="17" w:name="_Toc48053162"/>
      <w:bookmarkStart w:id="18" w:name="_Ref38446835"/>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Toc126263053"/>
      <w:bookmarkStart w:id="21" w:name="_Toc48053164"/>
      <w:bookmarkStart w:id="22" w:name="_Ref39474188"/>
      <w:bookmarkStart w:id="23" w:name="_Ref39473761"/>
      <w:bookmarkStart w:id="24" w:name="_Ref39473754"/>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126263054"/>
      <w:bookmarkStart w:id="27" w:name="_Toc48053165"/>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126263055"/>
      <w:bookmarkStart w:id="29" w:name="_Toc48053166"/>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Toc126263056"/>
      <w:bookmarkStart w:id="38" w:name="_Toc48053167"/>
      <w:bookmarkStart w:id="39" w:name="_Ref48037709"/>
      <w:bookmarkStart w:id="40" w:name="_Ref48037697"/>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Hlk90906609"/>
      <w:bookmarkStart w:id="44" w:name="_Toc126263057"/>
      <w:bookmarkStart w:id="45" w:name="_Toc48053168"/>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color w:val="000000"/>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126263058"/>
      <w:bookmarkStart w:id="47" w:name="_Toc48053169"/>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bookmarkStart w:id="72" w:name="_Hlk90910113"/>
      <w:bookmarkEnd w:id="72"/>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3" w:name="_Hlk90910113"/>
      <w:bookmarkStart w:id="74" w:name="_Toc126263060"/>
      <w:bookmarkStart w:id="75" w:name="_Toc48053171"/>
      <w:bookmarkStart w:id="76" w:name="_Ref39666796"/>
      <w:bookmarkStart w:id="77" w:name="_Ref39666794"/>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3"/>
      <w:bookmarkEnd w:id="78"/>
      <w:bookmarkEnd w:id="79"/>
      <w:bookmarkEnd w:id="80"/>
      <w:bookmarkEnd w:id="81"/>
      <w:bookmarkEnd w:id="82"/>
      <w:bookmarkEnd w:id="83"/>
      <w:bookmarkEnd w:id="84"/>
      <w:bookmarkEnd w:id="85"/>
      <w:r>
        <w:rPr>
          <w:rFonts w:cs="Times New Roman" w:ascii="Times New Roman" w:hAnsi="Times New Roman"/>
          <w:b/>
          <w:bCs/>
          <w:color w:val="auto"/>
          <w:sz w:val="28"/>
          <w:szCs w:val="28"/>
          <w:lang w:val="lt-LT"/>
        </w:rPr>
        <w:t>Reikalavimai pasiūlymų rengimui ir pateikimui</w:t>
      </w:r>
      <w:bookmarkEnd w:id="74"/>
      <w:bookmarkEnd w:id="75"/>
      <w:bookmarkEnd w:id="76"/>
      <w:bookmarkEnd w:id="77"/>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6" w:name="_Hlk91497587"/>
      <w:bookmarkStart w:id="87" w:name="_Toc126263061"/>
      <w:bookmarkStart w:id="88" w:name="_Toc48053175"/>
      <w:bookmarkEnd w:id="86"/>
      <w:r>
        <w:rPr>
          <w:rFonts w:cs="Times New Roman" w:ascii="Times New Roman" w:hAnsi="Times New Roman"/>
          <w:b/>
          <w:bCs/>
          <w:color w:val="auto"/>
          <w:sz w:val="28"/>
          <w:szCs w:val="28"/>
          <w:lang w:val="lt-LT"/>
        </w:rPr>
        <w:t>14.  Pasiūlymų šifravimas</w:t>
      </w:r>
      <w:bookmarkEnd w:id="87"/>
      <w:bookmarkEnd w:id="88"/>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9" w:name="_Hlk91497587"/>
      <w:bookmarkStart w:id="90" w:name="_Ref39754676"/>
      <w:bookmarkEnd w:id="89"/>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90"/>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91"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91"/>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2"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2"/>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3"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4" w:name="_Hlk91497725"/>
      <w:bookmarkStart w:id="95" w:name="_Toc126263062"/>
      <w:bookmarkStart w:id="96" w:name="_Toc48053176"/>
      <w:bookmarkStart w:id="97" w:name="_Ref38971207"/>
      <w:bookmarkStart w:id="98" w:name="_Ref38971193"/>
      <w:bookmarkEnd w:id="94"/>
      <w:r>
        <w:rPr>
          <w:rFonts w:cs="Times New Roman" w:ascii="Times New Roman" w:hAnsi="Times New Roman"/>
          <w:b/>
          <w:bCs/>
          <w:color w:val="auto"/>
          <w:sz w:val="28"/>
          <w:szCs w:val="28"/>
          <w:lang w:val="lt-LT"/>
        </w:rPr>
        <w:t>Susipažinimas su pasiūlymais</w:t>
      </w:r>
      <w:bookmarkEnd w:id="95"/>
      <w:bookmarkEnd w:id="96"/>
      <w:bookmarkEnd w:id="97"/>
      <w:bookmarkEnd w:id="98"/>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9" w:name="_Hlk91497725"/>
      <w:bookmarkStart w:id="100" w:name="_Ref39756072"/>
      <w:bookmarkEnd w:id="99"/>
      <w:bookmarkEnd w:id="100"/>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2" w:name="_Ref39756072"/>
      <w:bookmarkStart w:id="103" w:name="_Toc126263063"/>
      <w:bookmarkStart w:id="104" w:name="_Toc48053177"/>
      <w:bookmarkStart w:id="105" w:name="_Ref39658251"/>
      <w:bookmarkStart w:id="106" w:name="_Ref39658248"/>
      <w:bookmarkStart w:id="107" w:name="_Ref39658226"/>
      <w:bookmarkStart w:id="108" w:name="_Ref39658218"/>
      <w:bookmarkEnd w:id="102"/>
      <w:r>
        <w:rPr>
          <w:rFonts w:cs="Times New Roman" w:ascii="Times New Roman" w:hAnsi="Times New Roman"/>
          <w:b/>
          <w:bCs/>
          <w:color w:val="auto"/>
          <w:sz w:val="28"/>
          <w:szCs w:val="28"/>
          <w:lang w:val="lt-LT"/>
        </w:rPr>
        <w:t>Elektroninis aukcionas</w:t>
      </w:r>
      <w:bookmarkEnd w:id="103"/>
      <w:bookmarkEnd w:id="104"/>
      <w:bookmarkEnd w:id="105"/>
      <w:bookmarkEnd w:id="106"/>
      <w:bookmarkEnd w:id="107"/>
      <w:bookmarkEnd w:id="108"/>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9" w:name="_Toc126263064"/>
      <w:bookmarkStart w:id="110" w:name="_Toc48053178"/>
      <w:bookmarkStart w:id="111" w:name="_Ref39667308"/>
      <w:bookmarkStart w:id="112" w:name="_Ref39667303"/>
      <w:r>
        <w:rPr>
          <w:rFonts w:cs="Times New Roman" w:ascii="Times New Roman" w:hAnsi="Times New Roman"/>
          <w:b/>
          <w:bCs/>
          <w:color w:val="auto"/>
          <w:sz w:val="28"/>
          <w:szCs w:val="28"/>
          <w:lang w:val="lt-LT"/>
        </w:rPr>
        <w:t>Pasiūlymų vertinimas</w:t>
      </w:r>
      <w:bookmarkEnd w:id="109"/>
      <w:bookmarkEnd w:id="110"/>
      <w:bookmarkEnd w:id="111"/>
      <w:bookmarkEnd w:id="112"/>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13" w:name="_Hlk505013401"/>
      <w:r>
        <w:rPr>
          <w:rFonts w:cs="Times New Roman" w:ascii="Times New Roman" w:hAnsi="Times New Roman"/>
          <w:sz w:val="22"/>
          <w:szCs w:val="22"/>
          <w:lang w:val="lt-LT"/>
        </w:rPr>
        <w:t xml:space="preserve">tiekėjams ir (ar) jų įgaliotiesiems atstovams </w:t>
      </w:r>
      <w:bookmarkEnd w:id="113"/>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4" w:name="_Toc126263065"/>
      <w:bookmarkStart w:id="115" w:name="_Toc48053179"/>
      <w:r>
        <w:rPr>
          <w:rFonts w:cs="Times New Roman" w:ascii="Times New Roman" w:hAnsi="Times New Roman"/>
          <w:b/>
          <w:bCs/>
          <w:color w:val="auto"/>
          <w:sz w:val="28"/>
          <w:szCs w:val="28"/>
          <w:lang w:val="lt-LT"/>
        </w:rPr>
        <w:t xml:space="preserve">Pasiūlymų atmetimo </w:t>
      </w:r>
      <w:bookmarkEnd w:id="115"/>
      <w:r>
        <w:rPr>
          <w:rFonts w:cs="Times New Roman" w:ascii="Times New Roman" w:hAnsi="Times New Roman"/>
          <w:b/>
          <w:bCs/>
          <w:color w:val="auto"/>
          <w:sz w:val="28"/>
          <w:szCs w:val="28"/>
          <w:lang w:val="lt-LT"/>
        </w:rPr>
        <w:t>pagrindai</w:t>
      </w:r>
      <w:bookmarkEnd w:id="114"/>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6" w:name="_Toc126263066"/>
      <w:bookmarkStart w:id="117" w:name="_Toc48053180"/>
      <w:bookmarkStart w:id="118" w:name="_Ref40443104"/>
      <w:r>
        <w:rPr>
          <w:rFonts w:cs="Times New Roman" w:ascii="Times New Roman" w:hAnsi="Times New Roman"/>
          <w:b/>
          <w:bCs/>
          <w:color w:val="auto"/>
          <w:sz w:val="28"/>
          <w:szCs w:val="28"/>
          <w:lang w:val="lt-LT"/>
        </w:rPr>
        <w:t>Pasiūlymų eilė ir laimėtojo nustatymas</w:t>
      </w:r>
      <w:bookmarkEnd w:id="116"/>
      <w:bookmarkEnd w:id="117"/>
      <w:bookmarkEnd w:id="118"/>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9" w:name="_Hlk91498524"/>
      <w:bookmarkStart w:id="120" w:name="_Toc126263067"/>
      <w:r>
        <w:rPr>
          <w:rFonts w:cs="Times New Roman" w:ascii="Times New Roman" w:hAnsi="Times New Roman"/>
          <w:b/>
          <w:bCs/>
          <w:color w:val="auto"/>
          <w:sz w:val="28"/>
          <w:szCs w:val="28"/>
          <w:lang w:val="lt-LT"/>
        </w:rPr>
        <w:t>Informavimas apie pirkimo procedūrų rezultatus</w:t>
      </w:r>
      <w:bookmarkEnd w:id="119"/>
      <w:bookmarkEnd w:id="120"/>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21" w:name="_Toc126263068"/>
      <w:bookmarkStart w:id="122" w:name="_Toc48053182"/>
      <w:bookmarkStart w:id="123" w:name="_Ref39426005"/>
      <w:bookmarkStart w:id="124" w:name="_Ref39425999"/>
      <w:r>
        <w:rPr>
          <w:rFonts w:cs="Times New Roman" w:ascii="Times New Roman" w:hAnsi="Times New Roman"/>
          <w:b/>
          <w:bCs/>
          <w:color w:val="auto"/>
          <w:sz w:val="28"/>
          <w:szCs w:val="28"/>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5" w:name="_Toc126263069"/>
      <w:bookmarkStart w:id="126" w:name="_Hlk91498650"/>
      <w:r>
        <w:rPr>
          <w:rFonts w:cs="Times New Roman" w:ascii="Times New Roman" w:hAnsi="Times New Roman"/>
          <w:b/>
          <w:bCs/>
          <w:color w:val="auto"/>
          <w:sz w:val="28"/>
          <w:szCs w:val="28"/>
          <w:lang w:val="lt-LT"/>
        </w:rPr>
        <w:t>Teisė ginčyti perkančiosios organizacijos veiksmus ar priimtus sprendimus</w:t>
      </w:r>
      <w:bookmarkEnd w:id="125"/>
      <w:bookmarkEnd w:id="126"/>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bidi w:val="0"/>
      <w:spacing w:lineRule="auto" w:line="276" w:before="0" w:after="16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游明朝" w:eastAsiaTheme="minorEastAsia"/>
      <w:sz w:val="20"/>
      <w:szCs w:val="20"/>
      <w:lang w:val="lt-LT" w:eastAsia="lt-LT"/>
    </w:rPr>
  </w:style>
  <w:style w:type="character" w:styleId="FootnoteCharacters">
    <w:name w:val="Footnote Characters"/>
    <w:basedOn w:val="DefaultParagraphFont"/>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游ゴシック Light" w:cs="Times New Roman"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游ゴシック Light"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2.xml><?xml version="1.0" encoding="utf-8"?>
<ds:datastoreItem xmlns:ds="http://schemas.openxmlformats.org/officeDocument/2006/customXml" ds:itemID="{B018A494-34A7-4EFB-ACF4-CEBBB72F5739}">
  <ds:schemaRefs>
    <ds:schemaRef ds:uri="http://schemas.openxmlformats.org/officeDocument/2006/bibliography"/>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988DBEFC-0509-4AA2-AB94-B195E5103947}"/>
</file>

<file path=docProps/app.xml><?xml version="1.0" encoding="utf-8"?>
<Properties xmlns="http://schemas.openxmlformats.org/officeDocument/2006/extended-properties" xmlns:vt="http://schemas.openxmlformats.org/officeDocument/2006/docPropsVTypes">
  <Template>Normal</Template>
  <TotalTime>40</TotalTime>
  <Application>LibreOffice/7.6.4.1$Windows_X86_64 LibreOffice_project/e19e193f88cd6c0525a17fb7a176ed8e6a3e2aa1</Application>
  <AppVersion>15.0000</AppVersion>
  <Pages>17</Pages>
  <Words>7532</Words>
  <Characters>55200</Characters>
  <CharactersWithSpaces>62382</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Lina</cp:lastModifiedBy>
  <dcterms:modified xsi:type="dcterms:W3CDTF">2025-04-23T03:14:00Z</dcterms:modified>
  <cp:revision>11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