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cs="Times New Roman"/>
          <w:b/>
          <w:bCs/>
          <w:sz w:val="24"/>
          <w:szCs w:val="24"/>
          <w:lang w:val="lt-LT"/>
        </w:rPr>
      </w:pPr>
      <w:bookmarkStart w:id="0" w:name="_Hlk127525387"/>
      <w:bookmarkEnd w:id="0"/>
      <w:r>
        <w:rPr>
          <w:rFonts w:cs="Times New Roman"/>
          <w:b/>
          <w:bCs/>
          <w:sz w:val="24"/>
          <w:szCs w:val="24"/>
          <w:lang w:val="lt-LT"/>
        </w:rPr>
        <w:t>TECHNINĖ SPECIFIKACIJA</w:t>
      </w:r>
    </w:p>
    <w:p>
      <w:pPr>
        <w:pStyle w:val="Normal"/>
        <w:jc w:val="center"/>
        <w:rPr>
          <w:rFonts w:cs="Times New Roman"/>
          <w:b/>
          <w:bCs/>
          <w:sz w:val="24"/>
          <w:szCs w:val="24"/>
          <w:lang w:val="lt-LT"/>
        </w:rPr>
      </w:pPr>
      <w:bookmarkStart w:id="1" w:name="_Hlk202521243"/>
      <w:r>
        <w:rPr>
          <w:rFonts w:cs="Times New Roman"/>
          <w:b/>
          <w:bCs/>
          <w:sz w:val="28"/>
          <w:szCs w:val="28"/>
          <w:lang w:val="lt-LT"/>
        </w:rPr>
        <w:t>EKSPERTŲ MOKYMAI NAUJIEMS KOORDINATORIAMS (KONTAKTINIAI MOKYMAI) IR NAUJŲ KOORDINATORIŲ MOKYMAS KAIP APMOKYTI IR PARUOŠTI AMBASADORIUS</w:t>
      </w:r>
      <w:bookmarkEnd w:id="1"/>
    </w:p>
    <w:p>
      <w:pPr>
        <w:pStyle w:val="Normal"/>
        <w:jc w:val="center"/>
        <w:rPr>
          <w:rFonts w:cs="Times New Roman"/>
          <w:b/>
          <w:bCs/>
          <w:sz w:val="24"/>
          <w:szCs w:val="24"/>
          <w:lang w:val="lt-LT"/>
        </w:rPr>
      </w:pPr>
      <w:r>
        <w:rPr>
          <w:rFonts w:cs="Times New Roman"/>
          <w:b/>
          <w:bCs/>
          <w:sz w:val="24"/>
          <w:szCs w:val="24"/>
          <w:lang w:val="lt-LT"/>
        </w:rPr>
        <w:t>I PIRKIMO OBJEKTO DALIS</w:t>
      </w:r>
    </w:p>
    <w:p>
      <w:pPr>
        <w:pStyle w:val="Normal"/>
        <w:pBdr/>
        <w:shd w:val="clear" w:color="auto" w:fill="FFFFFF" w:themeFill="background1"/>
        <w:tabs>
          <w:tab w:val="clear" w:pos="1296"/>
          <w:tab w:val="left" w:pos="720" w:leader="none"/>
        </w:tabs>
        <w:spacing w:before="0" w:after="0"/>
        <w:ind w:hanging="360"/>
        <w:jc w:val="center"/>
        <w:rPr>
          <w:rFonts w:eastAsia="Arial Unicode MS" w:cs="Times New Roman"/>
          <w:b/>
          <w:bCs/>
          <w:sz w:val="24"/>
          <w:szCs w:val="24"/>
          <w:lang w:val="lt-LT"/>
        </w:rPr>
      </w:pPr>
      <w:r>
        <w:rPr>
          <w:rFonts w:eastAsia="Arial Unicode MS" w:cs="Times New Roman"/>
          <w:b/>
          <w:bCs/>
          <w:sz w:val="24"/>
          <w:szCs w:val="24"/>
          <w:lang w:val="lt-LT"/>
        </w:rPr>
        <w:t>EKSPERTŲ PASLAUGOS NAUJIEMS KOORDINATORIAMS APMOKYTI IR PARUOŠTI AMBASADORIUS</w:t>
      </w:r>
    </w:p>
    <w:p>
      <w:pPr>
        <w:pStyle w:val="Normal"/>
        <w:pBdr/>
        <w:shd w:val="clear" w:color="auto" w:fill="FFFFFF" w:themeFill="background1"/>
        <w:tabs>
          <w:tab w:val="clear" w:pos="1296"/>
          <w:tab w:val="left" w:pos="720" w:leader="none"/>
        </w:tabs>
        <w:spacing w:before="0" w:after="0"/>
        <w:ind w:hanging="360"/>
        <w:jc w:val="center"/>
        <w:rPr>
          <w:rFonts w:eastAsia="Times New Roman" w:cs="Times New Roman"/>
          <w:b/>
          <w:bCs/>
          <w:sz w:val="24"/>
          <w:szCs w:val="24"/>
          <w:lang w:val="lt-LT"/>
        </w:rPr>
      </w:pPr>
      <w:r>
        <w:rPr>
          <w:rFonts w:eastAsia="Times New Roman" w:cs="Times New Roman"/>
          <w:b/>
          <w:bCs/>
          <w:sz w:val="24"/>
          <w:szCs w:val="24"/>
          <w:lang w:val="lt-LT"/>
        </w:rPr>
      </w:r>
    </w:p>
    <w:p>
      <w:pPr>
        <w:pStyle w:val="Normal"/>
        <w:spacing w:before="0" w:after="0"/>
        <w:jc w:val="center"/>
        <w:rPr>
          <w:rFonts w:eastAsia="Times New Roman" w:cs="Times New Roman"/>
          <w:b/>
          <w:bCs/>
          <w:sz w:val="24"/>
          <w:szCs w:val="24"/>
          <w:lang w:val="lt-LT"/>
        </w:rPr>
      </w:pPr>
      <w:r>
        <w:rPr>
          <w:rFonts w:eastAsia="Times New Roman" w:cs="Times New Roman"/>
          <w:b/>
          <w:bCs/>
          <w:sz w:val="24"/>
          <w:szCs w:val="24"/>
          <w:lang w:val="lt-LT"/>
        </w:rPr>
        <w:t>I SKYRIUS</w:t>
      </w:r>
    </w:p>
    <w:p>
      <w:pPr>
        <w:pStyle w:val="Normal"/>
        <w:pBdr/>
        <w:spacing w:before="0" w:after="0"/>
        <w:contextualSpacing/>
        <w:jc w:val="center"/>
        <w:rPr>
          <w:rFonts w:eastAsia="Times New Roman" w:cs="Times New Roman"/>
          <w:b/>
          <w:bCs/>
          <w:sz w:val="24"/>
          <w:szCs w:val="24"/>
          <w:lang w:val="lt-LT"/>
        </w:rPr>
      </w:pPr>
      <w:r>
        <w:rPr>
          <w:rFonts w:eastAsia="Times New Roman" w:cs="Times New Roman"/>
          <w:b/>
          <w:bCs/>
          <w:sz w:val="24"/>
          <w:szCs w:val="24"/>
          <w:lang w:val="lt-LT"/>
        </w:rPr>
        <w:t>BENDROSIOS NUOSTATOS</w:t>
      </w:r>
    </w:p>
    <w:p>
      <w:pPr>
        <w:pStyle w:val="Normal"/>
        <w:pBdr/>
        <w:spacing w:before="0" w:after="0"/>
        <w:ind w:left="720"/>
        <w:contextualSpacing/>
        <w:jc w:val="both"/>
        <w:rPr>
          <w:rFonts w:eastAsia="Times New Roman" w:cs="Times New Roman"/>
          <w:b/>
          <w:bCs/>
          <w:sz w:val="24"/>
          <w:szCs w:val="24"/>
          <w:lang w:val="lt-LT"/>
        </w:rPr>
      </w:pPr>
      <w:r>
        <w:rPr>
          <w:rFonts w:eastAsia="Times New Roman" w:cs="Times New Roman"/>
          <w:b/>
          <w:bCs/>
          <w:sz w:val="24"/>
          <w:szCs w:val="24"/>
          <w:lang w:val="lt-LT"/>
        </w:rPr>
      </w:r>
    </w:p>
    <w:p>
      <w:pPr>
        <w:pStyle w:val="Normal"/>
        <w:widowControl w:val="false"/>
        <w:numPr>
          <w:ilvl w:val="0"/>
          <w:numId w:val="3"/>
        </w:numPr>
        <w:pBdr/>
        <w:tabs>
          <w:tab w:val="clear" w:pos="1296"/>
          <w:tab w:val="left" w:pos="630" w:leader="none"/>
          <w:tab w:val="left" w:pos="851" w:leader="none"/>
          <w:tab w:val="left" w:pos="993" w:leader="none"/>
        </w:tabs>
        <w:spacing w:before="0" w:after="0"/>
        <w:ind w:hanging="425" w:left="567"/>
        <w:contextualSpacing/>
        <w:jc w:val="both"/>
        <w:rPr>
          <w:rFonts w:eastAsia="Calibri" w:cs="Times New Roman"/>
          <w:sz w:val="24"/>
          <w:szCs w:val="24"/>
          <w:lang w:val="lt-LT"/>
        </w:rPr>
      </w:pPr>
      <w:r>
        <w:rPr>
          <w:rFonts w:eastAsia="Times New Roman" w:cs="Times New Roman"/>
          <w:sz w:val="24"/>
          <w:szCs w:val="24"/>
          <w:lang w:val="lt-LT"/>
        </w:rPr>
        <w:t>Perkančioji organizacija – Biudžetinė įstaiga Higienos institutas, kodas  111958286, Studentų g. 45A, LT-08107 Vilnius.</w:t>
      </w:r>
    </w:p>
    <w:p>
      <w:pPr>
        <w:pStyle w:val="Normal"/>
        <w:widowControl w:val="false"/>
        <w:numPr>
          <w:ilvl w:val="0"/>
          <w:numId w:val="3"/>
        </w:numPr>
        <w:pBdr/>
        <w:tabs>
          <w:tab w:val="clear" w:pos="1296"/>
          <w:tab w:val="left" w:pos="630" w:leader="none"/>
          <w:tab w:val="left" w:pos="851" w:leader="none"/>
          <w:tab w:val="left" w:pos="993" w:leader="none"/>
        </w:tabs>
        <w:spacing w:before="0" w:after="0"/>
        <w:ind w:hanging="425" w:left="567"/>
        <w:contextualSpacing/>
        <w:jc w:val="both"/>
        <w:rPr>
          <w:rFonts w:eastAsia="Calibri" w:cs="Times New Roman"/>
          <w:kern w:val="2"/>
          <w:sz w:val="24"/>
          <w:szCs w:val="24"/>
          <w:lang w:val="lt-LT"/>
        </w:rPr>
      </w:pPr>
      <w:r>
        <w:rPr>
          <w:rFonts w:eastAsia="Times New Roman" w:cs="Times New Roman"/>
          <w:color w:themeColor="text1" w:val="000000"/>
          <w:sz w:val="24"/>
          <w:szCs w:val="24"/>
          <w:lang w:val="lt-LT"/>
        </w:rPr>
        <w:t>Pirkimas skirtas įgyvendinti projekto „Psichikos sveikatos stiprinimas, stigmatizavimo mažinimas, savižudybių prevencija vidurio, vakarų Lietuvos ir Sostinės regione“ Nr. 09-025-P-0001 veiklas.</w:t>
      </w:r>
    </w:p>
    <w:p>
      <w:pPr>
        <w:pStyle w:val="Normal"/>
        <w:widowControl w:val="false"/>
        <w:numPr>
          <w:ilvl w:val="0"/>
          <w:numId w:val="3"/>
        </w:numPr>
        <w:pBdr/>
        <w:tabs>
          <w:tab w:val="clear" w:pos="1296"/>
          <w:tab w:val="left" w:pos="851" w:leader="none"/>
          <w:tab w:val="left" w:pos="993" w:leader="none"/>
        </w:tabs>
        <w:spacing w:before="0" w:after="0"/>
        <w:ind w:hanging="425" w:left="567"/>
        <w:jc w:val="both"/>
        <w:rPr>
          <w:rFonts w:eastAsia="Calibri" w:cs="Times New Roman"/>
          <w:sz w:val="24"/>
          <w:szCs w:val="24"/>
          <w:lang w:val="lt-LT"/>
        </w:rPr>
      </w:pPr>
      <w:r>
        <w:rPr>
          <w:rFonts w:eastAsia="Calibri" w:cs="Times New Roman"/>
          <w:sz w:val="24"/>
          <w:szCs w:val="24"/>
          <w:lang w:val="lt-LT"/>
        </w:rPr>
        <w:t>Nuo 2022 m. Lietuvoje remiantis Jungtinės Karalystės kampanijos „Time to Change“ patirtimi įgyvendinama psichikos sveikatos stigmos mažinimo iniciatyva „Žvelk giliau“ psichikos sveikatos ambasadorių iniciatyva. „Time to Change“ kampanija išsiskiria tuo, kad ji buvo ilgalaikė – vykdyta nuo 2007 m. iki 2021 m., yra moksliškai pagrįsta ir pasiekė realių pokyčių mažinant psichikos sveikatos stigmą visos šalies mastu. Ji sujungė asmenines istorijas, viešąjį švietimą ir bendruomeninį įsitraukimą, o tai įrodė, kad kompleksinis ir nuoseklus požiūris veikia efektyviausiai. Skirtingai nei trumpalaikės ar vien žiniasklaidos pagrindu paremtos iniciatyvos, ši kampanija sukūrė tvarius kultūrinius pokyčius, kuriuos galima pritaikyti ir kitose šalyse. 2022-2023 m. Lietuvoje Jungtinės Karalystės kampanijos „Time to Change“ ekspertai apmokė 14 psichikos sveikatos ambasadorių koordinatorių (</w:t>
      </w:r>
      <w:r>
        <w:rPr>
          <w:rFonts w:eastAsia="Calibri" w:cs="Times New Roman"/>
          <w:i/>
          <w:iCs/>
          <w:sz w:val="24"/>
          <w:szCs w:val="24"/>
          <w:lang w:val="lt-LT"/>
        </w:rPr>
        <w:t>toliau – Koordinatoriai).</w:t>
      </w:r>
      <w:r>
        <w:rPr>
          <w:rFonts w:eastAsia="Calibri" w:cs="Times New Roman"/>
          <w:sz w:val="24"/>
          <w:szCs w:val="24"/>
          <w:lang w:val="lt-LT"/>
        </w:rPr>
        <w:t xml:space="preserve"> 2025 m. planuojama apmokyti apie 10 naujų Koordinatorių. To tikslas – paruošti grupę naujų Koordinatorių, prisidėsiančią prie Psichikos sveikatos ambasadorių inciatyvos įgyvendinimo Lietuvoje. Nauji paruošti Koordinatoriai papildys 2022 m. paruoštų koordinatorių sąrašą. </w:t>
      </w:r>
      <w:r>
        <w:rPr>
          <w:rFonts w:eastAsia="Calibri" w:cs="Times New Roman"/>
          <w:kern w:val="2"/>
          <w:sz w:val="24"/>
          <w:szCs w:val="24"/>
          <w:lang w:val="lt-LT"/>
        </w:rPr>
        <w:t xml:space="preserve">Psichikos sveikatos ambasadorių iniciatyvos tikslas – perimant gerąją užsienio patirtį, įgalinti asmenis, </w:t>
      </w:r>
      <w:r>
        <w:rPr>
          <w:rFonts w:eastAsia="Calibri" w:cs="Times New Roman"/>
          <w:sz w:val="24"/>
          <w:szCs w:val="24"/>
          <w:lang w:val="lt-LT"/>
        </w:rPr>
        <w:t xml:space="preserve">turinčius </w:t>
      </w:r>
      <w:r>
        <w:rPr>
          <w:rFonts w:eastAsia="Calibri" w:cs="Times New Roman"/>
          <w:kern w:val="2"/>
          <w:sz w:val="24"/>
          <w:szCs w:val="24"/>
          <w:lang w:val="lt-LT"/>
        </w:rPr>
        <w:t xml:space="preserve">psichikos sveikatos sunkumų </w:t>
      </w:r>
      <w:r>
        <w:rPr>
          <w:rFonts w:eastAsia="Calibri" w:cs="Times New Roman"/>
          <w:sz w:val="24"/>
          <w:szCs w:val="24"/>
          <w:lang w:val="lt-LT"/>
        </w:rPr>
        <w:t xml:space="preserve">patirtį </w:t>
      </w:r>
      <w:r>
        <w:rPr>
          <w:rFonts w:eastAsia="Calibri" w:cs="Times New Roman"/>
          <w:kern w:val="2"/>
          <w:sz w:val="24"/>
          <w:szCs w:val="24"/>
          <w:lang w:val="lt-LT"/>
        </w:rPr>
        <w:t>ar susidūrusius su artimųjų psichikos sveikatos sunkumais, tapti psichikos sveikatos ambasadoriais savo bendruomenėse ir dalintis savo patirtimi šioje srityje.</w:t>
      </w:r>
    </w:p>
    <w:p>
      <w:pPr>
        <w:pStyle w:val="Normal"/>
        <w:widowControl w:val="false"/>
        <w:numPr>
          <w:ilvl w:val="0"/>
          <w:numId w:val="3"/>
        </w:numPr>
        <w:tabs>
          <w:tab w:val="clear" w:pos="1296"/>
          <w:tab w:val="left" w:pos="851" w:leader="none"/>
          <w:tab w:val="left" w:pos="993" w:leader="none"/>
        </w:tabs>
        <w:spacing w:before="0" w:after="0"/>
        <w:ind w:hanging="425" w:left="567"/>
        <w:jc w:val="both"/>
        <w:rPr>
          <w:rFonts w:eastAsia="Times New Roman" w:cs="Times New Roman"/>
          <w:sz w:val="24"/>
          <w:szCs w:val="24"/>
          <w:lang w:val="lt-LT"/>
        </w:rPr>
      </w:pPr>
      <w:r>
        <w:rPr>
          <w:rFonts w:eastAsia="Calibri" w:cs="Times New Roman"/>
          <w:sz w:val="24"/>
          <w:szCs w:val="24"/>
          <w:lang w:val="lt-LT"/>
        </w:rPr>
        <w:t xml:space="preserve">Pirkimų vertė - 38413,48 Eur be PVM. </w:t>
      </w:r>
      <w:r>
        <w:rPr>
          <w:rFonts w:eastAsia="Times New Roman" w:cs="Times New Roman"/>
          <w:color w:themeColor="text1" w:val="000000"/>
          <w:sz w:val="24"/>
          <w:szCs w:val="24"/>
          <w:lang w:val="lt-LT"/>
        </w:rPr>
        <w:t>Į paslaugų kainą turi būti įskaičiuoti visi su jų teikimu susiję kaštai ir išlaidos.</w:t>
      </w:r>
    </w:p>
    <w:p>
      <w:pPr>
        <w:pStyle w:val="Normal"/>
        <w:widowControl w:val="false"/>
        <w:numPr>
          <w:ilvl w:val="0"/>
          <w:numId w:val="3"/>
        </w:numPr>
        <w:tabs>
          <w:tab w:val="clear" w:pos="1296"/>
          <w:tab w:val="left" w:pos="851" w:leader="none"/>
          <w:tab w:val="left" w:pos="993" w:leader="none"/>
        </w:tabs>
        <w:spacing w:before="0" w:after="0"/>
        <w:ind w:hanging="425" w:left="567"/>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t>Paslaugos turi būti suteiktos per 11 mėnesių nuo sutarties pasirašymo ir įsigaliojimo dienos (antrosios šalies pasirašymo dieną).</w:t>
      </w:r>
      <w:r>
        <w:rPr>
          <w:rFonts w:eastAsia="Aptos" w:cs="Times New Roman"/>
          <w:color w:themeColor="text1" w:val="000000"/>
          <w:sz w:val="24"/>
          <w:szCs w:val="24"/>
          <w:lang w:val="lt-LT"/>
        </w:rPr>
        <w:t xml:space="preserve"> </w:t>
      </w:r>
      <w:r>
        <w:rPr>
          <w:rFonts w:eastAsia="Times New Roman" w:cs="Times New Roman"/>
          <w:color w:themeColor="text1" w:val="000000"/>
          <w:sz w:val="24"/>
          <w:szCs w:val="24"/>
          <w:lang w:val="lt-LT"/>
        </w:rPr>
        <w:t>Sutartis galioja</w:t>
      </w:r>
      <w:r>
        <w:rPr>
          <w:rFonts w:eastAsia="Times New Roman" w:cs="Times New Roman"/>
          <w:color w:val="FF0000"/>
          <w:sz w:val="24"/>
          <w:szCs w:val="24"/>
          <w:lang w:val="lt-LT"/>
        </w:rPr>
        <w:t xml:space="preserve">  </w:t>
      </w:r>
      <w:r>
        <w:rPr>
          <w:rFonts w:eastAsia="Times New Roman" w:cs="Times New Roman"/>
          <w:sz w:val="24"/>
          <w:szCs w:val="24"/>
          <w:lang w:val="lt-LT"/>
        </w:rPr>
        <w:t xml:space="preserve">12 mėnesių  </w:t>
      </w:r>
      <w:r>
        <w:rPr>
          <w:rFonts w:eastAsia="Times New Roman" w:cs="Times New Roman"/>
          <w:color w:themeColor="text1" w:val="000000"/>
          <w:sz w:val="24"/>
          <w:szCs w:val="24"/>
          <w:lang w:val="lt-LT"/>
        </w:rPr>
        <w:t>nuo jos pasirašymo datos.</w:t>
      </w:r>
    </w:p>
    <w:p>
      <w:pPr>
        <w:pStyle w:val="Normal"/>
        <w:widowControl w:val="false"/>
        <w:numPr>
          <w:ilvl w:val="0"/>
          <w:numId w:val="3"/>
        </w:numPr>
        <w:tabs>
          <w:tab w:val="clear" w:pos="1296"/>
          <w:tab w:val="left" w:pos="851" w:leader="none"/>
          <w:tab w:val="left" w:pos="993" w:leader="none"/>
        </w:tabs>
        <w:spacing w:before="0" w:after="0"/>
        <w:ind w:hanging="425" w:left="567"/>
        <w:jc w:val="both"/>
        <w:rPr>
          <w:rFonts w:eastAsia="Times New Roman" w:cs="Times New Roman"/>
          <w:sz w:val="24"/>
          <w:szCs w:val="24"/>
          <w:lang w:val="lt-LT"/>
        </w:rPr>
      </w:pPr>
      <w:r>
        <w:rPr>
          <w:rFonts w:eastAsia="Times New Roman" w:cs="Times New Roman"/>
          <w:color w:themeColor="text1" w:val="000000"/>
          <w:sz w:val="24"/>
          <w:szCs w:val="24"/>
          <w:lang w:val="lt-LT"/>
        </w:rPr>
        <w:t>Paslaugų teikėjas privalo užtikrinti paslaugų teikimo kokybę laikantis sutartyje numatytų terminų.</w:t>
      </w:r>
    </w:p>
    <w:p>
      <w:pPr>
        <w:pStyle w:val="Normal"/>
        <w:widowControl w:val="false"/>
        <w:tabs>
          <w:tab w:val="clear" w:pos="1296"/>
          <w:tab w:val="left" w:pos="851" w:leader="none"/>
          <w:tab w:val="left" w:pos="993" w:leader="none"/>
        </w:tabs>
        <w:spacing w:lineRule="auto" w:line="259" w:before="0" w:after="160"/>
        <w:ind w:left="567"/>
        <w:contextualSpacing/>
        <w:jc w:val="both"/>
        <w:rPr>
          <w:rFonts w:eastAsia="Calibri" w:cs="Times New Roman"/>
          <w:b/>
          <w:sz w:val="24"/>
          <w:szCs w:val="24"/>
          <w:lang w:val="lt-LT"/>
        </w:rPr>
      </w:pPr>
      <w:r>
        <w:rPr>
          <w:rFonts w:eastAsia="Calibri" w:cs="Times New Roman"/>
          <w:b/>
          <w:sz w:val="24"/>
          <w:szCs w:val="24"/>
          <w:lang w:val="lt-LT"/>
        </w:rPr>
      </w:r>
    </w:p>
    <w:p>
      <w:pPr>
        <w:pStyle w:val="Normal"/>
        <w:widowControl w:val="false"/>
        <w:tabs>
          <w:tab w:val="clear" w:pos="1296"/>
          <w:tab w:val="left" w:pos="851" w:leader="none"/>
          <w:tab w:val="left" w:pos="993" w:leader="none"/>
        </w:tabs>
        <w:spacing w:lineRule="auto" w:line="259" w:before="0" w:after="160"/>
        <w:ind w:left="567"/>
        <w:contextualSpacing/>
        <w:jc w:val="center"/>
        <w:rPr>
          <w:rFonts w:eastAsia="Calibri" w:cs="Times New Roman"/>
          <w:b/>
          <w:sz w:val="24"/>
          <w:szCs w:val="24"/>
          <w:lang w:val="lt-LT"/>
        </w:rPr>
      </w:pPr>
      <w:r>
        <w:rPr>
          <w:rFonts w:eastAsia="Calibri" w:cs="Times New Roman"/>
          <w:b/>
          <w:sz w:val="24"/>
          <w:szCs w:val="24"/>
          <w:lang w:val="lt-LT"/>
        </w:rPr>
        <w:t>II SKYRIUS</w:t>
      </w:r>
    </w:p>
    <w:p>
      <w:pPr>
        <w:pStyle w:val="Normal"/>
        <w:widowControl w:val="false"/>
        <w:tabs>
          <w:tab w:val="clear" w:pos="1296"/>
          <w:tab w:val="left" w:pos="851" w:leader="none"/>
          <w:tab w:val="left" w:pos="993" w:leader="none"/>
        </w:tabs>
        <w:spacing w:lineRule="auto" w:line="259" w:before="0" w:after="160"/>
        <w:ind w:left="567"/>
        <w:contextualSpacing/>
        <w:jc w:val="center"/>
        <w:rPr>
          <w:rFonts w:eastAsia="Calibri" w:cs="Times New Roman"/>
          <w:b/>
          <w:sz w:val="24"/>
          <w:szCs w:val="24"/>
          <w:lang w:val="lt-LT"/>
        </w:rPr>
      </w:pPr>
      <w:r>
        <w:rPr>
          <w:rFonts w:eastAsia="Calibri" w:cs="Times New Roman"/>
          <w:b/>
          <w:sz w:val="24"/>
          <w:szCs w:val="24"/>
          <w:lang w:val="lt-LT"/>
        </w:rPr>
        <w:t>PIRKIMO OBJEKTAS</w:t>
      </w:r>
    </w:p>
    <w:p>
      <w:pPr>
        <w:pStyle w:val="Normal"/>
        <w:widowControl w:val="false"/>
        <w:tabs>
          <w:tab w:val="clear" w:pos="1296"/>
          <w:tab w:val="left" w:pos="851" w:leader="none"/>
          <w:tab w:val="left" w:pos="993" w:leader="none"/>
        </w:tabs>
        <w:spacing w:lineRule="auto" w:line="259" w:before="0" w:after="160"/>
        <w:ind w:left="567"/>
        <w:contextualSpacing/>
        <w:jc w:val="center"/>
        <w:rPr>
          <w:rFonts w:eastAsia="Calibri" w:cs="Times New Roman"/>
          <w:b/>
          <w:sz w:val="24"/>
          <w:szCs w:val="24"/>
          <w:lang w:val="lt-LT"/>
        </w:rPr>
      </w:pPr>
      <w:r>
        <w:rPr>
          <w:rFonts w:eastAsia="Calibri" w:cs="Times New Roman"/>
          <w:b/>
          <w:sz w:val="24"/>
          <w:szCs w:val="24"/>
          <w:lang w:val="lt-LT"/>
        </w:rPr>
      </w:r>
    </w:p>
    <w:p>
      <w:pPr>
        <w:pStyle w:val="Normal"/>
        <w:widowControl w:val="false"/>
        <w:numPr>
          <w:ilvl w:val="0"/>
          <w:numId w:val="3"/>
        </w:numPr>
        <w:pBdr/>
        <w:tabs>
          <w:tab w:val="clear" w:pos="1296"/>
          <w:tab w:val="left" w:pos="851" w:leader="none"/>
          <w:tab w:val="left" w:pos="993" w:leader="none"/>
        </w:tabs>
        <w:spacing w:before="0" w:after="0"/>
        <w:ind w:hanging="425" w:left="567"/>
        <w:contextualSpacing/>
        <w:jc w:val="both"/>
        <w:rPr>
          <w:rFonts w:eastAsia="Calibri" w:cs="Times New Roman"/>
          <w:sz w:val="24"/>
          <w:szCs w:val="24"/>
          <w:lang w:val="lt-LT"/>
        </w:rPr>
      </w:pPr>
      <w:r>
        <w:rPr>
          <w:rFonts w:eastAsia="Calibri" w:cs="Times New Roman"/>
          <w:sz w:val="24"/>
          <w:szCs w:val="24"/>
          <w:lang w:val="lt-LT"/>
        </w:rPr>
        <w:t>Pirkimo objektas: ekspertų paslaugos naujiems Koordinatoriams apmokyti ir paruošti ambasadorius (toliau – Ekspertų paslaugos).</w:t>
      </w:r>
    </w:p>
    <w:p>
      <w:pPr>
        <w:pStyle w:val="Normal"/>
        <w:widowControl w:val="false"/>
        <w:numPr>
          <w:ilvl w:val="0"/>
          <w:numId w:val="3"/>
        </w:numPr>
        <w:pBdr/>
        <w:tabs>
          <w:tab w:val="clear" w:pos="1296"/>
          <w:tab w:val="left" w:pos="851" w:leader="none"/>
          <w:tab w:val="left" w:pos="993" w:leader="none"/>
        </w:tabs>
        <w:spacing w:before="0" w:after="0"/>
        <w:ind w:hanging="425" w:left="567"/>
        <w:contextualSpacing/>
        <w:jc w:val="both"/>
        <w:rPr>
          <w:rFonts w:eastAsia="Calibri" w:cs="Times New Roman"/>
          <w:sz w:val="24"/>
          <w:szCs w:val="24"/>
          <w:lang w:val="lt-LT"/>
        </w:rPr>
      </w:pPr>
      <w:r>
        <w:rPr>
          <w:rFonts w:eastAsia="Calibri" w:cs="Times New Roman"/>
          <w:sz w:val="24"/>
          <w:szCs w:val="24"/>
          <w:lang w:val="lt-LT"/>
        </w:rPr>
        <w:t>Ekspertų paslaugos apima:</w:t>
      </w:r>
    </w:p>
    <w:p>
      <w:pPr>
        <w:pStyle w:val="Normal"/>
        <w:widowControl w:val="false"/>
        <w:pBdr/>
        <w:tabs>
          <w:tab w:val="clear" w:pos="1296"/>
          <w:tab w:val="left" w:pos="851" w:leader="none"/>
        </w:tabs>
        <w:spacing w:lineRule="auto" w:line="259" w:before="0" w:after="0"/>
        <w:ind w:hanging="425" w:left="851"/>
        <w:contextualSpacing/>
        <w:jc w:val="both"/>
        <w:rPr>
          <w:rFonts w:eastAsia="Calibri" w:cs="Times New Roman"/>
          <w:sz w:val="24"/>
          <w:szCs w:val="24"/>
          <w:lang w:val="lt-LT"/>
        </w:rPr>
      </w:pPr>
      <w:r>
        <w:rPr>
          <w:rFonts w:eastAsia="Calibri" w:cs="Times New Roman"/>
          <w:sz w:val="24"/>
          <w:szCs w:val="24"/>
          <w:lang w:val="lt-LT"/>
        </w:rPr>
        <w:t xml:space="preserve">8.1. </w:t>
      </w:r>
      <w:r>
        <w:rPr>
          <w:rFonts w:eastAsia="Calibri" w:cs="Times New Roman"/>
          <w:b/>
          <w:bCs/>
          <w:sz w:val="24"/>
          <w:szCs w:val="24"/>
          <w:lang w:val="lt-LT"/>
        </w:rPr>
        <w:t>Konsultacinių paslaugų teikimas</w:t>
      </w:r>
      <w:r>
        <w:rPr>
          <w:rFonts w:eastAsia="Calibri" w:cs="Times New Roman"/>
          <w:sz w:val="24"/>
          <w:szCs w:val="24"/>
          <w:lang w:val="lt-LT"/>
        </w:rPr>
        <w:t xml:space="preserve"> psichikos sveikatos raštingumo didinimo, psichikos sveikatos ambasadorių iniciatyvos ir viešosios komunikacijos kampanijos apie psichikos sveikatą ir psichikos sveikatos stigmos mažinimą strateginio planavimo ir įgyvendinimo klausimais:</w:t>
      </w:r>
    </w:p>
    <w:p>
      <w:pPr>
        <w:pStyle w:val="ListParagraph"/>
        <w:widowControl w:val="false"/>
        <w:numPr>
          <w:ilvl w:val="2"/>
          <w:numId w:val="3"/>
        </w:numPr>
        <w:pBdr/>
        <w:tabs>
          <w:tab w:val="clear" w:pos="1296"/>
          <w:tab w:val="left" w:pos="851" w:leader="none"/>
        </w:tabs>
        <w:spacing w:lineRule="auto" w:line="259" w:before="0" w:after="0"/>
        <w:ind w:hanging="720" w:left="1560"/>
        <w:contextualSpacing/>
        <w:jc w:val="both"/>
        <w:rPr>
          <w:rFonts w:eastAsia="Calibri" w:cs="Times New Roman"/>
          <w:sz w:val="24"/>
          <w:szCs w:val="24"/>
          <w:lang w:val="lt-LT"/>
        </w:rPr>
      </w:pPr>
      <w:r>
        <w:rPr>
          <w:rFonts w:eastAsia="Calibri" w:cs="Times New Roman"/>
          <w:sz w:val="24"/>
          <w:szCs w:val="24"/>
          <w:lang w:val="lt-LT"/>
        </w:rPr>
        <w:t>Šios paslaugos apima Perkančiosios organizacijos darbuotojų konsultavimą dėl psichikos sveikatos raštingumo didinimo, psichikos sveikatos ambasadorių iniciatyvos įgyvendinimo. Jos taip pat apima strateginių dokumentų, klausimynų, kitų svarbių dokumentų pavyzdžių teikimą, parengtų projektų peržiūrą ir analizę, psichikos sveikatos raštingumo didinimo, komunikacijos kampanijos apie psichikos sveikatą ir psichikos sveikatos stigmos mažinimą priemonių įgyvendinimo planavimą.</w:t>
      </w:r>
    </w:p>
    <w:p>
      <w:pPr>
        <w:pStyle w:val="ListParagraph"/>
        <w:widowControl w:val="false"/>
        <w:numPr>
          <w:ilvl w:val="2"/>
          <w:numId w:val="3"/>
        </w:numPr>
        <w:pBdr/>
        <w:tabs>
          <w:tab w:val="clear" w:pos="1296"/>
          <w:tab w:val="left" w:pos="851" w:leader="none"/>
        </w:tabs>
        <w:spacing w:lineRule="auto" w:line="259" w:before="0" w:after="0"/>
        <w:ind w:hanging="720" w:left="1560"/>
        <w:contextualSpacing/>
        <w:jc w:val="both"/>
        <w:rPr>
          <w:rFonts w:eastAsia="Calibri" w:cs="Times New Roman"/>
          <w:sz w:val="24"/>
          <w:szCs w:val="24"/>
          <w:lang w:val="lt-LT"/>
        </w:rPr>
      </w:pPr>
      <w:r>
        <w:rPr>
          <w:rFonts w:eastAsia="Calibri" w:cs="Times New Roman"/>
          <w:sz w:val="24"/>
          <w:szCs w:val="24"/>
          <w:lang w:val="lt-LT"/>
        </w:rPr>
        <w:t xml:space="preserve">Konsultacijos gali vykti raštu (el. paštu) arba nuotolinių susitikimų metu, </w:t>
      </w:r>
    </w:p>
    <w:p>
      <w:pPr>
        <w:pStyle w:val="ListParagraph"/>
        <w:widowControl w:val="false"/>
        <w:numPr>
          <w:ilvl w:val="2"/>
          <w:numId w:val="3"/>
        </w:numPr>
        <w:pBdr/>
        <w:tabs>
          <w:tab w:val="clear" w:pos="1296"/>
          <w:tab w:val="left" w:pos="851" w:leader="none"/>
        </w:tabs>
        <w:spacing w:lineRule="auto" w:line="259" w:before="0" w:after="0"/>
        <w:ind w:hanging="720" w:left="1560"/>
        <w:contextualSpacing/>
        <w:jc w:val="both"/>
        <w:rPr>
          <w:rFonts w:eastAsia="Calibri" w:cs="Times New Roman"/>
          <w:sz w:val="24"/>
          <w:szCs w:val="24"/>
          <w:lang w:val="lt-LT"/>
        </w:rPr>
      </w:pPr>
      <w:r>
        <w:rPr>
          <w:rFonts w:eastAsia="Calibri" w:cs="Times New Roman"/>
          <w:sz w:val="24"/>
          <w:szCs w:val="24"/>
          <w:lang w:val="lt-LT"/>
        </w:rPr>
        <w:t>Iš viso turi būti suteiktos ne daugiau kaip 8 astronominės valandos konsultacijų, kurios gali būti padalytos ir panaudotos kelioms atskiroms konsultacijoms.</w:t>
      </w:r>
    </w:p>
    <w:p>
      <w:pPr>
        <w:pStyle w:val="Normal"/>
        <w:widowControl w:val="false"/>
        <w:pBdr/>
        <w:tabs>
          <w:tab w:val="clear" w:pos="1296"/>
          <w:tab w:val="left" w:pos="720" w:leader="none"/>
          <w:tab w:val="left" w:pos="851" w:leader="none"/>
        </w:tabs>
        <w:spacing w:lineRule="auto" w:line="259" w:before="0" w:after="0"/>
        <w:ind w:hanging="425" w:left="851"/>
        <w:contextualSpacing/>
        <w:jc w:val="both"/>
        <w:rPr>
          <w:rFonts w:eastAsia="Calibri" w:cs="Times New Roman"/>
          <w:sz w:val="24"/>
          <w:szCs w:val="24"/>
          <w:lang w:val="lt-LT"/>
        </w:rPr>
      </w:pPr>
      <w:r>
        <w:rPr>
          <w:rFonts w:eastAsia="Calibri" w:cs="Times New Roman"/>
          <w:sz w:val="24"/>
          <w:szCs w:val="24"/>
          <w:lang w:val="lt-LT"/>
        </w:rPr>
        <w:t xml:space="preserve">8.2. </w:t>
      </w:r>
      <w:r>
        <w:rPr>
          <w:rFonts w:eastAsia="Calibri" w:cs="Times New Roman"/>
          <w:b/>
          <w:bCs/>
          <w:sz w:val="24"/>
          <w:szCs w:val="24"/>
          <w:lang w:val="lt-LT"/>
        </w:rPr>
        <w:t>Kontaktinių mokymų vedimas</w:t>
      </w:r>
      <w:r>
        <w:rPr>
          <w:rFonts w:eastAsia="Calibri" w:cs="Times New Roman"/>
          <w:sz w:val="24"/>
          <w:szCs w:val="24"/>
          <w:lang w:val="lt-LT"/>
        </w:rPr>
        <w:t xml:space="preserve"> naujiems Koordinatoriams apmokyti. Paslaugos apima: </w:t>
      </w:r>
    </w:p>
    <w:tbl>
      <w:tblPr>
        <w:tblStyle w:val="TableGrid"/>
        <w:tblW w:w="8790" w:type="dxa"/>
        <w:jc w:val="left"/>
        <w:tblInd w:w="851" w:type="dxa"/>
        <w:tblLayout w:type="fixed"/>
        <w:tblCellMar>
          <w:top w:w="0" w:type="dxa"/>
          <w:left w:w="108" w:type="dxa"/>
          <w:bottom w:w="0" w:type="dxa"/>
          <w:right w:w="108" w:type="dxa"/>
        </w:tblCellMar>
        <w:tblLook w:firstRow="1" w:noVBand="1" w:lastRow="0" w:firstColumn="1" w:lastColumn="0" w:noHBand="1" w:val="06a0"/>
      </w:tblPr>
      <w:tblGrid>
        <w:gridCol w:w="4105"/>
        <w:gridCol w:w="4684"/>
      </w:tblGrid>
      <w:tr>
        <w:trPr>
          <w:trHeight w:val="460" w:hRule="atLeast"/>
        </w:trPr>
        <w:tc>
          <w:tcPr>
            <w:tcW w:w="4105" w:type="dxa"/>
            <w:tcBorders/>
          </w:tcPr>
          <w:p>
            <w:pPr>
              <w:pStyle w:val="Normal"/>
              <w:widowControl/>
              <w:spacing w:before="0" w:after="0"/>
              <w:jc w:val="center"/>
              <w:rPr>
                <w:rFonts w:eastAsia="Calibri"/>
                <w:sz w:val="24"/>
                <w:szCs w:val="24"/>
                <w:lang w:val="lt-LT"/>
              </w:rPr>
            </w:pPr>
            <w:r>
              <w:rPr>
                <w:rFonts w:eastAsia="Calibri" w:cs="Times New Roman"/>
                <w:b/>
                <w:bCs/>
                <w:kern w:val="0"/>
                <w:sz w:val="24"/>
                <w:szCs w:val="24"/>
                <w:lang w:val="lt-LT" w:eastAsia="lt-LT" w:bidi="ar-SA"/>
              </w:rPr>
              <w:t>Kontaktiniai mokymai Nr.1</w:t>
            </w:r>
          </w:p>
        </w:tc>
        <w:tc>
          <w:tcPr>
            <w:tcW w:w="4684" w:type="dxa"/>
            <w:tcBorders/>
          </w:tcPr>
          <w:p>
            <w:pPr>
              <w:pStyle w:val="Normal"/>
              <w:widowControl/>
              <w:spacing w:before="0" w:after="0"/>
              <w:jc w:val="center"/>
              <w:rPr>
                <w:rFonts w:eastAsia="Calibri"/>
                <w:sz w:val="24"/>
                <w:szCs w:val="24"/>
                <w:lang w:val="lt-LT"/>
              </w:rPr>
            </w:pPr>
            <w:r>
              <w:rPr>
                <w:rFonts w:eastAsia="Calibri" w:cs="Times New Roman"/>
                <w:b/>
                <w:bCs/>
                <w:kern w:val="0"/>
                <w:sz w:val="24"/>
                <w:szCs w:val="24"/>
                <w:lang w:val="lt-LT" w:eastAsia="lt-LT" w:bidi="ar-SA"/>
              </w:rPr>
              <w:t>Kontaktiniai mokymai Nr. 2</w:t>
            </w:r>
          </w:p>
        </w:tc>
      </w:tr>
      <w:tr>
        <w:trPr>
          <w:trHeight w:val="300" w:hRule="atLeast"/>
        </w:trPr>
        <w:tc>
          <w:tcPr>
            <w:tcW w:w="4105" w:type="dxa"/>
            <w:tcBorders/>
          </w:tcPr>
          <w:p>
            <w:pPr>
              <w:pStyle w:val="ListParagraph"/>
              <w:widowControl/>
              <w:numPr>
                <w:ilvl w:val="0"/>
                <w:numId w:val="2"/>
              </w:numPr>
              <w:spacing w:before="0" w:after="0"/>
              <w:ind w:hanging="360" w:left="360"/>
              <w:contextualSpacing/>
              <w:jc w:val="left"/>
              <w:rPr>
                <w:rFonts w:eastAsia="Calibri"/>
                <w:sz w:val="24"/>
                <w:szCs w:val="24"/>
                <w:lang w:val="lt-LT"/>
              </w:rPr>
            </w:pPr>
            <w:r>
              <w:rPr>
                <w:rFonts w:eastAsia="Calibri" w:cs="Times New Roman"/>
                <w:kern w:val="0"/>
                <w:sz w:val="24"/>
                <w:szCs w:val="24"/>
                <w:lang w:val="lt-LT" w:eastAsia="lt-LT" w:bidi="ar-SA"/>
              </w:rPr>
              <w:t xml:space="preserve">Mokymai, skirti naujiems  Koordinatoriams paruošti, turi būti vedami pagal su Perkančiąja organizacija suderintą Psichikos sveikatos ambasadorių parengimo programą. </w:t>
            </w:r>
          </w:p>
          <w:p>
            <w:pPr>
              <w:pStyle w:val="ListParagraph"/>
              <w:widowControl/>
              <w:numPr>
                <w:ilvl w:val="0"/>
                <w:numId w:val="2"/>
              </w:numPr>
              <w:spacing w:before="0" w:after="0"/>
              <w:ind w:hanging="360" w:left="360"/>
              <w:contextualSpacing/>
              <w:jc w:val="left"/>
              <w:rPr>
                <w:rFonts w:eastAsia="Calibri"/>
                <w:sz w:val="24"/>
                <w:szCs w:val="24"/>
                <w:lang w:val="lt-LT"/>
              </w:rPr>
            </w:pPr>
            <w:r>
              <w:rPr>
                <w:rFonts w:eastAsia="Calibri" w:cs="Times New Roman"/>
                <w:kern w:val="0"/>
                <w:sz w:val="24"/>
                <w:szCs w:val="24"/>
                <w:lang w:val="lt-LT" w:eastAsia="lt-LT" w:bidi="ar-SA"/>
              </w:rPr>
              <w:t xml:space="preserve">Mokymų programos turinys apima įvadą apie psichikos sveikatos stigmą ir diskriminaciją, stigmos mažinimą, socialinio kontakto modelį, ambasadorių iniciatyvos plėtojimą, koordinatorių savipagalbą bei  ambasadorių palaikymą ir stiprinimą iniciatyvos įgyvendinimo metu. Programa pateikiama word, ppt, pdf formatu. </w:t>
            </w:r>
          </w:p>
          <w:p>
            <w:pPr>
              <w:pStyle w:val="ListParagraph"/>
              <w:widowControl/>
              <w:numPr>
                <w:ilvl w:val="0"/>
                <w:numId w:val="2"/>
              </w:numPr>
              <w:spacing w:before="0" w:after="0"/>
              <w:ind w:hanging="360" w:left="360"/>
              <w:contextualSpacing/>
              <w:jc w:val="left"/>
              <w:rPr>
                <w:rFonts w:eastAsia="Calibri"/>
                <w:sz w:val="24"/>
                <w:szCs w:val="24"/>
                <w:lang w:val="lt-LT"/>
              </w:rPr>
            </w:pPr>
            <w:r>
              <w:rPr>
                <w:rFonts w:eastAsia="Calibri" w:cs="Times New Roman"/>
                <w:kern w:val="0"/>
                <w:sz w:val="24"/>
                <w:szCs w:val="24"/>
                <w:lang w:val="lt-LT" w:eastAsia="lt-LT" w:bidi="ar-SA"/>
              </w:rPr>
              <w:t xml:space="preserve">Mokymų trukmė: 16 val. (po 8 ak. val. dvi dienas iš eilės). </w:t>
            </w:r>
          </w:p>
          <w:p>
            <w:pPr>
              <w:pStyle w:val="ListParagraph"/>
              <w:widowControl/>
              <w:numPr>
                <w:ilvl w:val="0"/>
                <w:numId w:val="2"/>
              </w:numPr>
              <w:spacing w:before="0" w:after="0"/>
              <w:ind w:hanging="360" w:left="360"/>
              <w:contextualSpacing/>
              <w:jc w:val="left"/>
              <w:rPr>
                <w:rFonts w:eastAsia="Calibri"/>
                <w:sz w:val="24"/>
                <w:szCs w:val="24"/>
                <w:lang w:val="lt-LT"/>
              </w:rPr>
            </w:pPr>
            <w:r>
              <w:rPr>
                <w:rFonts w:eastAsia="Calibri" w:cs="Times New Roman"/>
                <w:kern w:val="0"/>
                <w:sz w:val="24"/>
                <w:szCs w:val="24"/>
                <w:lang w:val="lt-LT" w:eastAsia="lt-LT" w:bidi="ar-SA"/>
              </w:rPr>
              <w:t>Numatomas mokymų dalyvių skaičius: 10.</w:t>
            </w:r>
          </w:p>
          <w:p>
            <w:pPr>
              <w:pStyle w:val="ListParagraph"/>
              <w:widowControl/>
              <w:numPr>
                <w:ilvl w:val="0"/>
                <w:numId w:val="2"/>
              </w:numPr>
              <w:spacing w:before="0" w:after="0"/>
              <w:ind w:hanging="360" w:left="360"/>
              <w:contextualSpacing/>
              <w:jc w:val="left"/>
              <w:rPr>
                <w:rFonts w:eastAsia="Calibri"/>
                <w:sz w:val="24"/>
                <w:szCs w:val="24"/>
                <w:lang w:val="lt-LT"/>
              </w:rPr>
            </w:pPr>
            <w:r>
              <w:rPr>
                <w:rFonts w:eastAsia="Calibri" w:cs="Times New Roman"/>
                <w:kern w:val="0"/>
                <w:sz w:val="24"/>
                <w:szCs w:val="24"/>
                <w:lang w:val="lt-LT" w:eastAsia="lt-LT" w:bidi="ar-SA"/>
              </w:rPr>
              <w:t xml:space="preserve">Mokymų vieta: Vilnius. </w:t>
            </w:r>
          </w:p>
          <w:p>
            <w:pPr>
              <w:pStyle w:val="ListParagraph"/>
              <w:widowControl/>
              <w:numPr>
                <w:ilvl w:val="0"/>
                <w:numId w:val="2"/>
              </w:numPr>
              <w:spacing w:before="0" w:after="0"/>
              <w:ind w:hanging="360" w:left="360"/>
              <w:contextualSpacing/>
              <w:jc w:val="left"/>
              <w:rPr>
                <w:rFonts w:eastAsia="Calibri"/>
                <w:sz w:val="24"/>
                <w:szCs w:val="24"/>
                <w:lang w:val="lt-LT"/>
              </w:rPr>
            </w:pPr>
            <w:r>
              <w:rPr>
                <w:rFonts w:eastAsia="Calibri" w:cs="Times New Roman"/>
                <w:kern w:val="0"/>
                <w:sz w:val="24"/>
                <w:szCs w:val="24"/>
                <w:lang w:val="lt-LT" w:eastAsia="lt-LT" w:bidi="ar-SA"/>
              </w:rPr>
              <w:t>Kontaktiniai mokymai Nr. 1 turi vykti pirmieji, prieš Kontaktinius mokymus Nr. 2</w:t>
            </w:r>
          </w:p>
        </w:tc>
        <w:tc>
          <w:tcPr>
            <w:tcW w:w="4684" w:type="dxa"/>
            <w:tcBorders/>
          </w:tcPr>
          <w:p>
            <w:pPr>
              <w:pStyle w:val="ListParagraph"/>
              <w:widowControl/>
              <w:numPr>
                <w:ilvl w:val="0"/>
                <w:numId w:val="1"/>
              </w:numPr>
              <w:spacing w:before="0" w:after="0"/>
              <w:contextualSpacing/>
              <w:jc w:val="left"/>
              <w:rPr>
                <w:rFonts w:eastAsia="Calibri"/>
                <w:sz w:val="24"/>
                <w:szCs w:val="24"/>
                <w:lang w:val="lt-LT"/>
              </w:rPr>
            </w:pPr>
            <w:r>
              <w:rPr>
                <w:rFonts w:eastAsia="Calibri" w:cs="Times New Roman"/>
                <w:kern w:val="0"/>
                <w:sz w:val="24"/>
                <w:szCs w:val="24"/>
                <w:lang w:val="lt-LT" w:eastAsia="lt-LT" w:bidi="ar-SA"/>
              </w:rPr>
              <w:t>Praktiniai mokymai naujiems Koordinatoriams, skirti apmokyti ir paruošti ambasadorius pagal su Perkančiąja organizacija suderintą Psichikos sveikatos ambasadorių parengimo programą.</w:t>
            </w:r>
          </w:p>
          <w:p>
            <w:pPr>
              <w:pStyle w:val="ListParagraph"/>
              <w:widowControl/>
              <w:numPr>
                <w:ilvl w:val="0"/>
                <w:numId w:val="1"/>
              </w:numPr>
              <w:spacing w:before="0" w:after="160"/>
              <w:contextualSpacing/>
              <w:jc w:val="left"/>
              <w:rPr>
                <w:rFonts w:eastAsia="Calibri"/>
                <w:sz w:val="24"/>
                <w:szCs w:val="24"/>
                <w:lang w:val="lt-LT"/>
              </w:rPr>
            </w:pPr>
            <w:r>
              <w:rPr>
                <w:rFonts w:eastAsia="Calibri" w:cs="Times New Roman"/>
                <w:kern w:val="0"/>
                <w:sz w:val="24"/>
                <w:szCs w:val="24"/>
                <w:lang w:val="lt-LT" w:eastAsia="lt-LT" w:bidi="ar-SA"/>
              </w:rPr>
              <w:t>Mokymų programos turinys apima įvadą apie psichikos sveikatos stigmą ir diskriminaciją, socialinio kontakto modelį, ambasadoriaus vaidmenį, socialinio kontakto užmezgimą ir ambasadoriaus pasitikėjimo stiprinimą, ambasadorių palaikymą iniciatyvos įgyvendinimo metu. Programa pateikiama word, ppt, pdf formatu.</w:t>
            </w:r>
          </w:p>
          <w:p>
            <w:pPr>
              <w:pStyle w:val="ListParagraph"/>
              <w:widowControl/>
              <w:numPr>
                <w:ilvl w:val="0"/>
                <w:numId w:val="1"/>
              </w:numPr>
              <w:spacing w:before="0" w:after="0"/>
              <w:contextualSpacing/>
              <w:jc w:val="left"/>
              <w:rPr>
                <w:rFonts w:eastAsia="Calibri"/>
                <w:sz w:val="24"/>
                <w:szCs w:val="24"/>
                <w:lang w:val="lt-LT"/>
              </w:rPr>
            </w:pPr>
            <w:r>
              <w:rPr>
                <w:rFonts w:eastAsia="Calibri" w:cs="Times New Roman"/>
                <w:kern w:val="0"/>
                <w:sz w:val="24"/>
                <w:szCs w:val="24"/>
                <w:lang w:val="lt-LT" w:eastAsia="lt-LT" w:bidi="ar-SA"/>
              </w:rPr>
              <w:t>Mokymų trukmė: 30 val. (4 dienos iš eilės).</w:t>
            </w:r>
          </w:p>
          <w:p>
            <w:pPr>
              <w:pStyle w:val="ListParagraph"/>
              <w:widowControl/>
              <w:numPr>
                <w:ilvl w:val="0"/>
                <w:numId w:val="1"/>
              </w:numPr>
              <w:spacing w:before="0" w:after="0"/>
              <w:contextualSpacing/>
              <w:jc w:val="left"/>
              <w:rPr>
                <w:rFonts w:eastAsia="Calibri"/>
                <w:sz w:val="24"/>
                <w:szCs w:val="24"/>
                <w:lang w:val="lt-LT"/>
              </w:rPr>
            </w:pPr>
            <w:r>
              <w:rPr>
                <w:rFonts w:eastAsia="Calibri" w:cs="Times New Roman"/>
                <w:kern w:val="0"/>
                <w:sz w:val="24"/>
                <w:szCs w:val="24"/>
                <w:lang w:val="lt-LT" w:eastAsia="lt-LT" w:bidi="ar-SA"/>
              </w:rPr>
              <w:t>Numatomas mokymų dalyvių skaičius:</w:t>
            </w:r>
          </w:p>
          <w:p>
            <w:pPr>
              <w:pStyle w:val="ListParagraph"/>
              <w:widowControl/>
              <w:numPr>
                <w:ilvl w:val="1"/>
                <w:numId w:val="1"/>
              </w:numPr>
              <w:spacing w:before="0" w:after="0"/>
              <w:contextualSpacing/>
              <w:jc w:val="left"/>
              <w:rPr>
                <w:rFonts w:eastAsia="Calibri"/>
                <w:sz w:val="24"/>
                <w:szCs w:val="24"/>
                <w:lang w:val="lt-LT"/>
              </w:rPr>
            </w:pPr>
            <w:r>
              <w:rPr>
                <w:rFonts w:eastAsia="Calibri" w:cs="Times New Roman"/>
                <w:kern w:val="0"/>
                <w:sz w:val="24"/>
                <w:szCs w:val="24"/>
                <w:lang w:val="lt-LT" w:eastAsia="lt-LT" w:bidi="ar-SA"/>
              </w:rPr>
              <w:t>pirmas dvi dienas apie 10.</w:t>
            </w:r>
          </w:p>
          <w:p>
            <w:pPr>
              <w:pStyle w:val="ListParagraph"/>
              <w:widowControl/>
              <w:numPr>
                <w:ilvl w:val="1"/>
                <w:numId w:val="1"/>
              </w:numPr>
              <w:spacing w:before="0" w:after="0"/>
              <w:contextualSpacing/>
              <w:jc w:val="left"/>
              <w:rPr>
                <w:rFonts w:eastAsia="Calibri"/>
                <w:sz w:val="24"/>
                <w:szCs w:val="24"/>
                <w:lang w:val="lt-LT"/>
              </w:rPr>
            </w:pPr>
            <w:r>
              <w:rPr>
                <w:rFonts w:eastAsia="Calibri" w:cs="Times New Roman"/>
                <w:kern w:val="0"/>
                <w:sz w:val="24"/>
                <w:szCs w:val="24"/>
                <w:lang w:val="lt-LT" w:eastAsia="lt-LT" w:bidi="ar-SA"/>
              </w:rPr>
              <w:t>paskutines dvi dienas apie 40.</w:t>
            </w:r>
          </w:p>
          <w:p>
            <w:pPr>
              <w:pStyle w:val="ListParagraph"/>
              <w:widowControl/>
              <w:numPr>
                <w:ilvl w:val="0"/>
                <w:numId w:val="1"/>
              </w:numPr>
              <w:spacing w:before="0" w:after="0"/>
              <w:contextualSpacing/>
              <w:jc w:val="left"/>
              <w:rPr>
                <w:rFonts w:eastAsia="Calibri"/>
                <w:sz w:val="24"/>
                <w:szCs w:val="24"/>
                <w:lang w:val="lt-LT"/>
              </w:rPr>
            </w:pPr>
            <w:r>
              <w:rPr>
                <w:rFonts w:eastAsia="Calibri" w:cs="Times New Roman"/>
                <w:kern w:val="0"/>
                <w:sz w:val="24"/>
                <w:szCs w:val="24"/>
                <w:lang w:val="lt-LT" w:eastAsia="lt-LT" w:bidi="ar-SA"/>
              </w:rPr>
              <w:t>Mokymų vieta: Vilnius.</w:t>
            </w:r>
          </w:p>
          <w:p>
            <w:pPr>
              <w:pStyle w:val="ListParagraph"/>
              <w:widowControl/>
              <w:numPr>
                <w:ilvl w:val="0"/>
                <w:numId w:val="1"/>
              </w:numPr>
              <w:spacing w:before="0" w:after="0"/>
              <w:contextualSpacing/>
              <w:jc w:val="left"/>
              <w:rPr>
                <w:rFonts w:eastAsia="Calibri"/>
                <w:sz w:val="24"/>
                <w:szCs w:val="24"/>
                <w:lang w:val="lt-LT"/>
              </w:rPr>
            </w:pPr>
            <w:r>
              <w:rPr>
                <w:rFonts w:eastAsia="Calibri" w:cs="Times New Roman"/>
                <w:kern w:val="0"/>
                <w:sz w:val="24"/>
                <w:szCs w:val="24"/>
                <w:lang w:val="lt-LT" w:eastAsia="lt-LT" w:bidi="ar-SA"/>
              </w:rPr>
              <w:t>Kontaktiniai mokymai Nr. 2 turi vykti antrieji, po Kontaktinių mokymų Nr. 1.</w:t>
            </w:r>
          </w:p>
          <w:p>
            <w:pPr>
              <w:pStyle w:val="ListParagraph"/>
              <w:widowControl/>
              <w:spacing w:before="0" w:after="0"/>
              <w:ind w:left="360"/>
              <w:contextualSpacing/>
              <w:jc w:val="left"/>
              <w:rPr>
                <w:rFonts w:eastAsia="Calibri"/>
                <w:sz w:val="24"/>
                <w:szCs w:val="24"/>
                <w:lang w:val="lt-LT"/>
              </w:rPr>
            </w:pPr>
            <w:r>
              <w:rPr>
                <w:rFonts w:eastAsia="Calibri" w:cs="Times New Roman"/>
                <w:kern w:val="0"/>
                <w:sz w:val="24"/>
                <w:szCs w:val="24"/>
                <w:lang w:val="lt-LT" w:eastAsia="lt-LT" w:bidi="ar-SA"/>
              </w:rPr>
            </w:r>
          </w:p>
        </w:tc>
      </w:tr>
    </w:tbl>
    <w:p>
      <w:pPr>
        <w:pStyle w:val="ListParagraph"/>
        <w:widowControl w:val="false"/>
        <w:numPr>
          <w:ilvl w:val="0"/>
          <w:numId w:val="3"/>
        </w:numPr>
        <w:shd w:val="clear" w:color="auto" w:fill="FFFFFF" w:themeFill="background1"/>
        <w:tabs>
          <w:tab w:val="clear" w:pos="1296"/>
          <w:tab w:val="left" w:pos="851" w:leader="none"/>
        </w:tabs>
        <w:spacing w:lineRule="auto" w:line="259" w:before="240" w:after="0"/>
        <w:contextualSpacing/>
        <w:jc w:val="both"/>
        <w:rPr>
          <w:rFonts w:eastAsia="Calibri" w:cs="Times New Roman"/>
          <w:sz w:val="24"/>
          <w:szCs w:val="24"/>
          <w:lang w:val="lt-LT"/>
        </w:rPr>
      </w:pPr>
      <w:r>
        <w:rPr>
          <w:rFonts w:eastAsia="Calibri" w:cs="Times New Roman"/>
          <w:sz w:val="24"/>
          <w:szCs w:val="24"/>
          <w:lang w:val="lt-LT"/>
        </w:rPr>
        <w:t>Šios Techninės specifikacijos 8 punkte išvardytos paslaugos apima ir ekspertų komandos narių pasirengimo, administracines, organizacines, apgyvendinimo, kelionės nuo jų apgyvendinimo vietos iki mokymų vietos ir kitas reikalingas išlaidas, siekiant kokybiškai suteikti ekspertų paslaugas.</w:t>
      </w:r>
    </w:p>
    <w:p>
      <w:pPr>
        <w:pStyle w:val="ListParagraph"/>
        <w:widowControl w:val="false"/>
        <w:numPr>
          <w:ilvl w:val="0"/>
          <w:numId w:val="3"/>
        </w:numPr>
        <w:shd w:val="clear" w:color="auto" w:fill="FFFFFF" w:themeFill="background1"/>
        <w:tabs>
          <w:tab w:val="clear" w:pos="1296"/>
          <w:tab w:val="left" w:pos="851" w:leader="none"/>
        </w:tabs>
        <w:spacing w:lineRule="auto" w:line="259"/>
        <w:jc w:val="both"/>
        <w:rPr>
          <w:rFonts w:eastAsia="Calibri" w:cs="Times New Roman"/>
          <w:sz w:val="24"/>
          <w:szCs w:val="24"/>
          <w:lang w:val="lt-LT"/>
        </w:rPr>
      </w:pPr>
      <w:r>
        <w:rPr>
          <w:rFonts w:eastAsia="Calibri" w:cs="Times New Roman"/>
          <w:sz w:val="24"/>
          <w:szCs w:val="24"/>
          <w:lang w:val="lt-LT"/>
        </w:rPr>
        <w:t xml:space="preserve">Perkančioji organizacija apie planuojamų konsultacijų, kontaktinių mokymų datas   informuoja paslaugos tiekėją ne vėliau nei prieš 10 d. </w:t>
      </w:r>
    </w:p>
    <w:p>
      <w:pPr>
        <w:pStyle w:val="Normal"/>
        <w:pBdr/>
        <w:shd w:val="clear" w:color="auto" w:fill="FFFFFF" w:themeFill="background1"/>
        <w:tabs>
          <w:tab w:val="clear" w:pos="1296"/>
          <w:tab w:val="left" w:pos="720" w:leader="none"/>
        </w:tabs>
        <w:spacing w:before="0" w:after="0"/>
        <w:jc w:val="center"/>
        <w:rPr>
          <w:rFonts w:eastAsia="Times New Roman" w:cs="Times New Roman"/>
          <w:b/>
          <w:bCs/>
          <w:sz w:val="24"/>
          <w:szCs w:val="24"/>
          <w:lang w:val="lt-LT"/>
        </w:rPr>
      </w:pPr>
      <w:r>
        <w:rPr>
          <w:rFonts w:eastAsia="Times New Roman" w:cs="Times New Roman"/>
          <w:b/>
          <w:bCs/>
          <w:sz w:val="24"/>
          <w:szCs w:val="24"/>
          <w:lang w:val="lt-LT"/>
        </w:rPr>
        <w:t>III SKYRIUS</w:t>
      </w:r>
    </w:p>
    <w:p>
      <w:pPr>
        <w:pStyle w:val="Normal"/>
        <w:pBdr/>
        <w:shd w:val="clear" w:color="auto" w:fill="FFFFFF" w:themeFill="background1"/>
        <w:tabs>
          <w:tab w:val="clear" w:pos="1296"/>
          <w:tab w:val="left" w:pos="720" w:leader="none"/>
        </w:tabs>
        <w:spacing w:before="0" w:after="0"/>
        <w:jc w:val="center"/>
        <w:rPr>
          <w:rFonts w:eastAsia="Times New Roman" w:cs="Times New Roman"/>
          <w:b/>
          <w:bCs/>
          <w:sz w:val="24"/>
          <w:szCs w:val="24"/>
          <w:lang w:val="lt-LT"/>
        </w:rPr>
      </w:pPr>
      <w:r>
        <w:rPr>
          <w:rFonts w:eastAsia="Times New Roman" w:cs="Times New Roman"/>
          <w:b/>
          <w:bCs/>
          <w:sz w:val="24"/>
          <w:szCs w:val="24"/>
          <w:lang w:val="lt-LT"/>
        </w:rPr>
        <w:t>PASLAUGŲ TEIKIMO TERMINAS, EIGA, VALDYMAS IR ATSAKOMYBĖS</w:t>
      </w:r>
    </w:p>
    <w:p>
      <w:pPr>
        <w:pStyle w:val="Normal"/>
        <w:pBdr/>
        <w:shd w:val="clear" w:color="auto" w:fill="FFFFFF" w:themeFill="background1"/>
        <w:tabs>
          <w:tab w:val="clear" w:pos="1296"/>
          <w:tab w:val="left" w:pos="720" w:leader="none"/>
        </w:tabs>
        <w:spacing w:before="0" w:after="0"/>
        <w:jc w:val="both"/>
        <w:rPr>
          <w:rFonts w:eastAsia="Times New Roman" w:cs="Times New Roman"/>
          <w:b/>
          <w:bCs/>
          <w:sz w:val="24"/>
          <w:szCs w:val="24"/>
          <w:lang w:val="lt-LT"/>
        </w:rPr>
      </w:pPr>
      <w:r>
        <w:rPr>
          <w:rFonts w:eastAsia="Times New Roman" w:cs="Times New Roman"/>
          <w:b/>
          <w:bCs/>
          <w:sz w:val="24"/>
          <w:szCs w:val="24"/>
          <w:lang w:val="lt-LT"/>
        </w:rPr>
      </w:r>
    </w:p>
    <w:p>
      <w:pPr>
        <w:pStyle w:val="ListParagraph"/>
        <w:numPr>
          <w:ilvl w:val="0"/>
          <w:numId w:val="3"/>
        </w:numPr>
        <w:pBdr/>
        <w:shd w:val="clear" w:color="auto" w:fill="FFFFFF" w:themeFill="background1"/>
        <w:spacing w:before="0" w:after="0"/>
        <w:contextualSpacing/>
        <w:jc w:val="both"/>
        <w:rPr>
          <w:rFonts w:eastAsia="Calibri" w:cs="Times New Roman"/>
          <w:sz w:val="24"/>
          <w:szCs w:val="24"/>
          <w:lang w:val="lt-LT"/>
        </w:rPr>
      </w:pPr>
      <w:r>
        <w:rPr>
          <w:rFonts w:eastAsia="Calibri" w:cs="Times New Roman"/>
          <w:sz w:val="24"/>
          <w:szCs w:val="24"/>
          <w:lang w:val="lt-LT"/>
        </w:rPr>
        <w:t xml:space="preserve">Pasirašius paslaugų teikimo sutartį, ne vėliau kaip per 10 darbo dienų organizuojamas susitikimas, kurio metu aptariamas detalus Paslaugų teikėjo pateiktas pasiūlymas dėl šioje Techninėje specifikacijoje apibrėžtų paslaugų įgyvendinimo. </w:t>
      </w:r>
    </w:p>
    <w:p>
      <w:pPr>
        <w:pStyle w:val="ListParagraph"/>
        <w:numPr>
          <w:ilvl w:val="0"/>
          <w:numId w:val="3"/>
        </w:numPr>
        <w:pBdr/>
        <w:shd w:val="clear" w:color="auto" w:fill="FFFFFF" w:themeFill="background1"/>
        <w:spacing w:before="0" w:after="0"/>
        <w:contextualSpacing/>
        <w:jc w:val="both"/>
        <w:rPr>
          <w:rFonts w:eastAsia="Calibri" w:cs="Times New Roman"/>
          <w:sz w:val="24"/>
          <w:szCs w:val="24"/>
          <w:lang w:val="lt-LT"/>
        </w:rPr>
      </w:pPr>
      <w:r>
        <w:rPr>
          <w:rFonts w:eastAsia="Times New Roman" w:cs="Times New Roman"/>
          <w:color w:themeColor="text1" w:val="000000"/>
          <w:sz w:val="24"/>
          <w:szCs w:val="24"/>
          <w:lang w:val="lt-LT"/>
        </w:rPr>
        <w:t>Paslaugų teikėjas turi užtikrinti, kad Kontaktinių mokymų vykdymo metu būtų laikomasi horizontaliojo principo nuostatų, įskaitant darnaus vystymosi principą, taip pat ir principą „nedaryti reikšmingos žalos“ aplinkai, lygių galimybių užtikrinimo bei nediskriminavimo principus.</w:t>
      </w:r>
    </w:p>
    <w:p>
      <w:pPr>
        <w:pStyle w:val="ListParagraph"/>
        <w:numPr>
          <w:ilvl w:val="0"/>
          <w:numId w:val="3"/>
        </w:numPr>
        <w:pBdr/>
        <w:shd w:val="clear" w:color="auto" w:fill="FFFFFF" w:themeFill="background1"/>
        <w:spacing w:before="0" w:after="0"/>
        <w:contextualSpacing/>
        <w:jc w:val="both"/>
        <w:rPr>
          <w:rFonts w:cs="Times New Roman"/>
          <w:sz w:val="24"/>
          <w:szCs w:val="24"/>
          <w:lang w:val="lt-LT"/>
        </w:rPr>
      </w:pPr>
      <w:r>
        <w:rPr>
          <w:rFonts w:eastAsia="Calibri" w:cs="Times New Roman"/>
          <w:sz w:val="24"/>
          <w:szCs w:val="24"/>
          <w:lang w:val="lt-LT"/>
        </w:rPr>
        <w:t xml:space="preserve">Paslaugų teikėjas turi užtikrinti nenutrūkstamą Paslaugų teikimo sutarties vykdymą, gerą veiklos organizavimą, efektyvų paslaugų įgyvendinimą ir aktyvų bendradarbiavimą su Perkančiosios organizacijos paskirtais darbuotojais. </w:t>
      </w:r>
      <w:r>
        <w:rPr>
          <w:rFonts w:eastAsia="Times New Roman" w:cs="Times New Roman"/>
          <w:color w:themeColor="text1" w:val="000000"/>
          <w:sz w:val="24"/>
          <w:szCs w:val="24"/>
          <w:lang w:val="lt-LT"/>
        </w:rPr>
        <w:t>Komunikacija dėl mokymų vedimo gali vykti raštu (el. paštu) arba nuotolinių susitikimų metu.</w:t>
      </w:r>
    </w:p>
    <w:p>
      <w:pPr>
        <w:pStyle w:val="ListParagraph"/>
        <w:numPr>
          <w:ilvl w:val="0"/>
          <w:numId w:val="3"/>
        </w:numPr>
        <w:pBdr/>
        <w:shd w:val="clear" w:color="auto" w:fill="FFFFFF" w:themeFill="background1"/>
        <w:spacing w:before="0" w:after="0"/>
        <w:contextualSpacing/>
        <w:jc w:val="both"/>
        <w:rPr>
          <w:rFonts w:eastAsia="Calibri" w:cs="Times New Roman"/>
          <w:sz w:val="24"/>
          <w:szCs w:val="24"/>
          <w:lang w:val="lt-LT"/>
        </w:rPr>
      </w:pPr>
      <w:r>
        <w:rPr>
          <w:rFonts w:eastAsia="Calibri" w:cs="Times New Roman"/>
          <w:sz w:val="24"/>
          <w:szCs w:val="24"/>
          <w:lang w:val="lt-LT"/>
        </w:rPr>
        <w:t xml:space="preserve">Perkančiosios organizacijos vertinimu, teikiamos paslaugos privalo būti kokybiškos ir profesionalios, atitinkančios geriausius, visuotinai pripažįstamus profesinius, techninius standartus ir praktiką, bei suteiktos panaudojant visus reikiamus įgūdžius ir žinias. </w:t>
      </w:r>
    </w:p>
    <w:p>
      <w:pPr>
        <w:pStyle w:val="ListParagraph"/>
        <w:numPr>
          <w:ilvl w:val="0"/>
          <w:numId w:val="3"/>
        </w:numPr>
        <w:spacing w:lineRule="auto" w:line="276" w:before="0" w:after="0"/>
        <w:contextualSpacing/>
        <w:jc w:val="both"/>
        <w:rPr>
          <w:rFonts w:eastAsia="Times New Roman" w:cs="Times New Roman"/>
          <w:sz w:val="24"/>
          <w:szCs w:val="24"/>
          <w:lang w:val="lt-LT"/>
        </w:rPr>
      </w:pPr>
      <w:r>
        <w:rPr>
          <w:rFonts w:eastAsia="Times New Roman" w:cs="Times New Roman"/>
          <w:sz w:val="24"/>
          <w:szCs w:val="24"/>
          <w:lang w:val="lt-LT"/>
        </w:rPr>
        <w:t>Paslaugos teikėjas turi būti susipažinęs su Tarpinstitucinės darbo grupės, sudaryto Lietuvos Respublikos finansų ministro 2021 m. birželio 11 d. įsakymu Nr. 1K-219 „Dėl tarpinstitucinės darbo grupės sudarymo“ patvirtintu Projekto dalyvių informacijos administravimo instrukcija.</w:t>
      </w:r>
    </w:p>
    <w:p>
      <w:pPr>
        <w:pStyle w:val="ListParagraph"/>
        <w:numPr>
          <w:ilvl w:val="0"/>
          <w:numId w:val="3"/>
        </w:numPr>
        <w:pBdr/>
        <w:shd w:val="clear" w:color="auto" w:fill="FFFFFF" w:themeFill="background1"/>
        <w:spacing w:before="0" w:after="0"/>
        <w:contextualSpacing/>
        <w:jc w:val="both"/>
        <w:rPr>
          <w:rFonts w:eastAsia="Times New Roman" w:cs="Times New Roman"/>
          <w:sz w:val="24"/>
          <w:szCs w:val="24"/>
          <w:lang w:val="lt-LT"/>
        </w:rPr>
      </w:pPr>
      <w:r>
        <w:rPr>
          <w:rFonts w:eastAsia="Times New Roman" w:cs="Times New Roman"/>
          <w:sz w:val="24"/>
          <w:szCs w:val="24"/>
          <w:lang w:val="lt-LT"/>
        </w:rPr>
        <w:t xml:space="preserve">Perkančioji organizacija moka už paslaugas pagal abiejų Šalių patvirtintą paslaugų priėmimo – perdavimo aktą ir jų pagrindu išrašytą sąskaitą faktūrą. </w:t>
      </w:r>
    </w:p>
    <w:p>
      <w:pPr>
        <w:pStyle w:val="ListParagraph"/>
        <w:numPr>
          <w:ilvl w:val="0"/>
          <w:numId w:val="3"/>
        </w:numPr>
        <w:pBdr/>
        <w:shd w:val="clear" w:color="auto" w:fill="FFFFFF" w:themeFill="background1"/>
        <w:spacing w:before="0" w:after="0"/>
        <w:contextualSpacing/>
        <w:jc w:val="both"/>
        <w:rPr>
          <w:rFonts w:eastAsia="Times New Roman" w:cs="Times New Roman"/>
          <w:sz w:val="24"/>
          <w:szCs w:val="24"/>
          <w:lang w:val="lt-LT"/>
        </w:rPr>
      </w:pPr>
      <w:r>
        <w:rPr>
          <w:rFonts w:eastAsia="Times New Roman" w:cs="Times New Roman"/>
          <w:sz w:val="24"/>
          <w:szCs w:val="24"/>
          <w:lang w:val="lt-LT"/>
        </w:rPr>
        <w:t>Paslaugų priėmimo – perdavimo aktas turi būti pateiktas per 5 darbo dienas po paslaugų teikimo datos, sąskaita faktūra Perkančiajai organizacijai pateikiama per 5 darbo dienas po abipusio priėmimo – perdavimo akto pasirašymo.</w:t>
      </w:r>
    </w:p>
    <w:p>
      <w:pPr>
        <w:pStyle w:val="ListParagraph"/>
        <w:numPr>
          <w:ilvl w:val="0"/>
          <w:numId w:val="3"/>
        </w:numPr>
        <w:pBdr/>
        <w:shd w:val="clear" w:color="auto" w:fill="FFFFFF" w:themeFill="background1"/>
        <w:spacing w:before="0" w:after="0"/>
        <w:contextualSpacing/>
        <w:jc w:val="both"/>
        <w:rPr>
          <w:rFonts w:eastAsia="Times New Roman" w:cs="Times New Roman"/>
          <w:sz w:val="24"/>
          <w:szCs w:val="24"/>
          <w:lang w:val="lt-LT"/>
        </w:rPr>
      </w:pPr>
      <w:r>
        <w:rPr>
          <w:rFonts w:eastAsia="Times New Roman" w:cs="Times New Roman"/>
          <w:sz w:val="24"/>
          <w:szCs w:val="24"/>
          <w:lang w:val="lt-LT"/>
        </w:rPr>
        <w:t>Pirkimo organizacija sumoka už paslaugas teikėjui per 30 kalendorinių dienų nuo paslaugų priėmimo-perdavimo akto ir sąskaitos faktūros gavimo dienos.</w:t>
      </w:r>
    </w:p>
    <w:p>
      <w:pPr>
        <w:pStyle w:val="Normal"/>
        <w:pBdr/>
        <w:shd w:val="clear" w:color="auto" w:fill="FFFFFF" w:themeFill="background1"/>
        <w:spacing w:before="0" w:after="0"/>
        <w:ind w:firstLine="450"/>
        <w:contextualSpacing/>
        <w:jc w:val="both"/>
        <w:rPr>
          <w:rFonts w:eastAsia="Times New Roman" w:cs="Times New Roman"/>
          <w:sz w:val="24"/>
          <w:szCs w:val="24"/>
          <w:lang w:val="lt-LT"/>
        </w:rPr>
      </w:pPr>
      <w:r>
        <w:rPr>
          <w:rFonts w:eastAsia="Times New Roman" w:cs="Times New Roman"/>
          <w:sz w:val="24"/>
          <w:szCs w:val="24"/>
          <w:lang w:val="lt-LT"/>
        </w:rPr>
      </w:r>
    </w:p>
    <w:p>
      <w:pPr>
        <w:pStyle w:val="Normal"/>
        <w:pBdr/>
        <w:tabs>
          <w:tab w:val="clear" w:pos="1296"/>
          <w:tab w:val="left" w:pos="567" w:leader="none"/>
          <w:tab w:val="left" w:pos="1134" w:leader="none"/>
        </w:tabs>
        <w:spacing w:before="0" w:after="0"/>
        <w:ind w:right="-144"/>
        <w:jc w:val="center"/>
        <w:rPr>
          <w:rFonts w:eastAsia="Times New Roman" w:cs="Times New Roman"/>
          <w:b/>
          <w:bCs/>
          <w:color w:themeColor="text1" w:val="000000"/>
          <w:sz w:val="24"/>
          <w:szCs w:val="24"/>
          <w:lang w:val="lt-LT"/>
        </w:rPr>
      </w:pPr>
      <w:r>
        <w:rPr>
          <w:rFonts w:eastAsia="Times New Roman" w:cs="Times New Roman"/>
          <w:b/>
          <w:bCs/>
          <w:color w:themeColor="text1" w:val="000000"/>
          <w:sz w:val="24"/>
          <w:szCs w:val="24"/>
          <w:lang w:val="lt-LT"/>
        </w:rPr>
        <w:t>IV SKYRIUS</w:t>
      </w:r>
    </w:p>
    <w:p>
      <w:pPr>
        <w:pStyle w:val="Normal"/>
        <w:pBdr/>
        <w:tabs>
          <w:tab w:val="clear" w:pos="1296"/>
          <w:tab w:val="left" w:pos="567" w:leader="none"/>
          <w:tab w:val="left" w:pos="1134" w:leader="none"/>
        </w:tabs>
        <w:spacing w:before="0" w:after="0"/>
        <w:ind w:right="-144"/>
        <w:jc w:val="center"/>
        <w:rPr>
          <w:rFonts w:eastAsia="Times New Roman" w:cs="Times New Roman"/>
          <w:color w:themeColor="text1" w:val="000000"/>
          <w:sz w:val="24"/>
          <w:szCs w:val="24"/>
          <w:lang w:val="lt-LT"/>
        </w:rPr>
      </w:pPr>
      <w:r>
        <w:rPr>
          <w:rFonts w:eastAsia="Times New Roman" w:cs="Times New Roman"/>
          <w:b/>
          <w:bCs/>
          <w:color w:themeColor="text1" w:val="000000"/>
          <w:sz w:val="24"/>
          <w:szCs w:val="24"/>
          <w:lang w:val="lt-LT"/>
        </w:rPr>
        <w:t>MINIMALŪS APLINKOS APSAUGOS KRITERIJAI, KURIE TAIKOMI PASLAUGOMS</w:t>
      </w:r>
    </w:p>
    <w:p>
      <w:pPr>
        <w:pStyle w:val="Normal"/>
        <w:pBdr/>
        <w:tabs>
          <w:tab w:val="clear" w:pos="1296"/>
          <w:tab w:val="left" w:pos="567" w:leader="none"/>
          <w:tab w:val="left" w:pos="1134" w:leader="none"/>
        </w:tabs>
        <w:spacing w:before="0" w:after="0"/>
        <w:ind w:right="-144"/>
        <w:jc w:val="center"/>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r>
    </w:p>
    <w:p>
      <w:pPr>
        <w:pStyle w:val="ListParagraph"/>
        <w:numPr>
          <w:ilvl w:val="0"/>
          <w:numId w:val="3"/>
        </w:numPr>
        <w:spacing w:before="0" w:after="0"/>
        <w:ind w:hanging="360" w:left="720" w:right="77"/>
        <w:contextualSpacing/>
        <w:jc w:val="both"/>
        <w:rPr>
          <w:rFonts w:eastAsia="Times New Roman" w:cs="Times New Roman"/>
          <w:sz w:val="24"/>
          <w:szCs w:val="24"/>
          <w:lang w:val="lt-LT"/>
        </w:rPr>
      </w:pPr>
      <w:r>
        <w:rPr>
          <w:rFonts w:eastAsia="Times New Roman" w:cs="Times New Roman"/>
          <w:color w:themeColor="text1" w:val="000000"/>
          <w:sz w:val="24"/>
          <w:szCs w:val="24"/>
          <w:lang w:val="lt-LT"/>
        </w:rPr>
        <w:t xml:space="preserve">  </w:t>
      </w:r>
      <w:r>
        <w:rPr>
          <w:rFonts w:eastAsia="Times New Roman" w:cs="Times New Roman"/>
          <w:sz w:val="24"/>
          <w:szCs w:val="24"/>
          <w:lang w:val="lt-LT"/>
        </w:rPr>
        <w:t>Šiam pirkimui keliami privalomi minimalūs Lietuvos Respublikos aplinkos ministerijos nustatyti aplinkos apsaugos kriterijai. Tiekėjas įsipareigoja taikyti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(su vėlesniais pakeitimais) „Aplinkos apsaugos kriterijai“ priedo VI skyriaus 8.1 punkto reikalavimus:</w:t>
      </w:r>
    </w:p>
    <w:p>
      <w:pPr>
        <w:pStyle w:val="Normal"/>
        <w:spacing w:before="0" w:after="0"/>
        <w:ind w:hanging="425" w:left="1134" w:right="77"/>
        <w:jc w:val="both"/>
        <w:rPr>
          <w:rFonts w:eastAsia="Times New Roman" w:cs="Times New Roman"/>
          <w:sz w:val="24"/>
          <w:szCs w:val="24"/>
          <w:lang w:val="lt-LT"/>
        </w:rPr>
      </w:pPr>
      <w:r>
        <w:rPr>
          <w:rFonts w:eastAsia="Times New Roman" w:cs="Times New Roman"/>
          <w:sz w:val="24"/>
          <w:szCs w:val="24"/>
          <w:lang w:val="lt-LT"/>
        </w:rPr>
        <w:t>„</w:t>
      </w:r>
      <w:r>
        <w:rPr>
          <w:rFonts w:eastAsia="Times New Roman" w:cs="Times New Roman"/>
          <w:sz w:val="24"/>
          <w:szCs w:val="24"/>
          <w:lang w:val="lt-LT"/>
        </w:rPr>
        <w:t>8.1.1. renginiuose naudojamas popierius, raštinės prekės turi atitikti minimalius aplinkos apsaugos kriterijus (1 produkto „Rašymui, spausdinimui, kopijavimui naudojamas perdirbtas popierius“; 2 produkto „Rašymui, spausdinimui, kopijavimui naudojamas popierius (pagamintas pirminės medienos plaušų pagrindu)“; 3 produkto „Raštinės reikmenys iš popieriaus ir kartono“ ir 4 produkto „Kitos raštinės prekės“ minimalius aplinkos apsaugos kriterijus);</w:t>
      </w:r>
    </w:p>
    <w:p>
      <w:pPr>
        <w:pStyle w:val="Normal"/>
        <w:spacing w:before="0" w:after="0"/>
        <w:ind w:hanging="425" w:left="1134" w:right="3663"/>
        <w:jc w:val="both"/>
        <w:rPr>
          <w:rFonts w:eastAsia="Times New Roman" w:cs="Times New Roman"/>
          <w:sz w:val="24"/>
          <w:szCs w:val="24"/>
          <w:lang w:val="lt-LT"/>
        </w:rPr>
      </w:pPr>
      <w:r>
        <w:rPr>
          <w:rFonts w:eastAsia="Times New Roman" w:cs="Times New Roman"/>
          <w:sz w:val="24"/>
          <w:szCs w:val="24"/>
          <w:lang w:val="lt-LT"/>
        </w:rPr>
        <w:t>8.1.2. atliekos turi būti rūšiuojamos jų susidarymo vietoje;</w:t>
      </w:r>
    </w:p>
    <w:p>
      <w:pPr>
        <w:pStyle w:val="Normal"/>
        <w:spacing w:before="0" w:after="0"/>
        <w:ind w:hanging="425" w:left="1134" w:right="81"/>
        <w:jc w:val="both"/>
        <w:rPr>
          <w:rFonts w:eastAsia="Times New Roman" w:cs="Times New Roman"/>
          <w:sz w:val="24"/>
          <w:szCs w:val="24"/>
          <w:lang w:val="lt-LT"/>
        </w:rPr>
      </w:pPr>
      <w:r>
        <w:rPr>
          <w:rFonts w:eastAsia="Times New Roman" w:cs="Times New Roman"/>
          <w:sz w:val="24"/>
          <w:szCs w:val="24"/>
          <w:lang w:val="lt-LT"/>
        </w:rPr>
        <w:t xml:space="preserve">8.1.3. jeigu bus naudojama dalijamoji medžiaga, ji gali būti išsiųsta mokymų dalyviams elektroniniu paštu prieš mokymus arba atspausdinta ant abiejų lapo pusių ir padalinta mokymo dalyviams mokymų metu.“ </w:t>
      </w:r>
    </w:p>
    <w:p>
      <w:pPr>
        <w:pStyle w:val="Normal"/>
        <w:spacing w:before="0" w:after="0"/>
        <w:ind w:hanging="425" w:left="1134" w:right="81"/>
        <w:jc w:val="both"/>
        <w:rPr>
          <w:rFonts w:eastAsia="Times New Roman" w:cs="Times New Roman"/>
          <w:sz w:val="24"/>
          <w:szCs w:val="24"/>
          <w:lang w:val="lt-LT"/>
        </w:rPr>
      </w:pPr>
      <w:r>
        <w:rPr>
          <w:rFonts w:eastAsia="Times New Roman" w:cs="Times New Roman"/>
          <w:sz w:val="24"/>
          <w:szCs w:val="24"/>
          <w:lang w:val="lt-LT"/>
        </w:rPr>
      </w:r>
    </w:p>
    <w:p>
      <w:pPr>
        <w:pStyle w:val="Normal"/>
        <w:spacing w:before="0" w:after="0"/>
        <w:jc w:val="center"/>
        <w:rPr>
          <w:rFonts w:eastAsia="Calibri" w:cs="Times New Roman"/>
          <w:b/>
          <w:bCs/>
          <w:sz w:val="24"/>
          <w:szCs w:val="24"/>
          <w:lang w:val="lt-LT"/>
        </w:rPr>
      </w:pPr>
      <w:bookmarkStart w:id="2" w:name="_Hlk202949283"/>
      <w:r>
        <w:rPr>
          <w:rFonts w:eastAsia="Calibri" w:cs="Times New Roman"/>
          <w:b/>
          <w:bCs/>
          <w:sz w:val="24"/>
          <w:szCs w:val="24"/>
          <w:lang w:val="lt-LT"/>
        </w:rPr>
        <w:t>V SKYRIUS</w:t>
      </w:r>
    </w:p>
    <w:p>
      <w:pPr>
        <w:pStyle w:val="Normal"/>
        <w:spacing w:before="0" w:after="0"/>
        <w:jc w:val="center"/>
        <w:rPr>
          <w:rFonts w:eastAsia="Calibri" w:cs="Times New Roman"/>
          <w:b/>
          <w:bCs/>
          <w:sz w:val="24"/>
          <w:szCs w:val="24"/>
          <w:lang w:val="lt-LT"/>
        </w:rPr>
      </w:pPr>
      <w:r>
        <w:rPr>
          <w:rFonts w:eastAsia="Calibri" w:cs="Times New Roman"/>
          <w:b/>
          <w:bCs/>
          <w:sz w:val="24"/>
          <w:szCs w:val="24"/>
          <w:lang w:val="lt-LT"/>
        </w:rPr>
        <w:t>ASMENS DUOMENŲ TVARKYMAS</w:t>
      </w:r>
    </w:p>
    <w:p>
      <w:pPr>
        <w:pStyle w:val="Normal"/>
        <w:spacing w:before="0" w:after="0"/>
        <w:jc w:val="center"/>
        <w:rPr>
          <w:rFonts w:eastAsia="Calibri" w:cs="Times New Roman"/>
          <w:b/>
          <w:bCs/>
          <w:sz w:val="24"/>
          <w:szCs w:val="24"/>
          <w:lang w:val="lt-LT"/>
        </w:rPr>
      </w:pPr>
      <w:r>
        <w:rPr>
          <w:rFonts w:eastAsia="Calibri" w:cs="Times New Roman"/>
          <w:b/>
          <w:bCs/>
          <w:sz w:val="24"/>
          <w:szCs w:val="24"/>
          <w:lang w:val="lt-LT"/>
        </w:rPr>
      </w:r>
    </w:p>
    <w:p>
      <w:pPr>
        <w:pStyle w:val="NoSpacing"/>
        <w:numPr>
          <w:ilvl w:val="0"/>
          <w:numId w:val="3"/>
        </w:numPr>
        <w:tabs>
          <w:tab w:val="clear" w:pos="1296"/>
          <w:tab w:val="left" w:pos="426" w:leader="none"/>
        </w:tabs>
        <w:spacing w:lineRule="auto" w:line="276"/>
        <w:jc w:val="both"/>
        <w:rPr>
          <w:rFonts w:ascii="Times New Roman" w:hAnsi="Times New Roman" w:eastAsia="Times New Roman" w:cs="Times New Roman"/>
          <w:color w:themeColor="text1" w:val="000000"/>
          <w:sz w:val="24"/>
          <w:szCs w:val="24"/>
          <w:lang w:eastAsia="en-US"/>
        </w:rPr>
      </w:pPr>
      <w:r>
        <w:rPr>
          <w:rFonts w:eastAsia="Times New Roman" w:cs="Times New Roman" w:ascii="Times New Roman" w:hAnsi="Times New Roman"/>
          <w:color w:themeColor="text1" w:val="000000"/>
          <w:sz w:val="24"/>
          <w:szCs w:val="24"/>
          <w:lang w:eastAsia="en-US"/>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3"/>
        </w:numPr>
        <w:tabs>
          <w:tab w:val="clear" w:pos="1296"/>
          <w:tab w:val="left" w:pos="426" w:leader="none"/>
        </w:tabs>
        <w:spacing w:lineRule="auto" w:line="276"/>
        <w:jc w:val="both"/>
        <w:rPr>
          <w:rFonts w:ascii="Times New Roman" w:hAnsi="Times New Roman" w:eastAsia="Times New Roman" w:cs="Times New Roman"/>
          <w:color w:themeColor="text1" w:val="000000"/>
          <w:sz w:val="24"/>
          <w:szCs w:val="24"/>
          <w:lang w:val="pt-BR" w:eastAsia="en-US"/>
        </w:rPr>
      </w:pPr>
      <w:r>
        <w:rPr>
          <w:rFonts w:eastAsia="Times New Roman" w:cs="Times New Roman" w:ascii="Times New Roman" w:hAnsi="Times New Roman"/>
          <w:color w:themeColor="text1" w:val="000000"/>
          <w:sz w:val="24"/>
          <w:szCs w:val="24"/>
          <w:lang w:val="pt-BR" w:eastAsia="en-US"/>
        </w:rPr>
        <w:t xml:space="preserve">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pPr>
        <w:pStyle w:val="ListParagraph"/>
        <w:numPr>
          <w:ilvl w:val="0"/>
          <w:numId w:val="3"/>
        </w:numPr>
        <w:tabs>
          <w:tab w:val="clear" w:pos="1296"/>
          <w:tab w:val="left" w:pos="284" w:leader="none"/>
          <w:tab w:val="left" w:pos="426" w:leader="none"/>
        </w:tabs>
        <w:spacing w:lineRule="auto" w:line="276" w:before="0" w:after="0"/>
        <w:contextualSpacing/>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t xml:space="preserve">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3"/>
        </w:numPr>
        <w:tabs>
          <w:tab w:val="clear" w:pos="1296"/>
          <w:tab w:val="left" w:pos="284" w:leader="none"/>
          <w:tab w:val="left" w:pos="426" w:leader="none"/>
        </w:tabs>
        <w:spacing w:lineRule="auto" w:line="276" w:before="0" w:after="0"/>
        <w:contextualSpacing/>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3"/>
        </w:numPr>
        <w:tabs>
          <w:tab w:val="clear" w:pos="1296"/>
          <w:tab w:val="left" w:pos="284" w:leader="none"/>
          <w:tab w:val="left" w:pos="426" w:leader="none"/>
        </w:tabs>
        <w:spacing w:lineRule="auto" w:line="276" w:before="0" w:after="0"/>
        <w:contextualSpacing/>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t>Kilus ginčams dėl viešųjų pirkimų organizavimo ar Sutarties vykdymo, Perkančioji organizacija gali tvarkyti 22-23 punktuose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3"/>
        </w:numPr>
        <w:tabs>
          <w:tab w:val="clear" w:pos="1296"/>
          <w:tab w:val="left" w:pos="284" w:leader="none"/>
          <w:tab w:val="left" w:pos="426" w:leader="none"/>
        </w:tabs>
        <w:spacing w:lineRule="auto" w:line="276" w:before="0" w:after="0"/>
        <w:contextualSpacing/>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ListParagraph"/>
        <w:numPr>
          <w:ilvl w:val="0"/>
          <w:numId w:val="3"/>
        </w:numPr>
        <w:tabs>
          <w:tab w:val="clear" w:pos="1296"/>
          <w:tab w:val="left" w:pos="284" w:leader="none"/>
          <w:tab w:val="left" w:pos="426" w:leader="none"/>
        </w:tabs>
        <w:spacing w:lineRule="auto" w:line="276" w:before="0" w:after="0"/>
        <w:contextualSpacing/>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t>Asmens duomenų pateikimas yra privalomas. Nepateikus asmens duomenų Paslaugų teikėjo pasiūlymas negalės būti vertinamas bei nebus galima sudaryti ir vykdyti Sutarties.</w:t>
      </w:r>
    </w:p>
    <w:p>
      <w:pPr>
        <w:pStyle w:val="ListParagraph"/>
        <w:numPr>
          <w:ilvl w:val="0"/>
          <w:numId w:val="3"/>
        </w:numPr>
        <w:tabs>
          <w:tab w:val="clear" w:pos="1296"/>
          <w:tab w:val="left" w:pos="284" w:leader="none"/>
          <w:tab w:val="left" w:pos="426" w:leader="none"/>
        </w:tabs>
        <w:spacing w:lineRule="auto" w:line="276" w:before="0" w:after="0"/>
        <w:contextualSpacing/>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3"/>
        </w:numPr>
        <w:tabs>
          <w:tab w:val="clear" w:pos="1296"/>
          <w:tab w:val="left" w:pos="284" w:leader="none"/>
          <w:tab w:val="left" w:pos="426" w:leader="none"/>
        </w:tabs>
        <w:spacing w:lineRule="auto" w:line="276" w:before="0" w:after="0"/>
        <w:contextualSpacing/>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eastAsia="Times New Roman" w:cs="Times New Roman"/>
            <w:color w:themeColor="text1" w:val="000000"/>
            <w:sz w:val="24"/>
            <w:szCs w:val="24"/>
            <w:lang w:val="lt-LT"/>
          </w:rPr>
          <w:t>https://vdai.lrv.lt/</w:t>
        </w:r>
      </w:hyperlink>
      <w:r>
        <w:rPr>
          <w:rFonts w:eastAsia="Times New Roman" w:cs="Times New Roman"/>
          <w:color w:themeColor="text1" w:val="000000"/>
          <w:sz w:val="24"/>
          <w:szCs w:val="24"/>
          <w:lang w:val="lt-LT"/>
        </w:rPr>
        <w:t xml:space="preserve">. </w:t>
      </w:r>
    </w:p>
    <w:p>
      <w:pPr>
        <w:pStyle w:val="ListParagraph"/>
        <w:numPr>
          <w:ilvl w:val="0"/>
          <w:numId w:val="3"/>
        </w:numPr>
        <w:tabs>
          <w:tab w:val="clear" w:pos="1296"/>
          <w:tab w:val="left" w:pos="284" w:leader="none"/>
          <w:tab w:val="left" w:pos="426" w:leader="none"/>
        </w:tabs>
        <w:spacing w:lineRule="auto" w:line="276" w:before="0" w:after="0"/>
        <w:contextualSpacing/>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3">
        <w:r>
          <w:rPr>
            <w:rFonts w:eastAsia="Times New Roman" w:cs="Times New Roman"/>
            <w:color w:themeColor="text1" w:val="000000"/>
            <w:sz w:val="24"/>
            <w:szCs w:val="24"/>
            <w:lang w:val="lt-LT"/>
          </w:rPr>
          <w:t>institutas@hi.lt</w:t>
        </w:r>
      </w:hyperlink>
      <w:r>
        <w:rPr>
          <w:rFonts w:eastAsia="Times New Roman" w:cs="Times New Roman"/>
          <w:color w:themeColor="text1" w:val="000000"/>
          <w:sz w:val="24"/>
          <w:szCs w:val="24"/>
          <w:lang w:val="lt-LT"/>
        </w:rPr>
        <w:t xml:space="preserve"> ar jo duomenų apsaugos pareigūnui el. paštu ada.ekspertai@gmail.com. </w:t>
      </w:r>
    </w:p>
    <w:p>
      <w:pPr>
        <w:pStyle w:val="ListParagraph"/>
        <w:numPr>
          <w:ilvl w:val="0"/>
          <w:numId w:val="3"/>
        </w:numPr>
        <w:tabs>
          <w:tab w:val="clear" w:pos="1296"/>
          <w:tab w:val="left" w:pos="284" w:leader="none"/>
          <w:tab w:val="left" w:pos="426" w:leader="none"/>
        </w:tabs>
        <w:spacing w:lineRule="auto" w:line="276" w:before="0" w:after="0"/>
        <w:contextualSpacing/>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t xml:space="preserve">Paslaugų teikėjas, prieš teikdamas pasiūlymą ir prieš sudarydamas Sutartį, nurodytus fizinius asmenis privalo supažindinti su 20 - 29 punktuose pateikta informacija apie Perkančiosios organizacijos vykdomą asmens duomenų tvarkymą. </w:t>
      </w:r>
    </w:p>
    <w:p>
      <w:pPr>
        <w:pStyle w:val="Normal"/>
        <w:tabs>
          <w:tab w:val="clear" w:pos="1296"/>
          <w:tab w:val="left" w:pos="720" w:leader="none"/>
          <w:tab w:val="left" w:pos="851" w:leader="none"/>
          <w:tab w:val="left" w:pos="993" w:leader="none"/>
          <w:tab w:val="left" w:pos="1134" w:leader="none"/>
        </w:tabs>
        <w:spacing w:lineRule="auto" w:line="360" w:before="0" w:after="0"/>
        <w:jc w:val="center"/>
        <w:rPr>
          <w:rFonts w:eastAsia="Times New Roman" w:cs="Times New Roman"/>
          <w:color w:themeColor="text1" w:val="000000"/>
          <w:sz w:val="24"/>
          <w:szCs w:val="24"/>
        </w:rPr>
      </w:pPr>
      <w:bookmarkStart w:id="3" w:name="_Hlk202949283"/>
      <w:r>
        <w:rPr>
          <w:rFonts w:eastAsia="Times New Roman" w:cs="Times New Roman"/>
          <w:color w:themeColor="text1" w:val="000000"/>
          <w:sz w:val="24"/>
          <w:szCs w:val="24"/>
        </w:rPr>
        <w:t>__________________</w:t>
      </w:r>
      <w:bookmarkEnd w:id="3"/>
    </w:p>
    <w:p>
      <w:pPr>
        <w:pStyle w:val="Normal"/>
        <w:spacing w:before="0" w:after="0"/>
        <w:ind w:hanging="425" w:left="1134" w:right="81"/>
        <w:jc w:val="both"/>
        <w:rPr>
          <w:rFonts w:eastAsia="Times New Roman" w:cs="Times New Roman"/>
          <w:sz w:val="24"/>
          <w:szCs w:val="24"/>
          <w:lang w:val="lt-LT"/>
        </w:rPr>
      </w:pPr>
      <w:r>
        <w:rPr>
          <w:rFonts w:eastAsia="Times New Roman" w:cs="Times New Roman"/>
          <w:sz w:val="24"/>
          <w:szCs w:val="24"/>
          <w:lang w:val="lt-LT"/>
        </w:rPr>
      </w:r>
    </w:p>
    <w:p>
      <w:pPr>
        <w:pStyle w:val="Normal"/>
        <w:pBdr/>
        <w:tabs>
          <w:tab w:val="clear" w:pos="1296"/>
          <w:tab w:val="left" w:pos="720" w:leader="none"/>
          <w:tab w:val="left" w:pos="851" w:leader="none"/>
          <w:tab w:val="left" w:pos="993" w:leader="none"/>
          <w:tab w:val="left" w:pos="1134" w:leader="none"/>
        </w:tabs>
        <w:spacing w:before="0" w:after="0"/>
        <w:jc w:val="center"/>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r>
      <w:bookmarkStart w:id="4" w:name="_Hlk127525466"/>
      <w:bookmarkStart w:id="5" w:name="_Hlk127525466"/>
      <w:bookmarkEnd w:id="5"/>
    </w:p>
    <w:sectPr>
      <w:footerReference w:type="default" r:id="rId4"/>
      <w:type w:val="nextPage"/>
      <w:pgSz w:w="11906" w:h="16838"/>
      <w:pgMar w:left="1701" w:right="567" w:gutter="0" w:header="0" w:top="1701"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2764849"/>
    </w:sdtPr>
    <w:sdtContent>
      <w:p>
        <w:pPr>
          <w:pStyle w:val="Footer"/>
          <w:jc w:val="center"/>
          <w:rPr/>
        </w:pPr>
        <w:r>
          <w:rPr/>
          <w:fldChar w:fldCharType="begin"/>
        </w:r>
        <w:r>
          <w:rPr/>
          <w:instrText xml:space="preserve"> PAGE </w:instrText>
        </w:r>
        <w:r>
          <w:rPr/>
          <w:fldChar w:fldCharType="separate"/>
        </w:r>
        <w:r>
          <w:rPr/>
          <w:t>5</w:t>
        </w:r>
        <w:r>
          <w:rPr/>
          <w:fldChar w:fldCharType="end"/>
        </w:r>
      </w:p>
    </w:sdtContent>
  </w:sdt>
  <w:p>
    <w:pPr>
      <w:pStyle w:val="Footer"/>
      <w:spacing w:before="0" w:after="1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rFonts w:ascii="Times New Roman" w:hAnsi="Times New Roman" w:eastAsia="Calibri" w:cs="Times New Roman"/>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dstrike w:val="false"/>
        <w:strike w:val="false"/>
        <w:sz w:val="24"/>
        <w:b w:val="false"/>
        <w:szCs w:val="24"/>
        <w:bCs w:val="false"/>
      </w:rPr>
    </w:lvl>
    <w:lvl w:ilvl="1">
      <w:start w:val="1"/>
      <w:numFmt w:val="decimal"/>
      <w:lvlText w:val="%2."/>
      <w:lvlJc w:val="left"/>
      <w:pPr>
        <w:tabs>
          <w:tab w:val="num" w:pos="0"/>
        </w:tabs>
        <w:ind w:left="1080" w:hanging="360"/>
      </w:pPr>
      <w:rPr>
        <w:rFonts w:ascii="Times New Roman" w:hAnsi="Times New Roman" w:eastAsia="Arial Unicode MS" w:cs="Times New Roman"/>
      </w:rPr>
    </w:lvl>
    <w:lvl w:ilvl="2">
      <w:start w:val="1"/>
      <w:numFmt w:val="decimal"/>
      <w:lvlText w:val="%1.%2.%3."/>
      <w:lvlJc w:val="left"/>
      <w:pPr>
        <w:tabs>
          <w:tab w:val="num" w:pos="0"/>
        </w:tabs>
        <w:ind w:left="4973"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14bc"/>
    <w:pPr>
      <w:widowControl/>
      <w:bidi w:val="0"/>
      <w:spacing w:lineRule="auto" w:line="240" w:before="0" w:after="160"/>
      <w:jc w:val="left"/>
    </w:pPr>
    <w:rPr>
      <w:rFonts w:ascii="Times New Roman" w:hAnsi="Times New Roman" w:eastAsia="ＭＳ 明朝" w:eastAsiaTheme="minorEastAsia" w:cs="Arial"/>
      <w:color w:val="auto"/>
      <w:kern w:val="0"/>
      <w:sz w:val="22"/>
      <w:szCs w:val="22"/>
      <w:lang w:val="en-US" w:eastAsia="en-US" w:bidi="ar-SA"/>
    </w:rPr>
  </w:style>
  <w:style w:type="paragraph" w:styleId="Heading1">
    <w:name w:val="Heading 1"/>
    <w:basedOn w:val="Normal"/>
    <w:next w:val="Normal"/>
    <w:link w:val="Heading1Char"/>
    <w:uiPriority w:val="9"/>
    <w:qFormat/>
    <w:rsid w:val="00ff584a"/>
    <w:pPr>
      <w:keepNext w:val="true"/>
      <w:keepLines/>
      <w:spacing w:before="400" w:after="40"/>
      <w:jc w:val="center"/>
      <w:outlineLvl w:val="0"/>
    </w:pPr>
    <w:rPr>
      <w:rFonts w:ascii="Calibri Light" w:hAnsi="Calibri Light" w:eastAsia="ＭＳ ゴシック" w:cs="Times New Roman" w:asciiTheme="majorHAnsi" w:cstheme="majorBidi" w:eastAsiaTheme="majorEastAsia" w:hAnsiTheme="majorHAnsi"/>
      <w:color w:themeColor="accent1" w:themeShade="80" w:val="1F3864"/>
      <w:sz w:val="36"/>
      <w:szCs w:val="36"/>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locked/>
    <w:rsid w:val="00ff584a"/>
    <w:rPr>
      <w:rFonts w:ascii="Times New Roman" w:hAnsi="Times New Roman" w:eastAsia="ＭＳ 明朝" w:eastAsiaTheme="minorEastAsia"/>
      <w:lang w:val="en-US"/>
    </w:rPr>
  </w:style>
  <w:style w:type="character" w:styleId="Heading1Char" w:customStyle="1">
    <w:name w:val="Heading 1 Char"/>
    <w:basedOn w:val="DefaultParagraphFont"/>
    <w:link w:val="Heading1"/>
    <w:uiPriority w:val="9"/>
    <w:qFormat/>
    <w:rsid w:val="00ff584a"/>
    <w:rPr>
      <w:rFonts w:ascii="Calibri Light" w:hAnsi="Calibri Light" w:eastAsia="ＭＳ ゴシック" w:cs="Times New Roman" w:asciiTheme="majorHAnsi" w:cstheme="majorBidi" w:eastAsiaTheme="majorEastAsia" w:hAnsiTheme="majorHAnsi"/>
      <w:color w:themeColor="accent1" w:themeShade="80" w:val="1F3864"/>
      <w:sz w:val="36"/>
      <w:szCs w:val="36"/>
      <w:lang w:val="en-US"/>
    </w:rPr>
  </w:style>
  <w:style w:type="character" w:styleId="BodyTextChar" w:customStyle="1">
    <w:name w:val="Body Text Char"/>
    <w:basedOn w:val="DefaultParagraphFont"/>
    <w:uiPriority w:val="99"/>
    <w:semiHidden/>
    <w:qFormat/>
    <w:rsid w:val="001014bc"/>
    <w:rPr>
      <w:rFonts w:ascii="Times New Roman" w:hAnsi="Times New Roman" w:eastAsia="ＭＳ 明朝" w:eastAsiaTheme="minorEastAsia"/>
      <w:lang w:val="en-US"/>
    </w:rPr>
  </w:style>
  <w:style w:type="character" w:styleId="FootnoteCharacters">
    <w:name w:val="Footnote Characters"/>
    <w:basedOn w:val="DefaultParagraphFont"/>
    <w:qFormat/>
    <w:rsid w:val="001014bc"/>
    <w:rPr>
      <w:vertAlign w:val="superscript"/>
    </w:rPr>
  </w:style>
  <w:style w:type="character" w:styleId="FootnoteReference">
    <w:name w:val="Footnote Reference"/>
    <w:rPr>
      <w:vertAlign w:val="superscript"/>
    </w:rPr>
  </w:style>
  <w:style w:type="character" w:styleId="Hyperlink">
    <w:name w:val="Hyperlink"/>
    <w:rsid w:val="001014bc"/>
    <w:rPr>
      <w:u w:val="single"/>
    </w:rPr>
  </w:style>
  <w:style w:type="character" w:styleId="Typewriter" w:customStyle="1">
    <w:name w:val="Typewriter"/>
    <w:qFormat/>
    <w:rsid w:val="001014bc"/>
    <w:rPr>
      <w:rFonts w:ascii="Courier New" w:hAnsi="Courier New"/>
      <w:sz w:val="20"/>
    </w:rPr>
  </w:style>
  <w:style w:type="character" w:styleId="Emphasis">
    <w:name w:val="Emphasis"/>
    <w:uiPriority w:val="20"/>
    <w:qFormat/>
    <w:rsid w:val="001014bc"/>
    <w:rPr>
      <w:i/>
      <w:iCs/>
    </w:rPr>
  </w:style>
  <w:style w:type="character" w:styleId="FontStyle21" w:customStyle="1">
    <w:name w:val="Font Style21"/>
    <w:basedOn w:val="DefaultParagraphFont"/>
    <w:uiPriority w:val="99"/>
    <w:qFormat/>
    <w:rsid w:val="001014bc"/>
    <w:rPr>
      <w:rFonts w:ascii="Times New Roman" w:hAnsi="Times New Roman" w:cs="Times New Roman"/>
      <w:sz w:val="18"/>
      <w:szCs w:val="18"/>
    </w:rPr>
  </w:style>
  <w:style w:type="character" w:styleId="Normaltextrun" w:customStyle="1">
    <w:name w:val="normaltextrun"/>
    <w:basedOn w:val="DefaultParagraphFont"/>
    <w:qFormat/>
    <w:rsid w:val="001014bc"/>
    <w:rPr/>
  </w:style>
  <w:style w:type="character" w:styleId="BodyTextIndentChar" w:customStyle="1">
    <w:name w:val="Body Text Indent Char"/>
    <w:basedOn w:val="DefaultParagraphFont"/>
    <w:uiPriority w:val="99"/>
    <w:semiHidden/>
    <w:qFormat/>
    <w:rsid w:val="001014bc"/>
    <w:rPr>
      <w:rFonts w:ascii="Times New Roman" w:hAnsi="Times New Roman" w:eastAsia="ＭＳ 明朝" w:eastAsiaTheme="minorEastAsia"/>
      <w:lang w:val="en-US"/>
    </w:rPr>
  </w:style>
  <w:style w:type="character" w:styleId="FooterChar" w:customStyle="1">
    <w:name w:val="Footer Char"/>
    <w:basedOn w:val="DefaultParagraphFont"/>
    <w:link w:val="Footer"/>
    <w:qFormat/>
    <w:rsid w:val="001014bc"/>
    <w:rPr>
      <w:rFonts w:ascii="Times New Roman" w:hAnsi="Times New Roman" w:eastAsia="ＭＳ 明朝" w:eastAsiaTheme="minorEastAsia"/>
      <w:lang w:val="en-US"/>
    </w:rPr>
  </w:style>
  <w:style w:type="character" w:styleId="Annotationreference">
    <w:name w:val="annotation reference"/>
    <w:basedOn w:val="DefaultParagraphFont"/>
    <w:uiPriority w:val="99"/>
    <w:semiHidden/>
    <w:unhideWhenUsed/>
    <w:qFormat/>
    <w:rsid w:val="004a7384"/>
    <w:rPr>
      <w:sz w:val="16"/>
      <w:szCs w:val="16"/>
    </w:rPr>
  </w:style>
  <w:style w:type="character" w:styleId="CommentTextChar" w:customStyle="1">
    <w:name w:val="Comment Text Char"/>
    <w:basedOn w:val="DefaultParagraphFont"/>
    <w:link w:val="Annotationtext"/>
    <w:uiPriority w:val="99"/>
    <w:qFormat/>
    <w:rsid w:val="004a7384"/>
    <w:rPr>
      <w:rFonts w:ascii="Times New Roman" w:hAnsi="Times New Roman" w:eastAsia="ＭＳ 明朝" w:eastAsiaTheme="minorEastAsia"/>
      <w:sz w:val="20"/>
      <w:szCs w:val="20"/>
      <w:lang w:val="en-US"/>
    </w:rPr>
  </w:style>
  <w:style w:type="character" w:styleId="CommentSubjectChar" w:customStyle="1">
    <w:name w:val="Comment Subject Char"/>
    <w:basedOn w:val="CommentTextChar"/>
    <w:link w:val="Annotationsubject"/>
    <w:uiPriority w:val="99"/>
    <w:semiHidden/>
    <w:qFormat/>
    <w:rsid w:val="004a7384"/>
    <w:rPr>
      <w:rFonts w:ascii="Times New Roman" w:hAnsi="Times New Roman" w:eastAsia="ＭＳ 明朝" w:eastAsiaTheme="minorEastAsia"/>
      <w:b/>
      <w:bCs/>
      <w:sz w:val="20"/>
      <w:szCs w:val="20"/>
      <w:lang w:val="en-US"/>
    </w:rPr>
  </w:style>
  <w:style w:type="character" w:styleId="BalloonTextChar" w:customStyle="1">
    <w:name w:val="Balloon Text Char"/>
    <w:basedOn w:val="DefaultParagraphFont"/>
    <w:link w:val="BalloonText"/>
    <w:uiPriority w:val="99"/>
    <w:semiHidden/>
    <w:qFormat/>
    <w:rsid w:val="004a7384"/>
    <w:rPr>
      <w:rFonts w:ascii="Segoe UI" w:hAnsi="Segoe UI" w:eastAsia="ＭＳ 明朝" w:cs="Segoe UI" w:eastAsiaTheme="minorEastAsia"/>
      <w:sz w:val="18"/>
      <w:szCs w:val="18"/>
      <w:lang w:val="en-US"/>
    </w:rPr>
  </w:style>
  <w:style w:type="character" w:styleId="HeaderChar" w:customStyle="1">
    <w:name w:val="Header Char"/>
    <w:basedOn w:val="DefaultParagraphFont"/>
    <w:link w:val="Header"/>
    <w:uiPriority w:val="99"/>
    <w:semiHidden/>
    <w:qFormat/>
    <w:rsid w:val="00c473c8"/>
    <w:rPr>
      <w:rFonts w:ascii="Times New Roman" w:hAnsi="Times New Roman" w:eastAsia="ＭＳ 明朝" w:eastAsiaTheme="minorEastAsia"/>
      <w:lang w:val="en-US"/>
    </w:rPr>
  </w:style>
  <w:style w:type="character" w:styleId="NoSpacingChar" w:customStyle="1">
    <w:name w:val="No Spacing Char"/>
    <w:basedOn w:val="DefaultParagraphFont"/>
    <w:link w:val="NoSpacing"/>
    <w:uiPriority w:val="1"/>
    <w:qFormat/>
    <w:rsid w:val="00ac23f0"/>
    <w:rPr>
      <w:rFonts w:eastAsia="ＭＳ 明朝" w:eastAsiaTheme="minorEastAsia"/>
      <w:sz w:val="21"/>
      <w:szCs w:val="21"/>
      <w:lang w:eastAsia="lt-L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semiHidden/>
    <w:unhideWhenUsed/>
    <w:rsid w:val="001014bc"/>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ff584a"/>
    <w:pPr>
      <w:spacing w:before="0" w:after="160"/>
      <w:ind w:left="720"/>
      <w:contextualSpacing/>
    </w:pPr>
    <w:rPr/>
  </w:style>
  <w:style w:type="paragraph" w:styleId="3" w:customStyle="1">
    <w:name w:val="Стиль3"/>
    <w:basedOn w:val="Normal"/>
    <w:qFormat/>
    <w:rsid w:val="00ad70bd"/>
    <w:pPr>
      <w:spacing w:before="0" w:after="0"/>
      <w:jc w:val="center"/>
    </w:pPr>
    <w:rPr>
      <w:rFonts w:eastAsia="Times New Roman" w:cs="Times New Roman"/>
      <w:sz w:val="24"/>
      <w:szCs w:val="20"/>
      <w:lang w:val="en-GB"/>
    </w:rPr>
  </w:style>
  <w:style w:type="paragraph" w:styleId="Body2" w:customStyle="1">
    <w:name w:val="Body 2"/>
    <w:qFormat/>
    <w:rsid w:val="001014bc"/>
    <w:pPr>
      <w:widowControl/>
      <w:pBdr/>
      <w:suppressAutoHyphens w:val="true"/>
      <w:bidi w:val="0"/>
      <w:spacing w:lineRule="auto" w:line="240" w:before="0" w:after="40"/>
      <w:jc w:val="both"/>
    </w:pPr>
    <w:rPr>
      <w:rFonts w:ascii="Times New Roman" w:hAnsi="Times New Roman" w:eastAsia="Arial Unicode MS" w:cs="Arial Unicode MS"/>
      <w:color w:val="000000"/>
      <w:kern w:val="0"/>
      <w:sz w:val="22"/>
      <w:szCs w:val="22"/>
      <w:lang w:val="en-US" w:eastAsia="en-US" w:bidi="ar-SA"/>
    </w:rPr>
  </w:style>
  <w:style w:type="paragraph" w:styleId="NormalWeb">
    <w:name w:val="Normal (Web)"/>
    <w:basedOn w:val="Normal"/>
    <w:uiPriority w:val="99"/>
    <w:unhideWhenUsed/>
    <w:qFormat/>
    <w:rsid w:val="001014bc"/>
    <w:pPr>
      <w:spacing w:beforeAutospacing="1" w:afterAutospacing="1"/>
    </w:pPr>
    <w:rPr>
      <w:rFonts w:eastAsia="Times New Roman" w:cs="Times New Roman"/>
      <w:sz w:val="24"/>
      <w:szCs w:val="24"/>
      <w:lang w:val="lt-LT" w:eastAsia="lt-LT"/>
    </w:rPr>
  </w:style>
  <w:style w:type="paragraph" w:styleId="Default" w:customStyle="1">
    <w:name w:val="Default"/>
    <w:qFormat/>
    <w:rsid w:val="001014bc"/>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BodyTextIndent">
    <w:name w:val="Body Text Indent"/>
    <w:basedOn w:val="Normal"/>
    <w:link w:val="BodyTextIndentChar"/>
    <w:uiPriority w:val="99"/>
    <w:semiHidden/>
    <w:unhideWhenUsed/>
    <w:rsid w:val="001014bc"/>
    <w:pPr>
      <w:spacing w:before="0" w:after="120"/>
      <w:ind w:left="283"/>
    </w:pPr>
    <w:rPr/>
  </w:style>
  <w:style w:type="paragraph" w:styleId="HeaderandFooter">
    <w:name w:val="Header and Footer"/>
    <w:basedOn w:val="Normal"/>
    <w:qFormat/>
    <w:pPr/>
    <w:rPr/>
  </w:style>
  <w:style w:type="paragraph" w:styleId="Footer">
    <w:name w:val="Footer"/>
    <w:basedOn w:val="Normal"/>
    <w:link w:val="FooterChar"/>
    <w:rsid w:val="001014bc"/>
    <w:pPr>
      <w:tabs>
        <w:tab w:val="clear" w:pos="1296"/>
        <w:tab w:val="center" w:pos="4320" w:leader="none"/>
        <w:tab w:val="right" w:pos="8640" w:leader="none"/>
      </w:tabs>
    </w:pPr>
    <w:rPr/>
  </w:style>
  <w:style w:type="paragraph" w:styleId="Annotationtext">
    <w:name w:val="annotation text"/>
    <w:basedOn w:val="Normal"/>
    <w:link w:val="CommentTextChar"/>
    <w:uiPriority w:val="99"/>
    <w:unhideWhenUsed/>
    <w:qFormat/>
    <w:rsid w:val="004a7384"/>
    <w:pPr/>
    <w:rPr>
      <w:sz w:val="20"/>
      <w:szCs w:val="20"/>
    </w:rPr>
  </w:style>
  <w:style w:type="paragraph" w:styleId="Annotationsubject">
    <w:name w:val="annotation subject"/>
    <w:basedOn w:val="Annotationtext"/>
    <w:next w:val="Annotationtext"/>
    <w:link w:val="CommentSubjectChar"/>
    <w:uiPriority w:val="99"/>
    <w:semiHidden/>
    <w:unhideWhenUsed/>
    <w:qFormat/>
    <w:rsid w:val="004a7384"/>
    <w:pPr/>
    <w:rPr>
      <w:b/>
      <w:bCs/>
    </w:rPr>
  </w:style>
  <w:style w:type="paragraph" w:styleId="BalloonText">
    <w:name w:val="Balloon Text"/>
    <w:basedOn w:val="Normal"/>
    <w:link w:val="BalloonTextChar"/>
    <w:uiPriority w:val="99"/>
    <w:semiHidden/>
    <w:unhideWhenUsed/>
    <w:qFormat/>
    <w:rsid w:val="004a7384"/>
    <w:pPr>
      <w:spacing w:before="0" w:after="0"/>
    </w:pPr>
    <w:rPr>
      <w:rFonts w:ascii="Segoe UI" w:hAnsi="Segoe UI" w:cs="Segoe UI"/>
      <w:sz w:val="18"/>
      <w:szCs w:val="18"/>
    </w:rPr>
  </w:style>
  <w:style w:type="paragraph" w:styleId="Header">
    <w:name w:val="Header"/>
    <w:basedOn w:val="Normal"/>
    <w:link w:val="HeaderChar"/>
    <w:uiPriority w:val="99"/>
    <w:semiHidden/>
    <w:unhideWhenUsed/>
    <w:rsid w:val="00c473c8"/>
    <w:pPr>
      <w:tabs>
        <w:tab w:val="clear" w:pos="1296"/>
        <w:tab w:val="center" w:pos="4513" w:leader="none"/>
        <w:tab w:val="right" w:pos="9026" w:leader="none"/>
      </w:tabs>
      <w:spacing w:before="0" w:after="0"/>
    </w:pPr>
    <w:rPr/>
  </w:style>
  <w:style w:type="paragraph" w:styleId="Revision">
    <w:name w:val="Revision"/>
    <w:uiPriority w:val="99"/>
    <w:semiHidden/>
    <w:qFormat/>
    <w:rsid w:val="002b207c"/>
    <w:pPr>
      <w:widowControl/>
      <w:bidi w:val="0"/>
      <w:spacing w:lineRule="auto" w:line="240" w:before="0" w:after="0"/>
      <w:jc w:val="left"/>
    </w:pPr>
    <w:rPr>
      <w:rFonts w:ascii="Times New Roman" w:hAnsi="Times New Roman" w:eastAsia="ＭＳ 明朝" w:eastAsiaTheme="minorEastAsia" w:cs="Arial"/>
      <w:color w:val="auto"/>
      <w:kern w:val="0"/>
      <w:sz w:val="22"/>
      <w:szCs w:val="22"/>
      <w:lang w:val="en-US" w:eastAsia="en-US" w:bidi="ar-SA"/>
    </w:rPr>
  </w:style>
  <w:style w:type="paragraph" w:styleId="NoSpacing">
    <w:name w:val="No Spacing"/>
    <w:link w:val="NoSpacingChar"/>
    <w:uiPriority w:val="1"/>
    <w:qFormat/>
    <w:rsid w:val="00ac23f0"/>
    <w:pPr>
      <w:widowControl/>
      <w:bidi w:val="0"/>
      <w:spacing w:lineRule="auto" w:line="240" w:before="0" w:after="0"/>
      <w:jc w:val="left"/>
    </w:pPr>
    <w:rPr>
      <w:rFonts w:eastAsia="ＭＳ 明朝" w:eastAsiaTheme="minorEastAsia" w:ascii="Calibri" w:hAnsi="Calibri" w:cs="Arial"/>
      <w:color w:val="auto"/>
      <w:kern w:val="0"/>
      <w:sz w:val="21"/>
      <w:szCs w:val="21"/>
      <w:lang w:eastAsia="lt-LT" w:val="lt-LT"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ad70bd"/>
    <w:pPr>
      <w:spacing w:after="0" w:line="240" w:lineRule="auto"/>
    </w:pPr>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59"/>
    <w:rsid w:val="001014bc"/>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00f06339608b25655b3394581268e052">
  <xsd:schema xmlns:xsd="http://www.w3.org/2001/XMLSchema" xmlns:xs="http://www.w3.org/2001/XMLSchema" xmlns:p="http://schemas.microsoft.com/office/2006/metadata/properties" xmlns:ns2="d1b24185-aeae-4433-b70e-7616315af5c2" targetNamespace="http://schemas.microsoft.com/office/2006/metadata/properties" ma:root="true" ma:fieldsID="ee478935a08d6698650880ae4844f25a"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A52E-B612-4346-B4C8-CBE80C054DB0}">
  <ds:schemaRefs>
    <ds:schemaRef ds:uri="http://schemas.microsoft.com/office/2006/metadata/properties"/>
    <ds:schemaRef ds:uri="http://schemas.microsoft.com/office/infopath/2007/PartnerControls"/>
    <ds:schemaRef ds:uri="d1b24185-aeae-4433-b70e-7616315af5c2"/>
  </ds:schemaRefs>
</ds:datastoreItem>
</file>

<file path=customXml/itemProps2.xml><?xml version="1.0" encoding="utf-8"?>
<ds:datastoreItem xmlns:ds="http://schemas.openxmlformats.org/officeDocument/2006/customXml" ds:itemID="{2E404E99-9A51-48C5-AB5C-4BC8F2B233E5}">
  <ds:schemaRefs>
    <ds:schemaRef ds:uri="http://schemas.microsoft.com/sharepoint/v3/contenttype/forms"/>
  </ds:schemaRefs>
</ds:datastoreItem>
</file>

<file path=customXml/itemProps3.xml><?xml version="1.0" encoding="utf-8"?>
<ds:datastoreItem xmlns:ds="http://schemas.openxmlformats.org/officeDocument/2006/customXml" ds:itemID="{5F5CBABF-6EC0-4456-9A34-7F311E747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64A10-25D9-4BB2-8D0B-C73FB184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LibreOffice/7.6.4.1$Windows_X86_64 LibreOffice_project/e19e193f88cd6c0525a17fb7a176ed8e6a3e2aa1</Application>
  <AppVersion>15.0000</AppVersion>
  <Pages>3</Pages>
  <Words>1883</Words>
  <Characters>13454</Characters>
  <CharactersWithSpaces>15269</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2025-05-20T01:51:00Z</dcterms:created>
  <dc:creator>Jūratė Morkvėnaitė-Paulauskienė</dc:creator>
  <dc:description/>
  <dc:language>en-US</dc:language>
  <cp:lastModifiedBy>LAPTOP2022_2</cp:lastModifiedBy>
  <cp:lastPrinted>2025-03-07T17:24:00Z</cp:lastPrinted>
  <dcterms:modified xsi:type="dcterms:W3CDTF">2025-07-28T08:51:00Z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