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44" w:type="dxa"/>
        <w:jc w:val="left"/>
        <w:tblInd w:w="0" w:type="dxa"/>
        <w:tblLayout w:type="fixed"/>
        <w:tblCellMar>
          <w:top w:w="0" w:type="dxa"/>
          <w:left w:w="7" w:type="dxa"/>
          <w:bottom w:w="0" w:type="dxa"/>
          <w:right w:w="7" w:type="dxa"/>
        </w:tblCellMar>
        <w:tblLook w:firstRow="1" w:noVBand="1" w:lastRow="0" w:firstColumn="1" w:lastColumn="0" w:noHBand="0" w:val="04a0"/>
      </w:tblPr>
      <w:tblGrid>
        <w:gridCol w:w="788"/>
        <w:gridCol w:w="4035"/>
        <w:gridCol w:w="322"/>
        <w:gridCol w:w="4199"/>
      </w:tblGrid>
      <w:tr>
        <w:trPr>
          <w:trHeight w:val="300" w:hRule="atLeast"/>
        </w:trPr>
        <w:tc>
          <w:tcPr>
            <w:tcW w:w="788" w:type="dxa"/>
            <w:tcBorders>
              <w:top w:val="single" w:sz="6" w:space="0" w:color="000000"/>
              <w:left w:val="single" w:sz="6" w:space="0" w:color="000000"/>
              <w:bottom w:val="single" w:sz="6" w:space="0" w:color="000000"/>
              <w:right w:val="single" w:sz="6" w:space="0" w:color="000000"/>
            </w:tcBorders>
            <w:shd w:color="auto" w:fill="DEEAF6" w:themeFill="accent5" w:themeFillTint="33" w:val="clear"/>
            <w:vAlign w:val="center"/>
          </w:tcPr>
          <w:p>
            <w:pPr>
              <w:pStyle w:val="Normal"/>
              <w:spacing w:lineRule="auto" w:line="240" w:before="0" w:after="0"/>
              <w:jc w:val="center"/>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2"/>
                <w:szCs w:val="22"/>
                <w:lang w:val="lt-LT"/>
                <w14:ligatures w14:val="none"/>
              </w:rPr>
              <w:t>Eil. Nr.</w:t>
            </w:r>
            <w:r>
              <w:rPr>
                <w:rFonts w:eastAsia="Times New Roman" w:cs="Times New Roman" w:ascii="Times New Roman" w:hAnsi="Times New Roman"/>
                <w:kern w:val="0"/>
                <w:sz w:val="22"/>
                <w:szCs w:val="22"/>
                <w14:ligatures w14:val="none"/>
              </w:rPr>
              <w:t> </w:t>
            </w:r>
          </w:p>
        </w:tc>
        <w:tc>
          <w:tcPr>
            <w:tcW w:w="4357" w:type="dxa"/>
            <w:gridSpan w:val="2"/>
            <w:tcBorders>
              <w:top w:val="single" w:sz="6" w:space="0" w:color="000000"/>
              <w:left w:val="single" w:sz="6" w:space="0" w:color="000000"/>
              <w:bottom w:val="single" w:sz="6" w:space="0" w:color="000000"/>
              <w:right w:val="single" w:sz="6" w:space="0" w:color="000000"/>
            </w:tcBorders>
            <w:shd w:color="auto" w:fill="DEEAF6" w:themeFill="accent5" w:themeFillTint="33" w:val="clear"/>
            <w:vAlign w:val="center"/>
          </w:tcPr>
          <w:p>
            <w:pPr>
              <w:pStyle w:val="Normal"/>
              <w:spacing w:lineRule="auto" w:line="240" w:before="0" w:after="0"/>
              <w:jc w:val="center"/>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2"/>
                <w:szCs w:val="22"/>
                <w:lang w:val="lt-LT"/>
                <w14:ligatures w14:val="none"/>
              </w:rPr>
              <w:t>Kvalifikacijos reikalavimas</w:t>
            </w:r>
            <w:r>
              <w:rPr>
                <w:rFonts w:eastAsia="Times New Roman" w:cs="Times New Roman" w:ascii="Times New Roman" w:hAnsi="Times New Roman"/>
                <w:kern w:val="0"/>
                <w:sz w:val="22"/>
                <w:szCs w:val="22"/>
                <w14:ligatures w14:val="none"/>
              </w:rPr>
              <w:t> </w:t>
            </w:r>
          </w:p>
        </w:tc>
        <w:tc>
          <w:tcPr>
            <w:tcW w:w="4199" w:type="dxa"/>
            <w:tcBorders>
              <w:top w:val="single" w:sz="6" w:space="0" w:color="000000"/>
              <w:left w:val="single" w:sz="6" w:space="0" w:color="000000"/>
              <w:bottom w:val="single" w:sz="6" w:space="0" w:color="000000"/>
              <w:right w:val="single" w:sz="6" w:space="0" w:color="000000"/>
            </w:tcBorders>
            <w:shd w:color="auto" w:fill="DEEAF6" w:themeFill="accent5" w:themeFillTint="33" w:val="clear"/>
            <w:vAlign w:val="center"/>
          </w:tcPr>
          <w:p>
            <w:pPr>
              <w:pStyle w:val="Normal"/>
              <w:spacing w:lineRule="auto" w:line="240" w:before="0" w:after="0"/>
              <w:jc w:val="center"/>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2"/>
                <w:szCs w:val="22"/>
                <w:lang w:val="lt-LT"/>
                <w14:ligatures w14:val="none"/>
              </w:rPr>
              <w:t>Atitiktį reikalavimui įrodantys dokumentai</w:t>
            </w:r>
            <w:r>
              <w:rPr>
                <w:rFonts w:eastAsia="Times New Roman" w:cs="Times New Roman" w:ascii="Times New Roman" w:hAnsi="Times New Roman"/>
                <w:kern w:val="0"/>
                <w:sz w:val="22"/>
                <w:szCs w:val="22"/>
                <w14:ligatures w14:val="none"/>
              </w:rPr>
              <w:t> </w:t>
            </w:r>
          </w:p>
        </w:tc>
      </w:tr>
      <w:tr>
        <w:trPr>
          <w:trHeight w:val="300" w:hRule="atLeast"/>
        </w:trPr>
        <w:tc>
          <w:tcPr>
            <w:tcW w:w="78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40" w:before="0" w:after="0"/>
              <w:ind w:right="45"/>
              <w:jc w:val="center"/>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1"/>
                <w:szCs w:val="21"/>
                <w:lang w:val="lt-LT"/>
                <w14:ligatures w14:val="none"/>
              </w:rPr>
              <w:t>3.</w:t>
            </w:r>
            <w:r>
              <w:rPr>
                <w:rFonts w:eastAsia="Times New Roman" w:cs="Times New Roman" w:ascii="Times New Roman" w:hAnsi="Times New Roman"/>
                <w:kern w:val="0"/>
                <w:sz w:val="21"/>
                <w:szCs w:val="21"/>
                <w14:ligatures w14:val="none"/>
              </w:rPr>
              <w:t> </w:t>
            </w:r>
          </w:p>
        </w:tc>
        <w:tc>
          <w:tcPr>
            <w:tcW w:w="8556" w:type="dxa"/>
            <w:gridSpan w:val="3"/>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40" w:before="0" w:after="0"/>
              <w:jc w:val="center"/>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2"/>
                <w:szCs w:val="22"/>
                <w:lang w:val="lt-LT"/>
                <w14:ligatures w14:val="none"/>
              </w:rPr>
              <w:t>Techninis ir profesinis pajėgumas</w:t>
            </w:r>
            <w:r>
              <w:rPr>
                <w:rFonts w:eastAsia="Times New Roman" w:cs="Times New Roman" w:ascii="Times New Roman" w:hAnsi="Times New Roman"/>
                <w:kern w:val="0"/>
                <w:sz w:val="22"/>
                <w:szCs w:val="22"/>
                <w14:ligatures w14:val="none"/>
              </w:rPr>
              <w:t> </w:t>
            </w:r>
          </w:p>
        </w:tc>
      </w:tr>
      <w:tr>
        <w:trPr>
          <w:trHeight w:val="300" w:hRule="atLeast"/>
        </w:trPr>
        <w:tc>
          <w:tcPr>
            <w:tcW w:w="78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40" w:before="0" w:after="0"/>
              <w:ind w:right="45"/>
              <w:jc w:val="center"/>
              <w:rPr>
                <w:rFonts w:ascii="Segoe UI" w:hAnsi="Segoe UI" w:eastAsia="Times New Roman" w:cs="Segoe UI"/>
                <w:sz w:val="18"/>
                <w:szCs w:val="18"/>
              </w:rPr>
            </w:pPr>
            <w:r>
              <w:rPr>
                <w:rFonts w:eastAsia="Times New Roman" w:cs="Times New Roman" w:ascii="Times New Roman" w:hAnsi="Times New Roman"/>
                <w:sz w:val="22"/>
                <w:szCs w:val="22"/>
                <w:lang w:val="lt-LT"/>
              </w:rPr>
              <w:t>3.1.</w:t>
            </w:r>
            <w:r>
              <w:rPr>
                <w:rFonts w:eastAsia="Times New Roman" w:cs="Times New Roman" w:ascii="Times New Roman" w:hAnsi="Times New Roman"/>
                <w:sz w:val="22"/>
                <w:szCs w:val="22"/>
              </w:rPr>
              <w:t> </w:t>
            </w:r>
          </w:p>
        </w:tc>
        <w:tc>
          <w:tcPr>
            <w:tcW w:w="403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40"/>
              <w:jc w:val="both"/>
              <w:rPr>
                <w:rFonts w:ascii="Times New Roman" w:hAnsi="Times New Roman" w:cs="Times New Roman"/>
                <w:color w:val="000000"/>
                <w:sz w:val="24"/>
                <w:szCs w:val="24"/>
              </w:rPr>
            </w:pPr>
            <w:r>
              <w:rPr>
                <w:rFonts w:cs="Times New Roman" w:ascii="Times New Roman" w:hAnsi="Times New Roman"/>
                <w:color w:val="000000"/>
                <w:sz w:val="24"/>
                <w:szCs w:val="24"/>
              </w:rPr>
              <w:t>Tiekėjas per paskutinius 3 (trejus) metus arba per laiką nuo tiekėjo įregistravimo dienos (jei tiekėjas vykdė veiklą mažiau nei 3 (trejus) metus) yra įvykdęs ne mažiau kaip 1 (vieną)</w:t>
            </w:r>
            <w:r>
              <w:rPr>
                <w:rFonts w:cs="Times New Roman" w:ascii="Times New Roman" w:hAnsi="Times New Roman"/>
                <w:color w:val="000000"/>
                <w:sz w:val="24"/>
                <w:szCs w:val="24"/>
                <w:lang w:val="lt-LT"/>
              </w:rPr>
              <w:t xml:space="preserve"> </w:t>
            </w:r>
            <w:r>
              <w:rPr>
                <w:rFonts w:cs="Times New Roman" w:ascii="Times New Roman" w:hAnsi="Times New Roman"/>
                <w:color w:val="000000"/>
                <w:sz w:val="24"/>
                <w:szCs w:val="24"/>
                <w:lang w:val="lt-LT"/>
              </w:rPr>
              <w:t xml:space="preserve">ar daugiau </w:t>
            </w:r>
            <w:r>
              <w:rPr>
                <w:rFonts w:cs="Times New Roman" w:ascii="Times New Roman" w:hAnsi="Times New Roman"/>
                <w:color w:val="000000"/>
                <w:sz w:val="24"/>
                <w:szCs w:val="24"/>
                <w:lang w:val="lt-LT"/>
              </w:rPr>
              <w:t xml:space="preserve"> </w:t>
            </w:r>
            <w:r>
              <w:rPr>
                <w:rFonts w:cs="Times New Roman" w:ascii="Times New Roman" w:hAnsi="Times New Roman"/>
                <w:color w:val="000000"/>
                <w:sz w:val="24"/>
                <w:szCs w:val="24"/>
                <w:lang w:val="lt-LT"/>
              </w:rPr>
              <w:t>mokymų/ konferencijų aptarnavimo/ renginių organizavimo</w:t>
            </w:r>
            <w:r>
              <w:rPr>
                <w:rFonts w:cs="Times New Roman" w:ascii="Times New Roman" w:hAnsi="Times New Roman"/>
                <w:color w:val="000000"/>
                <w:sz w:val="24"/>
                <w:szCs w:val="24"/>
              </w:rPr>
              <w:t xml:space="preserve"> sutar</w:t>
            </w:r>
            <w:r>
              <w:rPr>
                <w:rFonts w:cs="Times New Roman" w:ascii="Times New Roman" w:hAnsi="Times New Roman"/>
                <w:color w:val="000000"/>
                <w:sz w:val="24"/>
                <w:szCs w:val="24"/>
                <w:lang w:val="lt-LT"/>
              </w:rPr>
              <w:t xml:space="preserve">čių, kurių </w:t>
            </w:r>
            <w:r>
              <w:rPr>
                <w:rFonts w:cs="Times New Roman" w:ascii="Times New Roman" w:hAnsi="Times New Roman"/>
                <w:color w:val="000000"/>
                <w:sz w:val="24"/>
                <w:szCs w:val="24"/>
                <w:lang w:val="lt-LT"/>
              </w:rPr>
              <w:t xml:space="preserve"> </w:t>
            </w:r>
            <w:r>
              <w:rPr>
                <w:rFonts w:cs="Times New Roman" w:ascii="Times New Roman" w:hAnsi="Times New Roman"/>
                <w:color w:val="000000"/>
                <w:sz w:val="24"/>
                <w:szCs w:val="24"/>
                <w:lang w:val="lt-LT"/>
              </w:rPr>
              <w:t>bendra</w:t>
            </w:r>
            <w:r>
              <w:rPr>
                <w:rFonts w:cs="Times New Roman" w:ascii="Times New Roman" w:hAnsi="Times New Roman"/>
                <w:color w:val="000000"/>
                <w:sz w:val="24"/>
                <w:szCs w:val="24"/>
              </w:rPr>
              <w:t xml:space="preserve"> vertė turi būti  ne mažesnė kaip </w:t>
            </w:r>
            <w:r>
              <w:rPr>
                <w:rFonts w:cs="Times New Roman" w:ascii="Times New Roman" w:hAnsi="Times New Roman"/>
                <w:color w:val="000000"/>
                <w:sz w:val="24"/>
                <w:szCs w:val="24"/>
                <w:lang w:val="lt-LT"/>
              </w:rPr>
              <w:t>1</w:t>
            </w:r>
            <w:r>
              <w:rPr>
                <w:rFonts w:cs="Times New Roman" w:ascii="Times New Roman" w:hAnsi="Times New Roman"/>
                <w:color w:val="000000"/>
                <w:sz w:val="24"/>
                <w:szCs w:val="24"/>
              </w:rPr>
              <w:t>7 000,00 Eur be PVM.</w:t>
            </w:r>
          </w:p>
          <w:p>
            <w:pPr>
              <w:pStyle w:val="Normal"/>
              <w:spacing w:lineRule="auto" w:line="240"/>
              <w:jc w:val="both"/>
              <w:rPr>
                <w:rFonts w:ascii="Times New Roman" w:hAnsi="Times New Roman" w:cs="Times New Roman"/>
                <w:color w:val="000000"/>
                <w:sz w:val="24"/>
                <w:szCs w:val="24"/>
              </w:rPr>
            </w:pPr>
            <w:r>
              <w:rPr>
                <w:rFonts w:cs="Times New Roman" w:ascii="Times New Roman" w:hAnsi="Times New Roman"/>
                <w:color w:val="000000"/>
                <w:sz w:val="24"/>
                <w:szCs w:val="24"/>
              </w:rPr>
              <w:t>Laikoma, kad tiekėjas atitinka reikalavimą, jei sutarties/čių (įvykdytos/ų, ar kurią/ias jis įvykdė kaip subtiekėjas ar būdamas ūkio subjektų grupės narys) jam tekusi sėkmingai įvykdyta dalis yra ne mažesnė kaip šiame punkte nurodyta suma.</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Jei tiekėjas teikia informaciją apie įvykdytą/as sutartį/is, laikoma, kad jo patirtis atitinka keliamą reikalavimą, jei įvykdytos/ų sutarties/ių įvykdyta dalis yra ne mažesnė kaip aukščiau nurodyta suma.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jc w:val="both"/>
              <w:rPr>
                <w:rFonts w:ascii="Times New Roman" w:hAnsi="Times New Roman" w:cs="Times New Roman"/>
                <w:color w:val="000000"/>
                <w:sz w:val="24"/>
                <w:szCs w:val="24"/>
              </w:rPr>
            </w:pPr>
            <w:r>
              <w:rPr>
                <w:rFonts w:cs="Times New Roman" w:ascii="Times New Roman" w:hAnsi="Times New Roman"/>
                <w:sz w:val="24"/>
                <w:szCs w:val="24"/>
              </w:rPr>
              <w:t>Tiekėjui nedraudžiama remtis sutartimi/is, kurią/ias tiekėjas įvykdė ne vienas, bet kartu su kitais ūkio subjektais. Tačiau tokiu atveju bus vertinamos būtent tiekėjo (arba ūkio subjekto, kurio pajėgumais tiekėjas remiasi šiam reikalavimui atitikti), dalyvaujančio viešajame pirkime, suteiktos paslaugos, jų apimtis, vertė, o ne visas vykdytos sutarties objektas.</w:t>
            </w:r>
          </w:p>
        </w:tc>
        <w:tc>
          <w:tcPr>
            <w:tcW w:w="4521"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40"/>
              <w:jc w:val="both"/>
              <w:rPr>
                <w:rFonts w:ascii="Times New Roman" w:hAnsi="Times New Roman" w:eastAsia="Calibri" w:cs="Times New Roman"/>
                <w:sz w:val="24"/>
              </w:rPr>
            </w:pPr>
            <w:r>
              <w:rPr>
                <w:rFonts w:eastAsia="Calibri" w:cs="Times New Roman" w:ascii="Times New Roman" w:hAnsi="Times New Roman"/>
                <w:sz w:val="24"/>
              </w:rPr>
              <w:t xml:space="preserve">Įvykdytų sutarčių sąrašas ( kartu su suteiktų paslaugų perdavimo – priėmimo aktais ir/ar užsakovų pažymomis, kad sutartys buvo įvykdytos tinkamai, nurodant užsakovą, sutarties objektą, įvykdymo datą ir sutarties vertę (jei tiekėjas teikia informaciją apie vykdomą sutartį, nurodoma paslaugų, kurias suteikė tiekėjas, vertė). </w:t>
            </w:r>
          </w:p>
          <w:p>
            <w:pPr>
              <w:pStyle w:val="Normal"/>
              <w:spacing w:lineRule="auto" w:line="240"/>
              <w:jc w:val="both"/>
              <w:rPr>
                <w:rFonts w:ascii="Times New Roman" w:hAnsi="Times New Roman" w:eastAsia="Calibri" w:cs="Times New Roman"/>
                <w:sz w:val="24"/>
              </w:rPr>
            </w:pPr>
            <w:r>
              <w:rPr>
                <w:rFonts w:eastAsia="Calibri" w:cs="Times New Roman" w:ascii="Times New Roman" w:hAnsi="Times New Roman"/>
                <w:sz w:val="24"/>
              </w:rPr>
            </w:r>
          </w:p>
          <w:p>
            <w:pPr>
              <w:pStyle w:val="Normal"/>
              <w:spacing w:lineRule="auto" w:line="240"/>
              <w:jc w:val="both"/>
              <w:rPr>
                <w:rFonts w:ascii="Times New Roman" w:hAnsi="Times New Roman" w:eastAsia="Calibri" w:cs="Times New Roman"/>
                <w:i/>
                <w:i/>
                <w:sz w:val="24"/>
              </w:rPr>
            </w:pPr>
            <w:r>
              <w:rPr>
                <w:rFonts w:eastAsia="Calibri" w:cs="Times New Roman" w:ascii="Times New Roman" w:hAnsi="Times New Roman"/>
                <w:i/>
                <w:sz w:val="24"/>
              </w:rPr>
              <w:t>CVP IS priemonėmis pateikiamos skaitmeninės dokumentų kopijos.</w:t>
            </w:r>
          </w:p>
          <w:p>
            <w:pPr>
              <w:pStyle w:val="Normal"/>
              <w:spacing w:lineRule="auto" w:line="240"/>
              <w:jc w:val="both"/>
              <w:rPr>
                <w:rFonts w:ascii="Times New Roman" w:hAnsi="Times New Roman" w:eastAsia="Calibri" w:cs="Times New Roman"/>
                <w:i/>
                <w:i/>
                <w:sz w:val="24"/>
                <w:szCs w:val="24"/>
              </w:rPr>
            </w:pPr>
            <w:r>
              <w:rPr>
                <w:rFonts w:eastAsia="Calibri" w:cs="Times New Roman" w:ascii="Times New Roman" w:hAnsi="Times New Roman"/>
                <w:i/>
                <w:sz w:val="24"/>
                <w:szCs w:val="24"/>
              </w:rPr>
            </w:r>
          </w:p>
          <w:p>
            <w:pPr>
              <w:pStyle w:val="Normal"/>
              <w:spacing w:lineRule="auto" w:line="240"/>
              <w:jc w:val="both"/>
              <w:rPr>
                <w:rFonts w:ascii="Times New Roman" w:hAnsi="Times New Roman" w:eastAsia="Calibri" w:cs="Times New Roman"/>
                <w:i/>
                <w:i/>
                <w:sz w:val="24"/>
                <w:szCs w:val="24"/>
              </w:rPr>
            </w:pPr>
            <w:r>
              <w:rPr>
                <w:rFonts w:eastAsia="Calibri" w:cs="Times New Roman" w:ascii="Times New Roman" w:hAnsi="Times New Roman"/>
                <w:i/>
                <w:sz w:val="24"/>
                <w:szCs w:val="24"/>
              </w:rPr>
            </w:r>
          </w:p>
          <w:p>
            <w:pPr>
              <w:pStyle w:val="Normal"/>
              <w:spacing w:lineRule="auto" w:line="240" w:before="0" w:after="160"/>
              <w:jc w:val="both"/>
              <w:rPr>
                <w:rFonts w:ascii="Times New Roman" w:hAnsi="Times New Roman" w:cs="Times New Roman"/>
                <w:iCs/>
                <w:sz w:val="24"/>
                <w:szCs w:val="24"/>
              </w:rPr>
            </w:pPr>
            <w:r>
              <w:rPr>
                <w:rFonts w:cs="Times New Roman" w:ascii="Times New Roman" w:hAnsi="Times New Roman"/>
                <w:iCs/>
                <w:sz w:val="24"/>
                <w:szCs w:val="24"/>
              </w:rPr>
              <w:t>Pastaba. Perkančioji organizacija,  siekdama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 (užsakovus).</w:t>
            </w:r>
          </w:p>
        </w:tc>
      </w:tr>
    </w:tbl>
    <w:p>
      <w:pPr>
        <w:pStyle w:val="Normal"/>
        <w:spacing w:before="0" w:after="160"/>
        <w:rPr>
          <w:lang w:val="pt-BR"/>
        </w:rPr>
      </w:pPr>
      <w:r>
        <w:rPr>
          <w:lang w:val="pt-B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Segoe UI">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cf7529"/>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cf7529"/>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cf7529"/>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cf7529"/>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cf7529"/>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cf752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cf752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cf752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cf752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cf7529"/>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cf7529"/>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cf7529"/>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cf7529"/>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cf7529"/>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cf752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cf752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cf752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cf7529"/>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cf7529"/>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cf7529"/>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cf7529"/>
    <w:rPr>
      <w:i/>
      <w:iCs/>
      <w:color w:themeColor="text1" w:themeTint="bf" w:val="404040"/>
    </w:rPr>
  </w:style>
  <w:style w:type="character" w:styleId="IntenseEmphasis">
    <w:name w:val="Intense Emphasis"/>
    <w:basedOn w:val="DefaultParagraphFont"/>
    <w:uiPriority w:val="21"/>
    <w:qFormat/>
    <w:rsid w:val="00cf7529"/>
    <w:rPr>
      <w:i/>
      <w:iCs/>
      <w:color w:themeColor="accent1" w:themeShade="bf" w:val="2F5496"/>
    </w:rPr>
  </w:style>
  <w:style w:type="character" w:styleId="IntenseQuoteChar" w:customStyle="1">
    <w:name w:val="Intense Quote Char"/>
    <w:basedOn w:val="DefaultParagraphFont"/>
    <w:link w:val="IntenseQuote"/>
    <w:uiPriority w:val="30"/>
    <w:qFormat/>
    <w:rsid w:val="00cf7529"/>
    <w:rPr>
      <w:i/>
      <w:iCs/>
      <w:color w:themeColor="accent1" w:themeShade="bf" w:val="2F5496"/>
    </w:rPr>
  </w:style>
  <w:style w:type="character" w:styleId="IntenseReference">
    <w:name w:val="Intense Reference"/>
    <w:basedOn w:val="DefaultParagraphFont"/>
    <w:uiPriority w:val="32"/>
    <w:qFormat/>
    <w:rsid w:val="00cf7529"/>
    <w:rPr>
      <w:b/>
      <w:bCs/>
      <w:smallCaps/>
      <w:color w:themeColor="accent1" w:themeShade="bf" w:val="2F5496"/>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cf7529"/>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cf7529"/>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cf7529"/>
    <w:pPr>
      <w:spacing w:before="160" w:after="160"/>
      <w:jc w:val="center"/>
    </w:pPr>
    <w:rPr>
      <w:i/>
      <w:iCs/>
      <w:color w:themeColor="text1" w:themeTint="bf" w:val="404040"/>
    </w:rPr>
  </w:style>
  <w:style w:type="paragraph" w:styleId="ListParagraph">
    <w:name w:val="List Paragraph"/>
    <w:basedOn w:val="Normal"/>
    <w:uiPriority w:val="34"/>
    <w:qFormat/>
    <w:rsid w:val="00cf7529"/>
    <w:pPr>
      <w:spacing w:before="0" w:after="160"/>
      <w:ind w:left="720"/>
      <w:contextualSpacing/>
    </w:pPr>
    <w:rPr/>
  </w:style>
  <w:style w:type="paragraph" w:styleId="IntenseQuote">
    <w:name w:val="Intense Quote"/>
    <w:basedOn w:val="Normal"/>
    <w:next w:val="Normal"/>
    <w:link w:val="IntenseQuoteChar"/>
    <w:uiPriority w:val="30"/>
    <w:qFormat/>
    <w:rsid w:val="00cf7529"/>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00f06339608b25655b3394581268e052">
  <xsd:schema xmlns:xsd="http://www.w3.org/2001/XMLSchema" xmlns:xs="http://www.w3.org/2001/XMLSchema" xmlns:p="http://schemas.microsoft.com/office/2006/metadata/properties" xmlns:ns2="d1b24185-aeae-4433-b70e-7616315af5c2" targetNamespace="http://schemas.microsoft.com/office/2006/metadata/properties" ma:root="true" ma:fieldsID="ee478935a08d6698650880ae4844f25a"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4C982-29C1-4D91-B7FF-0A9C28CD2BEE}"/>
</file>

<file path=customXml/itemProps2.xml><?xml version="1.0" encoding="utf-8"?>
<ds:datastoreItem xmlns:ds="http://schemas.openxmlformats.org/officeDocument/2006/customXml" ds:itemID="{FB8EC809-601A-408C-9D08-7C7F860FE7A9}"/>
</file>

<file path=customXml/itemProps3.xml><?xml version="1.0" encoding="utf-8"?>
<ds:datastoreItem xmlns:ds="http://schemas.openxmlformats.org/officeDocument/2006/customXml" ds:itemID="{B80D9AB5-E7BE-47FB-ADDE-089560202483}"/>
</file>

<file path=docProps/app.xml><?xml version="1.0" encoding="utf-8"?>
<Properties xmlns="http://schemas.openxmlformats.org/officeDocument/2006/extended-properties" xmlns:vt="http://schemas.openxmlformats.org/officeDocument/2006/docPropsVTypes">
  <Template>Normal</Template>
  <TotalTime>25</TotalTime>
  <Application>LibreOffice/7.6.4.1$Windows_X86_64 LibreOffice_project/e19e193f88cd6c0525a17fb7a176ed8e6a3e2aa1</Application>
  <AppVersion>15.0000</AppVersion>
  <Pages>1</Pages>
  <Words>263</Words>
  <Characters>1774</Characters>
  <CharactersWithSpaces>2036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2025-07-14T11:23:00Z</dcterms:created>
  <dc:creator>LAPTOP2022_2</dc:creator>
  <dc:description/>
  <dc:language>en-US</dc:language>
  <cp:lastModifiedBy/>
  <dcterms:modified xsi:type="dcterms:W3CDTF">2025-08-11T09:57:25Z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