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567" w:leader="none"/>
          <w:tab w:val="left" w:pos="851" w:leader="none"/>
        </w:tabs>
        <w:jc w:val="center"/>
        <w:rPr>
          <w:rFonts w:ascii="Times New Roman" w:hAnsi="Times New Roman" w:eastAsia="Times New Roman" w:cs="Times New Roman"/>
          <w:b/>
          <w:bCs/>
          <w:caps/>
        </w:rPr>
      </w:pPr>
      <w:r>
        <w:rPr>
          <w:rFonts w:eastAsia="Times New Roman" w:cs="Times New Roman" w:ascii="Times New Roman" w:hAnsi="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4"/>
        <w:gridCol w:w="2182"/>
        <w:gridCol w:w="2359"/>
        <w:gridCol w:w="2572"/>
      </w:tblGrid>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b/>
                <w:bCs/>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pPr>
              <w:pStyle w:val="Normal"/>
              <w:rPr>
                <w:rFonts w:cs="Times New Roman"/>
                <w:b/>
                <w:bCs/>
              </w:rPr>
            </w:pPr>
            <w:bookmarkStart w:id="0" w:name="_Hlk202521243"/>
            <w:bookmarkStart w:id="1" w:name="_Hlk127525387"/>
            <w:bookmarkEnd w:id="1"/>
            <w:r>
              <w:rPr>
                <w:rFonts w:cs="Times New Roman" w:ascii="Times New Roman" w:hAnsi="Times New Roman"/>
                <w:b/>
                <w:bCs/>
                <w:sz w:val="28"/>
                <w:szCs w:val="28"/>
              </w:rPr>
              <w:t>EKSPERTŲ MOKYMAI NAUJIEMS KOORDINATORIAMS (KONTAKTINIAI MOKYMAI) IR NAUJŲ KOORDINATORIŲ MOKYMAS KAIP APMOKYTI IR PARUOŠTI AMBASADORIUS</w:t>
            </w:r>
            <w:bookmarkEnd w:id="0"/>
          </w:p>
          <w:p>
            <w:pPr>
              <w:pStyle w:val="NoSpacing"/>
              <w:tabs>
                <w:tab w:val="clear" w:pos="709"/>
                <w:tab w:val="left" w:pos="993" w:leader="none"/>
              </w:tabs>
              <w:spacing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data</w:t>
            </w:r>
          </w:p>
        </w:tc>
        <w:tc>
          <w:tcPr>
            <w:tcW w:w="218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c>
          <w:tcPr>
            <w:tcW w:w="23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1.2. Tiekėjas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ascii="Times New Roman" w:hAnsi="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0"/>
        <w:gridCol w:w="19"/>
        <w:gridCol w:w="2111"/>
        <w:gridCol w:w="4309"/>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2.1. Pirkėjo kontaktiniai asmenys, atsakingi už Sutarties vykdymą, Paslaugų priėmimą, Sąskaitų per informacinę sistemą SABIS priėmimą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2.2. Tiekėjo kontaktiniai asmenys, atsakingi už Sutarties vykdymą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3.1. Sutarties dalykas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Tiekėjas įsipareigoja Sutartyje numatytomis sąlygomis suteikti Pirkėjui I dalis . „Ekspertų paslaugos naujiems koordinatoriams apmokyti ir paruošti ambasadorius“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00B0F0"/>
              </w:rPr>
            </w:pPr>
            <w:r>
              <w:rPr>
                <w:rFonts w:eastAsia="Times New Roman" w:cs="Times New Roman" w:ascii="Times New Roman" w:hAnsi="Times New Roman"/>
                <w:color w:val="00B0F0"/>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t>II dalis. Ekspertų mokymų organizavimo paslaugos naujiems Psichikos sveikatos ambasadorių iniciatyvos koordinatoriams ir jų mokymas, kaip apmokyti ir paruošti ambasadorius (kontaktiniai mokymai)“</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(toliau – Paslaugos).</w:t>
            </w:r>
          </w:p>
          <w:p>
            <w:pPr>
              <w:pStyle w:val="Normal"/>
              <w:jc w:val="both"/>
              <w:rPr>
                <w:rFonts w:ascii="Times New Roman" w:hAnsi="Times New Roman" w:eastAsia="Times New Roman" w:cs="Times New Roman"/>
              </w:rPr>
            </w:pPr>
            <w:r>
              <w:rPr>
                <w:rFonts w:eastAsia="Times New Roman" w:cs="Times New Roman" w:ascii="Times New Roman" w:hAnsi="Times New Roman"/>
              </w:rPr>
              <w:t>Išsamus Paslaugų aprašymas ir kiti reikalavimai teikiamoms Paslaugoms nustatyti</w:t>
            </w:r>
            <w:r>
              <w:rPr>
                <w:rFonts w:eastAsia="Times New Roman" w:cs="Times New Roman" w:ascii="Times New Roman" w:hAnsi="Times New Roman"/>
                <w:shd w:fill="FFFFFF" w:val="clear"/>
              </w:rPr>
              <w:t xml:space="preserve">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3.2. Pirkimo pavadinimas ir numeris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cs="Times New Roman" w:ascii="Times New Roman" w:hAnsi="Times New Roman"/>
              </w:rPr>
              <w:t>Ekspertų m</w:t>
            </w:r>
            <w:r>
              <w:rPr>
                <w:rFonts w:eastAsia="Times New Roman" w:cs="Times New Roman" w:ascii="Times New Roman" w:hAnsi="Times New Roman"/>
              </w:rPr>
              <w:t xml:space="preserve">okymai naujiems koordinatoriams (kontaktiniai mokymai) ir naujų koordinatorių mokymas kaip apmokyti ir paruošti ambasadorius </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(toliau – Paslaugos) </w:t>
            </w:r>
            <w:r>
              <w:rPr>
                <w:rFonts w:eastAsia="Times New Roman" w:cs="Times New Roman" w:ascii="Times New Roman" w:hAnsi="Times New Roman"/>
                <w:color w:val="227ACB"/>
              </w:rPr>
              <w:t>[</w:t>
            </w:r>
            <w:r>
              <w:rPr>
                <w:rFonts w:eastAsia="Times New Roman" w:cs="Times New Roman" w:ascii="Times New Roman" w:hAnsi="Times New Roman"/>
                <w:i/>
                <w:iCs/>
                <w:color w:val="227ACB"/>
              </w:rPr>
              <w:t>nurodyti pirkimo nr.</w:t>
            </w:r>
            <w:r>
              <w:rPr>
                <w:rFonts w:eastAsia="Times New Roman" w:cs="Times New Roman" w:ascii="Times New Roman" w:hAnsi="Times New Roman"/>
                <w:color w:val="227ACB"/>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3.3. Informacija apie Europos Sąjungos lėšomis finansuojamą projektą arba kitą projektą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09"/>
                <w:tab w:val="left" w:pos="851" w:leader="none"/>
                <w:tab w:val="left" w:pos="993" w:leader="none"/>
              </w:tabs>
              <w:overflowPunct w:val="false"/>
              <w:jc w:val="both"/>
              <w:rPr>
                <w:rFonts w:eastAsia="Times New Roman" w:cs="Times New Roman"/>
                <w:kern w:val="2"/>
              </w:rPr>
            </w:pPr>
            <w:r>
              <w:rPr>
                <w:rFonts w:eastAsia="Times New Roman" w:cs="Times New Roman"/>
                <w:lang w:val="lt-LT"/>
              </w:rPr>
              <w:t>„</w:t>
            </w:r>
            <w:r>
              <w:rPr>
                <w:rFonts w:eastAsia="Times New Roman" w:cs="Times New Roman"/>
                <w:lang w:val="lt-LT"/>
              </w:rPr>
              <w:t>Psichikos sveikatos stiprinimas, stigmatizavimo mažinimas, savižudybių prevencija vidurio, vakarų Lietuvos ir Sostinės regione“ Nr. 09-025-P-0001</w:t>
            </w:r>
          </w:p>
          <w:p>
            <w:pPr>
              <w:pStyle w:val="Normal"/>
              <w:jc w:val="both"/>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4. PASLAUGŲ SUTEIKIMO TERMINAI IR PASLAUGŲ PERDAVIMO </w:t>
            </w:r>
            <w:r>
              <w:rPr>
                <w:rFonts w:eastAsia="Times New Roman" w:cs="Times New Roman" w:ascii="Times New Roman" w:hAnsi="Times New Roman"/>
              </w:rPr>
              <w:t>–</w:t>
            </w:r>
            <w:r>
              <w:rPr>
                <w:rFonts w:eastAsia="Times New Roman" w:cs="Times New Roman" w:ascii="Times New Roman" w:hAnsi="Times New Roman"/>
                <w:b/>
                <w:bCs/>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4.1. Paslaugų suteikimo terminai, kai Paslaugos teikiamos etapais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ascii="Times New Roman" w:hAnsi="Times New Roman"/>
              </w:rPr>
              <w:t>Paslaugų teikimo laikotarpis -</w:t>
            </w:r>
            <w:r>
              <w:rPr>
                <w:rFonts w:eastAsia="Times New Roman" w:cs="Times New Roman" w:ascii="Times New Roman" w:hAnsi="Times New Roman"/>
                <w:b/>
                <w:bCs/>
              </w:rPr>
              <w:t xml:space="preserve"> 11</w:t>
            </w:r>
            <w:r>
              <w:rPr>
                <w:rFonts w:eastAsia="Times New Roman" w:cs="Times New Roman" w:ascii="Times New Roman" w:hAnsi="Times New Roman"/>
              </w:rPr>
              <w:t xml:space="preserve"> (vienuolika) mėnesių nuo Sutarties sudarymo ir įsigaliojimo dienos.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 5 darbo dienas nuo Sutarties įsigaliojimo dienos ar kitu abipusiu susitarimu (el. paštu) nustatytu terminu, Tiekėjas pateikia suderinti teikiamų paslaugų grafiką.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4.2. Paslaugų / jų dalies / etapo / periodo suteikimo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4.3. Užsakymų teikimo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1063"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4.4. Dėl minimalios Užsakymo vertės ar apimties</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737"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4.5. Pateikiami dokumentai</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5.1. Sutarčiai taikomas kainos apskaičiavimo būdas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Fiksuoto įkainio kainodara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5.2. Pradinės Sutarties vertė ir Sutarties kaina, kai taikoma </w:t>
            </w:r>
            <w:r>
              <w:rPr>
                <w:rFonts w:eastAsia="Times New Roman" w:cs="Times New Roman" w:ascii="Times New Roman" w:hAnsi="Times New Roman"/>
                <w:b/>
                <w:bCs/>
                <w:u w:val="single"/>
              </w:rPr>
              <w:t>fiksuoto įkainio</w:t>
            </w:r>
            <w:r>
              <w:rPr>
                <w:rFonts w:eastAsia="Times New Roman" w:cs="Times New Roman" w:ascii="Times New Roman" w:hAnsi="Times New Roman"/>
                <w:b/>
                <w:bCs/>
              </w:rPr>
              <w:t xml:space="preserve"> kainodara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Pradinės Sutarties vertė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r>
              <w:rPr>
                <w:rFonts w:eastAsia="Times New Roman" w:cs="Times New Roman" w:ascii="Times New Roman" w:hAnsi="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PVM sudaro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Sutarties kaina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w:t>
            </w:r>
            <w:r>
              <w:rPr>
                <w:rFonts w:eastAsia="Times New Roman" w:cs="Times New Roman" w:ascii="Times New Roman" w:hAnsi="Times New Roman"/>
              </w:rPr>
              <w:t xml:space="preserve"> </w:t>
            </w:r>
            <w:r>
              <w:rPr>
                <w:rFonts w:eastAsia="Times New Roman" w:cs="Times New Roman" w:ascii="Times New Roman" w:hAnsi="Times New Roman"/>
                <w:color w:val="227ACB"/>
              </w:rPr>
              <w:t>žodžiais)</w:t>
            </w:r>
            <w:r>
              <w:rPr>
                <w:rFonts w:eastAsia="Times New Roman" w:cs="Times New Roman" w:ascii="Times New Roman" w:hAnsi="Times New Roman"/>
              </w:rPr>
              <w:t xml:space="preserve"> su PVM.</w:t>
            </w:r>
          </w:p>
          <w:p>
            <w:pPr>
              <w:pStyle w:val="Normal"/>
              <w:jc w:val="both"/>
              <w:rPr>
                <w:rFonts w:ascii="Times New Roman" w:hAnsi="Times New Roman" w:eastAsia="Times New Roman" w:cs="Times New Roman"/>
              </w:rPr>
            </w:pPr>
            <w:r>
              <w:rPr>
                <w:rFonts w:eastAsia="Times New Roman" w:cs="Times New Roman" w:ascii="Times New Roman" w:hAnsi="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5.3. Sutarties kainos / įkainių perskaičiavimas taikant </w:t>
            </w:r>
            <w:r>
              <w:rPr>
                <w:rFonts w:eastAsia="Times New Roman" w:cs="Times New Roman" w:ascii="Times New Roman" w:hAnsi="Times New Roman"/>
                <w:b/>
                <w:bCs/>
                <w:u w:val="single"/>
              </w:rPr>
              <w:t>peržiūros</w:t>
            </w:r>
            <w:r>
              <w:rPr>
                <w:rFonts w:eastAsia="Times New Roman" w:cs="Times New Roman" w:ascii="Times New Roman" w:hAnsi="Times New Roman"/>
                <w:b/>
                <w:bCs/>
              </w:rPr>
              <w:t xml:space="preserve">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Sutarties  kaina bus perskaičiuojami:</w:t>
            </w:r>
          </w:p>
          <w:p>
            <w:pPr>
              <w:pStyle w:val="Normal"/>
              <w:rPr>
                <w:rFonts w:ascii="Times New Roman" w:hAnsi="Times New Roman" w:eastAsia="Times New Roman" w:cs="Times New Roman"/>
              </w:rPr>
            </w:pPr>
            <w:r>
              <w:rPr>
                <w:rFonts w:eastAsia="Times New Roman" w:cs="Times New Roman" w:ascii="Times New Roman" w:hAnsi="Times New Roman"/>
              </w:rPr>
              <w:t>5.3.1. dėl PVM tarifo pasikeitimo;</w:t>
            </w:r>
          </w:p>
          <w:p>
            <w:pPr>
              <w:pStyle w:val="Normal"/>
              <w:rPr>
                <w:rFonts w:ascii="Times New Roman" w:hAnsi="Times New Roman" w:eastAsia="Times New Roman" w:cs="Times New Roman"/>
              </w:rPr>
            </w:pPr>
            <w:r>
              <w:rPr>
                <w:rFonts w:eastAsia="Times New Roman" w:cs="Times New Roman" w:ascii="Times New Roman" w:hAnsi="Times New Roman"/>
              </w:rPr>
              <w:t>5.3.2. dėl kainų lygio pokyčio.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5.3.1. Sutarties kainos / įkainių peržiūra dėl PVM tarifo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5.3.2.</w:t>
            </w:r>
            <w:r>
              <w:rPr>
                <w:rFonts w:eastAsia="Times New Roman" w:cs="Times New Roman" w:ascii="Times New Roman" w:hAnsi="Times New Roman"/>
              </w:rPr>
              <w:t xml:space="preserve"> </w:t>
            </w:r>
            <w:r>
              <w:rPr>
                <w:rFonts w:eastAsia="Times New Roman" w:cs="Times New Roman" w:ascii="Times New Roman" w:hAnsi="Times New Roman"/>
                <w:b/>
                <w:bCs/>
              </w:rPr>
              <w:t>Sutarties kainos / įkainių peržiūra dėl kitų mokesčių, lemiančių Paslaugų kainos / įkainių pokytį,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color w:val="000000"/>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color w:val="000000"/>
                <w:shd w:fill="FFFFFF" w:val="clear"/>
              </w:rPr>
              <w:t>Jeigu P</w:t>
            </w:r>
            <w:r>
              <w:rPr>
                <w:color w:val="auto"/>
              </w:rPr>
              <w:t>aslaugų teikimas</w:t>
            </w:r>
            <w:r>
              <w:rPr>
                <w:color w:val="000000"/>
                <w:shd w:fill="FFFFFF" w:val="clear"/>
              </w:rPr>
              <w:t xml:space="preserve"> vėluoja dėl Tiekėjo kaltės, uždelstų suteikti P</w:t>
            </w:r>
            <w:r>
              <w:rPr>
                <w:color w:val="auto"/>
              </w:rPr>
              <w:t>aslaugų</w:t>
            </w:r>
            <w:r>
              <w:rPr>
                <w:color w:val="000000"/>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color w:val="000000"/>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color w:val="000000"/>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color w:val="000000"/>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color w:val="000000"/>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color w:val="000000"/>
                <w:shd w:fill="FFFFFF" w:val="clear"/>
              </w:rPr>
              <w:t xml:space="preserve">Skaičiavimams indeksų reikšmės imamos </w:t>
            </w:r>
            <w:r>
              <w:rPr>
                <w:b/>
                <w:color w:val="000000"/>
                <w:shd w:fill="FFFFFF" w:val="clear"/>
              </w:rPr>
              <w:t>keturių</w:t>
            </w:r>
            <w:r>
              <w:rPr>
                <w:color w:val="000000"/>
                <w:shd w:fill="FFFFFF" w:val="clear"/>
              </w:rPr>
              <w:t xml:space="preserve"> skaitmenų po kablelio tikslumu. Apskaičiuotas pokytis (k) tolimesniems skaičiavimams naudojamas suapvalinus iki </w:t>
            </w:r>
            <w:r>
              <w:rPr>
                <w:b/>
                <w:color w:val="000000"/>
                <w:shd w:fill="FFFFFF" w:val="clear"/>
              </w:rPr>
              <w:t>vieno</w:t>
            </w:r>
            <w:r>
              <w:rPr>
                <w:color w:val="000000"/>
                <w:shd w:fill="FFFFFF" w:val="clear"/>
              </w:rPr>
              <w:t xml:space="preserve"> skaitmens po kablelio, o apskaičiuotas įkainis „a</w:t>
            </w:r>
            <w:r>
              <w:rPr>
                <w:color w:val="000000"/>
                <w:shd w:fill="FFFFFF" w:val="clear"/>
                <w:vertAlign w:val="subscript"/>
              </w:rPr>
              <w:t>1</w:t>
            </w:r>
            <w:r>
              <w:rPr>
                <w:color w:val="000000"/>
                <w:shd w:fill="FFFFFF" w:val="clear"/>
              </w:rPr>
              <w:t xml:space="preserve">“ suapvalinamas iki </w:t>
            </w:r>
            <w:r>
              <w:rPr>
                <w:b/>
                <w:color w:val="000000"/>
                <w:shd w:fill="FFFFFF" w:val="clear"/>
              </w:rPr>
              <w:t xml:space="preserve">dviejų </w:t>
            </w:r>
            <w:r>
              <w:rPr>
                <w:color w:val="000000"/>
                <w:shd w:fill="FFFFFF" w:val="clear"/>
              </w:rPr>
              <w:t>skaitmenų po kablelio.</w:t>
            </w:r>
          </w:p>
          <w:p>
            <w:pPr>
              <w:pStyle w:val="Normal"/>
              <w:jc w:val="both"/>
              <w:rPr>
                <w:color w:val="auto"/>
                <w:shd w:fill="FFFFFF" w:val="clear"/>
              </w:rPr>
            </w:pPr>
            <w:r>
              <w:rPr>
                <w:color w:val="000000"/>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color w:val="000000"/>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color w:val="000000"/>
                <w:shd w:fill="FFFFFF" w:val="clear"/>
              </w:rPr>
              <w:t>5</w:t>
            </w:r>
            <w:r>
              <w:rPr>
                <w:color w:val="auto"/>
              </w:rPr>
              <w:t xml:space="preserve">.3.3.9. </w:t>
            </w:r>
            <w:r>
              <w:rPr>
                <w:color w:val="000000"/>
                <w:shd w:fill="FFFFFF" w:val="clear"/>
              </w:rPr>
              <w:t>Susitarimas turi būti sudarytas per 10 darbo dienų nuo Šalies pateikto tinkamo prašymo perskaičiuoti S</w:t>
            </w:r>
            <w:r>
              <w:rPr>
                <w:color w:val="auto"/>
              </w:rPr>
              <w:t xml:space="preserve">utarties </w:t>
            </w:r>
            <w:r>
              <w:rPr>
                <w:color w:val="000000"/>
                <w:shd w:fill="FFFFFF" w:val="clear"/>
              </w:rPr>
              <w:t>kainą / įkainius gavimo dienos.</w:t>
            </w:r>
          </w:p>
          <w:p>
            <w:pPr>
              <w:pStyle w:val="Normal"/>
              <w:jc w:val="both"/>
              <w:rPr>
                <w:color w:val="auto"/>
              </w:rPr>
            </w:pPr>
            <w:r>
              <w:rPr>
                <w:color w:val="000000"/>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5.3.4. Sutarties kainos / įkainių peržiūra dėl kainų lygio pokyčio pagal Paslaugų grupių kainų pokyčius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5.4. Sutarties kainos / įkainių apskaičiavimas taikant </w:t>
            </w:r>
            <w:r>
              <w:rPr>
                <w:rFonts w:eastAsia="Times New Roman" w:cs="Times New Roman" w:ascii="Times New Roman" w:hAnsi="Times New Roman"/>
                <w:b/>
                <w:bCs/>
                <w:u w:val="single"/>
              </w:rPr>
              <w:t>kiekio (apimties)</w:t>
            </w:r>
            <w:r>
              <w:rPr>
                <w:rFonts w:eastAsia="Times New Roman" w:cs="Times New Roman" w:ascii="Times New Roman" w:hAnsi="Times New Roman"/>
                <w:b/>
                <w:bCs/>
              </w:rPr>
              <w:t xml:space="preserve"> keitimo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color w:val="FF0000"/>
              </w:rPr>
            </w:pPr>
            <w:r>
              <w:rPr>
                <w:rFonts w:eastAsia="Times New Roman" w:cs="Times New Roman" w:ascii="Times New Roman" w:hAnsi="Times New Roman"/>
                <w:color w:val="FF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5.5. Atsiskaitymo su Tiekėju terminas ir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Apmokėjimo sąlygos:</w:t>
            </w:r>
          </w:p>
          <w:p>
            <w:pPr>
              <w:pStyle w:val="ListParagraph"/>
              <w:numPr>
                <w:ilvl w:val="0"/>
                <w:numId w:val="2"/>
              </w:numPr>
              <w:tabs>
                <w:tab w:val="clear" w:pos="709"/>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 tinkamai ir faktiškai suteiktas paslaugas mokama pagal Sutarties priede Nr. 2 nurodytais įkainiais.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5.6. Avansas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5.7. Avanso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6.1. Garantinis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6.2. Terminas Paslaugų trūkumams pašalinti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galiojimo metu nustačius Paslaugų trūkumų, Tiekėjas turi </w:t>
            </w:r>
            <w:r>
              <w:rPr>
                <w:rFonts w:eastAsia="Times New Roman" w:cs="Times New Roman" w:ascii="Times New Roman" w:hAnsi="Times New Roman"/>
                <w:b/>
                <w:bCs/>
              </w:rPr>
              <w:t>ne vėliau kaip</w:t>
            </w:r>
            <w:r>
              <w:rPr>
                <w:rFonts w:eastAsia="Times New Roman" w:cs="Times New Roman" w:ascii="Times New Roman" w:hAnsi="Times New Roman"/>
              </w:rPr>
              <w:t> per 5 (penkias) darbo dienas nuo rašytinės pretenzijos gavimo dienos pašalinti Paslaugų trūkumus.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6.3. Kokybinių kriterijų įgyvendinimo ir tikrinimo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7.1. Sutarties vykdymui pasitelkiami subtiekėjai ir (ar) specialistai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8.1. Prievolių pagal Sutartį įvykdymo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ascii="Times New Roman" w:hAnsi="Times New Roman"/>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8.2 Sutarties įvykdymo užtikrinimo galiojimo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8.3. Sutarties įvykdymo užtikrinimo pateikimas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9.1. Pirkėjui taikomos netesybos už mokėjimų pagal Sutartį vėlavimą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 xml:space="preserve">iną, Tiekėjas nuo kitos nei nustatytas terminas dienos skaičiuoja Pirkėjui 0,02 (dvi šimtosios) procento dydžio delspinigius nuo neapmokėtos sumos be PVM už kiekvieną vėlavimo dieną. </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9.2. Tiekėjui taikomos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lang w:val="lt-LT"/>
              </w:rPr>
              <w:t xml:space="preserve">9.2.1. Jeigu Tiekėjas vėluoja suteikti Paslaugas arba nevykdo kitų sutartinių įsipareigojimų, Pirkėjas nuo kitos nei nustatytas terminas dienos </w:t>
            </w:r>
            <w:r>
              <w:rPr>
                <w:color w:val="auto"/>
                <w:lang w:val="lt-LT"/>
              </w:rPr>
              <w:t>Tiekėjui skaičiuoja 0,02 (dvi šimtosios) procento dydžio delspinigius už kiekvieną uždelstą dieną nuo laiku nesuteiktų Paslaugų ar kitų sutartinių įsipareigojimų nevykdymo kainos be PVM.</w:t>
            </w:r>
          </w:p>
          <w:p>
            <w:pPr>
              <w:pStyle w:val="Normal"/>
              <w:jc w:val="both"/>
              <w:rPr>
                <w:color w:val="auto"/>
              </w:rPr>
            </w:pPr>
            <w:r>
              <w:rPr>
                <w:color w:val="auto"/>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709"/>
                <w:tab w:val="left" w:pos="5760" w:leader="none"/>
              </w:tabs>
              <w:spacing w:before="0" w:after="120"/>
              <w:jc w:val="both"/>
              <w:rPr>
                <w:rFonts w:ascii="Times New Roman" w:hAnsi="Times New Roman" w:eastAsia="Times New Roman" w:cs="Times New Roman"/>
                <w:color w:val="auto"/>
              </w:rPr>
            </w:pPr>
            <w:r>
              <w:rPr/>
              <w:t>9.2.3. Tiekėjas privalo sumokėti Pirkėjui netesybas per 30 kalendorinių</w:t>
            </w:r>
            <w:r>
              <w:rPr>
                <w:bCs/>
              </w:rPr>
              <w:t xml:space="preserve"> </w:t>
            </w:r>
            <w:r>
              <w:rPr/>
              <w:t>dienų nuo Pirkėjo pareikalavimo, jeigu netesybų suma nėra išskaitoma iš Tiekėjui mokėtinos sumos.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9.3. Tiekėjui / Pirkėjui taikoma bauda nutraukus Sutartį dėl esminio Sutarties pažeidimo ar nepagrįstai nutraukus Sutarties vykdymą ne Sutartyje nustatyta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9.4. Tiekėjui taikoma bauda dėl esamų subtiekėjų ar specialistų pakeitimo / naujų subtiekėjų pasitelkimo nesilaikant Bendrosiose sąlygose nurodytos subtiekėjų ir (ar) specialistų keitimo tvarkos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500,00 Eur (taikoma už kiekvieną atvejį atskirai)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9.5. Tiekėjui taikomos baudos dėl aplinkosauginių ir (arba) socialinių kriterijų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9.6. Tiekėjui / Pirkėjui taikoma bauda dėl konfidencialumo reikalavimų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9.7. Tiekėjui taikomos netesybos dėl pirkimo dokumentuose nustatytų kokybinių kriterijų nepasiekimo Sutarties vykdymo metu</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9.8. Tiekėjui taikomos netesybos dėl Sutarties įvykdymo užtikrinimo nepratęsimo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Kitos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10.1. Esminės Sutarties sąlygos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10.2. </w:t>
            </w:r>
            <w:r>
              <w:rPr>
                <w:b/>
                <w:bCs/>
              </w:rPr>
              <w:t>Dideli arba nuolatiniai esminės Sutarties sąlygos vykdymo trūkumai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11.1. Sutarties sudarymas ir įsigaliojimas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Sutartis galioja iki visiško prievolių įvykdymo (kol bus išnaudota Pradinės Sutarties vertė), bet jos terminas negali būti ilgesnis kaip 12 mėnesių. </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11.2. Sutarties galiojimo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ascii="Times New Roman" w:hAnsi="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lang w:val="lt-LT"/>
              </w:rPr>
            </w:pPr>
            <w:r>
              <w:rPr>
                <w:color w:val="auto"/>
              </w:rPr>
              <w:t xml:space="preserve">12.2.2. </w:t>
            </w:r>
            <w:r>
              <w:rPr>
                <w:rFonts w:eastAsia="Arial"/>
                <w:color w:val="auto"/>
                <w:lang w:val="lt-LT"/>
              </w:rPr>
              <w:t>jeigu Tiekėjas nesilaiko Sutartyje nustatytų Paslaugų teikimo terminų 2 (du) kartus iš eilės arba vėluoja suteikti Paslaugas daugiau nei 30 dienų nuo Sutartyje nustatyto Paslaugų suteikimo termino;</w:t>
            </w:r>
          </w:p>
          <w:p>
            <w:pPr>
              <w:pStyle w:val="Normal"/>
              <w:tabs>
                <w:tab w:val="clear" w:pos="709"/>
                <w:tab w:val="left" w:pos="567" w:leader="none"/>
                <w:tab w:val="left" w:pos="851" w:leader="none"/>
                <w:tab w:val="left" w:pos="992" w:leader="none"/>
                <w:tab w:val="left" w:pos="1134" w:leader="none"/>
              </w:tabs>
              <w:spacing w:lineRule="auto" w:line="256"/>
              <w:jc w:val="both"/>
              <w:rPr>
                <w:rFonts w:eastAsia="Arial"/>
                <w:color w:val="auto"/>
                <w:lang w:val="lt-LT"/>
              </w:rPr>
            </w:pPr>
            <w:r>
              <w:rPr>
                <w:rFonts w:eastAsia="Arial"/>
                <w:color w:val="auto"/>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6"/>
              <w:jc w:val="both"/>
              <w:rPr>
                <w:rFonts w:eastAsia="Arial"/>
                <w:color w:val="auto"/>
                <w:lang w:val="lt-LT"/>
              </w:rPr>
            </w:pPr>
            <w:r>
              <w:rPr>
                <w:rFonts w:eastAsia="Arial"/>
                <w:color w:val="auto"/>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6"/>
              <w:jc w:val="both"/>
              <w:rPr>
                <w:rFonts w:eastAsia="Arial"/>
                <w:color w:val="auto"/>
                <w:lang w:val="lt-LT"/>
              </w:rPr>
            </w:pPr>
            <w:r>
              <w:rPr>
                <w:rFonts w:eastAsia="Arial"/>
                <w:color w:val="auto"/>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6"/>
              <w:jc w:val="both"/>
              <w:rPr>
                <w:rFonts w:eastAsia="Arial"/>
                <w:color w:val="auto"/>
                <w:lang w:val="lt-LT"/>
              </w:rPr>
            </w:pPr>
            <w:r>
              <w:rPr>
                <w:rFonts w:eastAsia="Arial"/>
                <w:color w:val="auto"/>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6"/>
              <w:jc w:val="both"/>
              <w:rPr>
                <w:rFonts w:eastAsia="Arial"/>
                <w:color w:val="auto"/>
                <w:lang w:val="lt-LT"/>
              </w:rPr>
            </w:pPr>
            <w:r>
              <w:rPr>
                <w:rFonts w:eastAsia="Arial"/>
                <w:color w:val="auto"/>
                <w:lang w:val="lt-LT"/>
              </w:rPr>
              <w:t>12.2.7. Tiekėjas pažeidžia šios Sutarties nuostatas, reglamentuojančias konkurenciją, intelektinės nuosavybės ar konfidencialios informacijos valdymą;</w:t>
            </w:r>
          </w:p>
          <w:p>
            <w:pPr>
              <w:pStyle w:val="Normal"/>
              <w:spacing w:lineRule="auto" w:line="256"/>
              <w:jc w:val="both"/>
              <w:rPr>
                <w:color w:val="auto"/>
                <w:shd w:fill="FFFFFF" w:val="clear"/>
              </w:rPr>
            </w:pPr>
            <w:r>
              <w:rPr>
                <w:rFonts w:eastAsia="Arial"/>
                <w:color w:val="auto"/>
                <w:lang w:val="lt-LT"/>
              </w:rPr>
              <w:t>12.2.8.</w:t>
            </w:r>
            <w:r>
              <w:rPr>
                <w:color w:val="000000"/>
                <w:shd w:fill="FFFFFF" w:val="clear"/>
              </w:rPr>
              <w:t xml:space="preserve"> Tiekėjas ir (ar) jungtinės veiklos parneris (jei taikoma), ir (ar) subtiekėjas (jei taikoma) paslaugų</w:t>
            </w:r>
            <w:r>
              <w:rPr>
                <w:color w:val="auto"/>
              </w:rPr>
              <w:t>, kurioms Sutartyje nustatyti aplinkos apsaugos vadybos sistemos reikalavimai,</w:t>
            </w:r>
            <w:r>
              <w:rPr>
                <w:color w:val="000000"/>
                <w:shd w:fill="FFFFFF" w:val="clear"/>
              </w:rPr>
              <w:t xml:space="preserve"> teikimo metu</w:t>
            </w:r>
            <w:r>
              <w:rPr>
                <w:color w:val="auto"/>
              </w:rPr>
              <w:t xml:space="preserve">, </w:t>
            </w:r>
            <w:r>
              <w:rPr>
                <w:color w:val="000000"/>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lang w:val="lt-LT"/>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9"/>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ascii="Times New Roman" w:hAnsi="Times New Roman"/>
              </w:rPr>
              <w:t>13.1.1. Vadovaujantis Lietuvos Respublikos aplinkos ministro 2011 m. birželio 28 d. įsakymo Nr. D1-508 „</w:t>
            </w:r>
            <w:hyperlink r:id="rId2">
              <w:r>
                <w:rPr>
                  <w:rStyle w:val="Hyperlink"/>
                  <w:rFonts w:eastAsia="Times New Roman" w:cs="Times New Roman" w:ascii="Times New Roman" w:hAnsi="Times New Roman"/>
                  <w:color w:val="0070C0"/>
                </w:rPr>
                <w:t>Dėl Aplinkos apsaugos kriterijų taikymo, vykdant žaliuosius pirkimus, tvarkos aprašo patvirtinimo</w:t>
              </w:r>
            </w:hyperlink>
            <w:r>
              <w:rPr>
                <w:rFonts w:eastAsia="Times New Roman" w:cs="Times New Roman" w:ascii="Times New Roman" w:hAnsi="Times New Roman"/>
              </w:rPr>
              <w:t>“ (toliau - Tvarkos aprašas) 4 punktu, pirkimas laikomas žaliuoju, nes atitinka 4.4.3 ir 4.4.4.1. papunkčiuose nustatytas sąlygas:</w:t>
            </w:r>
          </w:p>
          <w:p>
            <w:pPr>
              <w:pStyle w:val="Normal"/>
              <w:tabs>
                <w:tab w:val="clear" w:pos="709"/>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ascii="Times New Roman" w:hAnsi="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Normal"/>
              <w:tabs>
                <w:tab w:val="clear" w:pos="709"/>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ascii="Times New Roman" w:hAnsi="Times New Roman"/>
              </w:rPr>
              <w:t>13.1.1.2. 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shd w:fill="FFFFFF" w:val="clear"/>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114"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14.2. </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ascii="Times New Roman" w:hAnsi="Times New Roman"/>
              </w:rPr>
              <w:t>14.2. Asmens duomenys:</w:t>
            </w:r>
          </w:p>
          <w:p>
            <w:pPr>
              <w:pStyle w:val="Normal"/>
              <w:rPr>
                <w:rFonts w:ascii="Times New Roman" w:hAnsi="Times New Roman" w:eastAsia="Times New Roman" w:cs="Times New Roman"/>
              </w:rPr>
            </w:pPr>
            <w:r>
              <w:rPr>
                <w:rFonts w:eastAsia="Times New Roman" w:cs="Times New Roman" w:ascii="Times New Roman" w:hAnsi="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ascii="Times New Roman" w:hAnsi="Times New Roman"/>
              </w:rPr>
              <w:t xml:space="preserve">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 </w:t>
            </w:r>
          </w:p>
          <w:p>
            <w:pPr>
              <w:pStyle w:val="Normal"/>
              <w:rPr>
                <w:rFonts w:ascii="Times New Roman" w:hAnsi="Times New Roman" w:eastAsia="Times New Roman" w:cs="Times New Roman"/>
              </w:rPr>
            </w:pPr>
            <w:r>
              <w:rPr>
                <w:rFonts w:eastAsia="Times New Roman" w:cs="Times New Roman" w:ascii="Times New Roman" w:hAnsi="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ascii="Times New Roman" w:hAnsi="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ascii="Times New Roman" w:hAnsi="Times New Roman"/>
              </w:rPr>
              <w:t xml:space="preserve">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 </w:t>
            </w:r>
          </w:p>
          <w:p>
            <w:pPr>
              <w:pStyle w:val="Normal"/>
              <w:rPr>
                <w:rFonts w:ascii="Times New Roman" w:hAnsi="Times New Roman" w:eastAsia="Times New Roman" w:cs="Times New Roman"/>
              </w:rPr>
            </w:pPr>
            <w:r>
              <w:rPr>
                <w:rFonts w:eastAsia="Times New Roman" w:cs="Times New Roman" w:ascii="Times New Roman" w:hAnsi="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ascii="Times New Roman" w:hAnsi="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ascii="Times New Roman" w:hAnsi="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ascii="Times New Roman" w:hAnsi="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ascii="Times New Roman" w:hAnsi="Times New Roman"/>
              </w:rPr>
              <w:t xml:space="preserve">Sutarties vykdymui pasitelkiami subtiekėjai ir (ar) specialistai </w:t>
            </w:r>
            <w:r>
              <w:rPr>
                <w:rFonts w:eastAsia="Times New Roman" w:cs="Times New Roman" w:ascii="Times New Roman" w:hAnsi="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16. ŠALIŲ ATSTOVŲ PARAŠAI</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TIEKĖJAS</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9"/>
          <w:tab w:val="left" w:pos="5400" w:leader="none"/>
        </w:tabs>
        <w:jc w:val="center"/>
        <w:textAlignment w:val="center"/>
        <w:rPr>
          <w:rFonts w:ascii="Times New Roman" w:hAnsi="Times New Roman" w:eastAsia="Times New Roman" w:cs="Times New Roman"/>
          <w:b/>
          <w:bCs/>
        </w:rPr>
      </w:pPr>
      <w:r>
        <w:rPr>
          <w:rFonts w:eastAsia="Times New Roman" w:cs="Times New Roman" w:ascii="Times New Roman" w:hAnsi="Times New Roman"/>
          <w:b/>
          <w:bCs/>
        </w:rPr>
        <w:t>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fals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ascii="Times New Roman" w:hAnsi="Times New Roman"/>
        </w:rPr>
        <w:t>Priedas Nr. 4</w:t>
      </w:r>
    </w:p>
    <w:p>
      <w:pPr>
        <w:pStyle w:val="Normal"/>
        <w:rPr>
          <w:rFonts w:ascii="Times New Roman" w:hAnsi="Times New Roman" w:eastAsia="Times New Roman" w:cs="Times New Roman"/>
          <w:b/>
          <w:iCs/>
        </w:rPr>
      </w:pPr>
      <w:r>
        <w:rPr>
          <w:rFonts w:eastAsia="Times New Roman" w:cs="Times New Roman" w:ascii="Times New Roman" w:hAnsi="Times New Roman"/>
          <w:b/>
          <w:iCs/>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Cs/>
        </w:rPr>
      </w:pPr>
      <w:r>
        <w:rPr>
          <w:rFonts w:eastAsia="Times New Roman" w:cs="Times New Roman" w:ascii="Times New Roman" w:hAnsi="Times New Roman"/>
          <w:bCs/>
        </w:rPr>
        <w:t>2025 m. ................................ d.</w:t>
      </w:r>
    </w:p>
    <w:p>
      <w:pPr>
        <w:pStyle w:val="Normal"/>
        <w:jc w:val="center"/>
        <w:rPr>
          <w:rFonts w:ascii="Times New Roman" w:hAnsi="Times New Roman" w:eastAsia="Times New Roman" w:cs="Times New Roman"/>
        </w:rPr>
      </w:pPr>
      <w:r>
        <w:rPr>
          <w:rFonts w:eastAsia="Times New Roman" w:cs="Times New Roman" w:ascii="Times New Roman" w:hAnsi="Times New Roman"/>
        </w:rPr>
        <w:t>Vilnius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Pirkėjas – (įvardyti Pirkėją, jį atstovaujantį asmenį ir teisinį atstovavimo pagrindą) </w:t>
      </w:r>
      <w:r>
        <w:rPr>
          <w:rFonts w:eastAsia="Times New Roman" w:cs="Times New Roman" w:ascii="Times New Roman" w:hAnsi="Times New Roman"/>
          <w:b/>
          <w:bCs/>
        </w:rPr>
        <w:t>(toliau – Duomenų valdytojas)</w:t>
      </w:r>
      <w:r>
        <w:rPr>
          <w:rFonts w:eastAsia="Times New Roman" w:cs="Times New Roman" w:ascii="Times New Roman" w:hAnsi="Times New Roman"/>
        </w:rPr>
        <w:t>, iš vienos pusės</w:t>
      </w:r>
    </w:p>
    <w:p>
      <w:pPr>
        <w:pStyle w:val="Normal"/>
        <w:jc w:val="both"/>
        <w:rPr>
          <w:rFonts w:ascii="Times New Roman" w:hAnsi="Times New Roman" w:eastAsia="Times New Roman" w:cs="Times New Roman"/>
        </w:rPr>
      </w:pPr>
      <w:r>
        <w:rPr>
          <w:rFonts w:eastAsia="Times New Roman" w:cs="Times New Roman" w:ascii="Times New Roman" w:hAnsi="Times New Roman"/>
        </w:rPr>
        <w:t>ir</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Paslaugų teikėjas – (įvardyti Paslaugų teikėją, jį atstovaujantį asmenį ir teisinį atstovavimo pagrindą) </w:t>
      </w:r>
      <w:r>
        <w:rPr>
          <w:rFonts w:eastAsia="Times New Roman" w:cs="Times New Roman" w:ascii="Times New Roman" w:hAnsi="Times New Roman"/>
          <w:b/>
          <w:bCs/>
        </w:rPr>
        <w:t xml:space="preserve">(toliau – Duomenų tvarkytojas) </w:t>
      </w:r>
      <w:r>
        <w:rPr>
          <w:rFonts w:eastAsia="Times New Roman" w:cs="Times New Roman" w:ascii="Times New Roman" w:hAnsi="Times New Roman"/>
        </w:rPr>
        <w:t xml:space="preserve">iš kitos pusės,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Cs/>
        </w:rPr>
      </w:pPr>
      <w:r>
        <w:rPr>
          <w:rFonts w:eastAsia="Times New Roman" w:cs="Times New Roman" w:ascii="Times New Roman" w:hAnsi="Times New Roman"/>
        </w:rPr>
        <w:t xml:space="preserve">toliau kartu vadinami </w:t>
      </w:r>
      <w:r>
        <w:rPr>
          <w:rFonts w:eastAsia="Times New Roman" w:cs="Times New Roman" w:ascii="Times New Roman" w:hAnsi="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1</w:t>
      </w:r>
      <w:r>
        <w:rPr>
          <w:rFonts w:eastAsia="Times New Roman" w:cs="Times New Roman" w:ascii="Times New Roman" w:hAnsi="Times New Roman"/>
        </w:rPr>
        <w:t xml:space="preserve">. </w:t>
      </w:r>
      <w:r>
        <w:rPr>
          <w:rFonts w:eastAsia="Times New Roman" w:cs="Times New Roman" w:ascii="Times New Roman" w:hAnsi="Times New Roman"/>
          <w:b/>
          <w:bCs/>
        </w:rPr>
        <w:t>SUTARTIES DALYKAS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7"/>
        </w:numPr>
        <w:jc w:val="both"/>
        <w:rPr>
          <w:rFonts w:ascii="Times New Roman" w:hAnsi="Times New Roman" w:eastAsia="Times New Roman" w:cs="Times New Roman"/>
        </w:rPr>
      </w:pPr>
      <w:r>
        <w:rPr>
          <w:rFonts w:eastAsia="Times New Roman" w:cs="Times New Roman" w:ascii="Times New Roman" w:hAnsi="Times New Roman"/>
        </w:rPr>
        <w:t>Duomenų tvarkytojas pagal Šalių 2025 m.. ................ d. pasirašytą Paslaugų viešojo pirkimo–pardavimo sutartį Nr. ...... (toliau – Paslaugų sutartis) dėl mokymo paslaugų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1.3. Šia Sutartimi siekiama, kad Šalys nuosekliai laikytųsi </w:t>
      </w:r>
      <w:r>
        <w:rPr>
          <w:rFonts w:eastAsia="Times New Roman" w:cs="Times New Roman" w:ascii="Times New Roman" w:hAnsi="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ascii="Times New Roman" w:hAnsi="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1.5. Bendruoju duomenų apsaugos reglamentu, reglamentu šioje Sutartyje suprantamas </w:t>
      </w:r>
      <w:r>
        <w:rPr>
          <w:rFonts w:eastAsia="Times New Roman" w:cs="Times New Roman" w:ascii="Times New Roman" w:hAnsi="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ascii="Times New Roman" w:hAnsi="Times New Roman"/>
        </w:rPr>
        <w:t>omenų apsaugos reglamentas).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jc w:val="center"/>
        <w:rPr>
          <w:rFonts w:ascii="Times New Roman" w:hAnsi="Times New Roman" w:eastAsia="Times New Roman" w:cs="Times New Roman"/>
          <w:b/>
          <w:bCs/>
        </w:rPr>
      </w:pPr>
      <w:r>
        <w:rPr>
          <w:rFonts w:eastAsia="Times New Roman" w:cs="Times New Roman" w:ascii="Times New Roman" w:hAnsi="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ascii="Times New Roman" w:hAnsi="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7"/>
        <w:gridCol w:w="3205"/>
        <w:gridCol w:w="4253"/>
      </w:tblGrid>
      <w:tr>
        <w:trPr/>
        <w:tc>
          <w:tcPr>
            <w:tcW w:w="2577"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tvarkymo tikslas</w:t>
            </w:r>
          </w:p>
        </w:tc>
        <w:tc>
          <w:tcPr>
            <w:tcW w:w="3205"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Asmens duomenų kategorijos (toliau - Asmens duomenys)</w:t>
            </w:r>
          </w:p>
        </w:tc>
      </w:tr>
      <w:tr>
        <w:trPr>
          <w:trHeight w:val="981" w:hRule="atLeast"/>
        </w:trPr>
        <w:tc>
          <w:tcPr>
            <w:tcW w:w="2577"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Mokymų organizavimo ir vykdymo paslaugų teikimas pagal Paslaugų sutartį</w:t>
            </w:r>
          </w:p>
        </w:tc>
        <w:tc>
          <w:tcPr>
            <w:tcW w:w="3205"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Mokymų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bCs/>
                <w:kern w:val="2"/>
                <w:sz w:val="24"/>
                <w:szCs w:val="24"/>
                <w:lang w:eastAsia="zh-CN" w:bidi="hi-IN"/>
              </w:rPr>
              <w:t xml:space="preserve">Mokymų dalyvio vardas ir pavardė, gimimo data, profesinė kvalifikacija/ pareigos, elektroninio pašto adresas, atstovaujama įstaiga, dalyvio žinių vertinimo duomenys ir tokio vertinimo rezultatas, mokymų data, tema, kiti būtini duomenys. </w:t>
            </w:r>
          </w:p>
        </w:tc>
      </w:tr>
    </w:tbl>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DUOMENŲ VALDYTOJO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ascii="Times New Roman" w:hAnsi="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ascii="Times New Roman" w:hAnsi="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ascii="Times New Roman" w:hAnsi="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ascii="Times New Roman" w:hAnsi="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4. DUOMENŲ TVARKYTOJO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ascii="Times New Roman" w:hAnsi="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ascii="Times New Roman" w:hAnsi="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ascii="Times New Roman" w:hAnsi="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ascii="Times New Roman" w:hAnsi="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ascii="Times New Roman" w:hAnsi="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ascii="Times New Roman" w:hAnsi="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ascii="Times New Roman" w:hAnsi="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ascii="Times New Roman" w:hAnsi="Times New Roman"/>
          <w:b/>
        </w:rPr>
        <w:tab/>
      </w:r>
    </w:p>
    <w:p>
      <w:pPr>
        <w:pStyle w:val="Normal"/>
        <w:jc w:val="center"/>
        <w:rPr>
          <w:rFonts w:ascii="Times New Roman" w:hAnsi="Times New Roman" w:eastAsia="Times New Roman" w:cs="Times New Roman"/>
          <w:b/>
        </w:rPr>
      </w:pPr>
      <w:r>
        <w:rPr>
          <w:rFonts w:eastAsia="Times New Roman" w:cs="Times New Roman" w:ascii="Times New Roman" w:hAnsi="Times New Roman"/>
          <w:b/>
        </w:rPr>
        <w:t>6. TEISĖ ATLIKTI PATIKRINIMĄ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7. ATSAKOMYBĖ IR KOMPENSACIJOS</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b/>
        </w:rPr>
        <w:t>8. BAIGIAMOSIOS NUOSTATOS</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ascii="Times New Roman" w:hAnsi="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ascii="Times New Roman" w:hAnsi="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rPr>
      </w:pPr>
      <w:r>
        <w:rPr>
          <w:rFonts w:eastAsia="Times New Roman" w:cs="Times New Roman" w:ascii="Times New Roman" w:hAnsi="Times New Roman"/>
          <w:b/>
        </w:rPr>
        <w:t>9. ŠALIŲ REKVIZITAI IR PARAŠAI</w:t>
      </w:r>
    </w:p>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Duomenų tvarkytojas: </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 xml:space="preserve">Paslaugų teikėjo rekvizitai </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1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ascii="Times New Roman" w:hAnsi="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70"/>
        <w:gridCol w:w="2063"/>
        <w:gridCol w:w="3962"/>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Pavadinimas arba vardas, pavardė</w:t>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Įmonės kodas / individualios veiklos pažymėjimo numeris arba verslo liudijimo numeris</w:t>
            </w:r>
          </w:p>
        </w:tc>
        <w:tc>
          <w:tcPr>
            <w:tcW w:w="206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Buveinės adresas / gyvenamosios vietos adresas</w:t>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Duomenų tvarkytojas: </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Cs/>
        </w:rPr>
      </w:pPr>
      <w:r>
        <w:rPr>
          <w:rFonts w:eastAsia="Times New Roman" w:cs="Times New Roman" w:ascii="Times New Roman" w:hAnsi="Times New Roman"/>
          <w:bCs/>
        </w:rPr>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fals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2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Duomenų tvarkytojas, tvarkydamas asmens duomenis, privalo įgyvendinti šias duomenų saugumo priemones:</w:t>
      </w:r>
    </w:p>
    <w:p>
      <w:pPr>
        <w:pStyle w:val="Normal"/>
        <w:numPr>
          <w:ilvl w:val="0"/>
          <w:numId w:val="8"/>
        </w:numPr>
        <w:jc w:val="both"/>
        <w:rPr>
          <w:rFonts w:ascii="Times New Roman" w:hAnsi="Times New Roman" w:eastAsia="Times New Roman" w:cs="Times New Roman"/>
        </w:rPr>
      </w:pPr>
      <w:r>
        <w:rPr>
          <w:rFonts w:eastAsia="Times New Roman" w:cs="Times New Roman" w:ascii="Times New Roman" w:hAnsi="Times New Roman"/>
        </w:rPr>
        <w:t>asmens duomenų ir jų tvarkymo saugumas organizacijoje turi būti dokumentuotas kaip informacijos saugumo politikos dalis;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užtikrinama, kad darbuotojai, kuriems pavedama tvarkyti asmens duomenis būtų susipažinę su asmens duomenų tvarkymą ir jų apsaugą reglamentuojančiais teisės aktais;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užtikrinama, kad visi su asmens duomenų tvarkymu susiję darbuotojai būtų įsipareigoję saugoti asmens duomenų paslaptį;</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prieiga prie asmens duomenų apsaugota pakankamo kompleksiškumo prisijungimo vardu ir slaptažodžiu;</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nenaudojamos bendros naudotojų paskyros;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nustatomas leistinų nepavykusių prisijungimų prie programinės įrangos skaičius;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 xml:space="preserve">užtikrinama, kad asmens duomenų tvarkymui skirti informacinių technologijų ištekliai būtų registruoti ir apskaitomi tam skirtame registre; </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asmens duomenų tvarkymui naudojama tik legali programinė įranga;</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 xml:space="preserve">darbo vietų kompiuteriuose įdiegta ekrano užsklanda, kuri įsijungia po 15 min. neatlikus kompiuteriu jokių veiksmų;  </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 xml:space="preserve">programinė įranga yra apsaugota nuo pagrindinių per tinklą vykdomų atakų: SQL įskverbties (angl. </w:t>
      </w:r>
      <w:r>
        <w:rPr>
          <w:rFonts w:eastAsia="Times New Roman" w:cs="Times New Roman" w:ascii="Times New Roman" w:hAnsi="Times New Roman"/>
          <w:i/>
          <w:iCs/>
        </w:rPr>
        <w:t>SQL injection</w:t>
      </w:r>
      <w:r>
        <w:rPr>
          <w:rFonts w:eastAsia="Times New Roman" w:cs="Times New Roman" w:ascii="Times New Roman" w:hAnsi="Times New Roman"/>
        </w:rPr>
        <w:t xml:space="preserve">), XSS (angl. </w:t>
      </w:r>
      <w:r>
        <w:rPr>
          <w:rFonts w:eastAsia="Times New Roman" w:cs="Times New Roman" w:ascii="Times New Roman" w:hAnsi="Times New Roman"/>
          <w:i/>
          <w:iCs/>
        </w:rPr>
        <w:t>Cross-sitescripting</w:t>
      </w:r>
      <w:r>
        <w:rPr>
          <w:rFonts w:eastAsia="Times New Roman" w:cs="Times New Roman" w:ascii="Times New Roman" w:hAnsi="Times New Roman"/>
        </w:rPr>
        <w:t xml:space="preserve">), paslaugos trikdymo atakos (angl. </w:t>
      </w:r>
      <w:r>
        <w:rPr>
          <w:rFonts w:eastAsia="Times New Roman" w:cs="Times New Roman" w:ascii="Times New Roman" w:hAnsi="Times New Roman"/>
          <w:i/>
          <w:iCs/>
        </w:rPr>
        <w:t>DOS</w:t>
      </w:r>
      <w:r>
        <w:rPr>
          <w:rFonts w:eastAsia="Times New Roman" w:cs="Times New Roman" w:ascii="Times New Roman" w:hAnsi="Times New Roman"/>
        </w:rPr>
        <w:t xml:space="preserve">), paskirstytosios paslaugos trikdymo atakos (angl. </w:t>
      </w:r>
      <w:r>
        <w:rPr>
          <w:rFonts w:eastAsia="Times New Roman" w:cs="Times New Roman" w:ascii="Times New Roman" w:hAnsi="Times New Roman"/>
          <w:i/>
          <w:iCs/>
        </w:rPr>
        <w:t>DDOS</w:t>
      </w:r>
      <w:r>
        <w:rPr>
          <w:rFonts w:eastAsia="Times New Roman" w:cs="Times New Roman" w:ascii="Times New Roman" w:hAnsi="Times New Roman"/>
        </w:rPr>
        <w:t>);</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užtikrinamas saugių protokolų ir slaptažodžių naudojimas, kai asmens duomenys perduodami išoriniais duomenų perdavimo tinklais;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taisant kompiuterius ne Duomenų tvarkytojo patalpose arba perduodant juos tretiesiems asmenims, informacijos kaupikliai išimami arba juose esanti informacija sunaikinama;</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valdomi, fiksuojami ir dokumentuojami įvykę asmens duomenų saugumo pažeidimai;</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užtikrinama asmens duomenų apsauga nuo neteisėto prisijungimo prie vidinio kompiuterinio tinklo elektroninių ryšių priemonėmis;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užtikrinamas patalpų, kuriose saugomi asmens duomenys, saugumas (apribojamas neįgaliotų asmenų patekimas į atitinkamas patalpas ir pan.);</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daromos atsarginės duomenų kopijos, registruojami asmens duomenų kopijavimo ir atkūrimo jų avarinio praradimo atveju veiksmai (kada ir kas atliko šiuos veiksmus);</w:t>
      </w:r>
    </w:p>
    <w:p>
      <w:pPr>
        <w:pStyle w:val="Normal"/>
        <w:numPr>
          <w:ilvl w:val="0"/>
          <w:numId w:val="5"/>
        </w:numPr>
        <w:jc w:val="both"/>
        <w:rPr>
          <w:rFonts w:ascii="Times New Roman" w:hAnsi="Times New Roman" w:eastAsia="Times New Roman" w:cs="Times New Roman"/>
        </w:rPr>
      </w:pPr>
      <w:r>
        <w:rPr>
          <w:rFonts w:eastAsia="Times New Roman" w:cs="Times New Roman" w:ascii="Times New Roman" w:hAnsi="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sectPr>
      <w:headerReference w:type="default" r:id="rId3"/>
      <w:footerReference w:type="default" r:id="rId4"/>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4"/>
    <w:lvlOverride w:ilvl="0">
      <w:startOverride w:val="1"/>
    </w:lvlOverride>
    <w:lvlOverride w:ilvl="1">
      <w:startOverride w:val="1"/>
    </w:lvlOverride>
  </w:num>
  <w:num w:numId="8">
    <w:abstractNumId w:val="5"/>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SimSun" w:cs="Arial"/>
      <w:color w:val="000000"/>
      <w:kern w:val="2"/>
      <w:sz w:val="24"/>
      <w:szCs w:val="24"/>
      <w:lang w:val="lt-LT"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DefaultParagraphFont1" w:customStyle="1">
    <w:name w:val="Default Paragraph Font1"/>
    <w:qFormat/>
    <w:rPr/>
  </w:style>
  <w:style w:type="character" w:styleId="Other" w:customStyle="1">
    <w:name w:val="Other_"/>
    <w:basedOn w:val="DefaultParagraphFont1"/>
    <w:qFormat/>
    <w:rPr>
      <w:rFonts w:ascii="Times New Roman" w:hAnsi="Times New Roman" w:eastAsia="Times New Roman" w:cs="Times New Roman"/>
      <w:i/>
      <w:iCs/>
      <w:color w:val="000000"/>
    </w:rPr>
  </w:style>
  <w:style w:type="character" w:styleId="BodyTextChar" w:customStyle="1">
    <w:name w:val="Body Text Char"/>
    <w:basedOn w:val="DefaultParagraphFont1"/>
    <w:qFormat/>
    <w:rPr/>
  </w:style>
  <w:style w:type="character" w:styleId="Strong">
    <w:name w:val="Strong"/>
    <w:basedOn w:val="DefaultParagraphFont1"/>
    <w:qFormat/>
    <w:rPr>
      <w:b/>
      <w:bCs/>
    </w:rPr>
  </w:style>
  <w:style w:type="character" w:styleId="Hyperlink">
    <w:name w:val="Hyperlink"/>
    <w:basedOn w:val="DefaultParagraphFont"/>
    <w:uiPriority w:val="99"/>
    <w:unhideWhenUsed/>
    <w:rsid w:val="003403cf"/>
    <w:rPr>
      <w:color w:themeColor="hyperlink" w:val="0000EE"/>
      <w:u w:val="single"/>
    </w:rPr>
  </w:style>
  <w:style w:type="character" w:styleId="UnresolvedMention">
    <w:name w:val="Unresolved Mention"/>
    <w:basedOn w:val="DefaultParagraphFont"/>
    <w:uiPriority w:val="99"/>
    <w:semiHidden/>
    <w:unhideWhenUsed/>
    <w:qFormat/>
    <w:rsid w:val="003403cf"/>
    <w:rPr>
      <w:color w:val="605E5C"/>
      <w:shd w:fill="E1DFDD" w:val="clear"/>
    </w:rPr>
  </w:style>
  <w:style w:type="character" w:styleId="SraopastraipaDiagrama" w:customStyle="1">
    <w:name w:val="Sąrašo pastraipa Diagrama"/>
    <w:link w:val="ListParagraph"/>
    <w:uiPriority w:val="34"/>
    <w:qFormat/>
    <w:rsid w:val="00196fb8"/>
    <w:rPr>
      <w:rFonts w:eastAsia="Arial" w:eastAsiaTheme="minorHAnsi"/>
      <w:color w:val="000000"/>
      <w:sz w:val="22"/>
      <w:szCs w:val="22"/>
      <w:lang w:val="lt-LT" w:eastAsia="en-US"/>
    </w:rPr>
  </w:style>
  <w:style w:type="character" w:styleId="KomentarotekstasDiagrama" w:customStyle="1">
    <w:name w:val="Komentaro tekstas Diagrama"/>
    <w:basedOn w:val="DefaultParagraphFont"/>
    <w:link w:val="Annotationtext"/>
    <w:uiPriority w:val="99"/>
    <w:semiHidden/>
    <w:qFormat/>
    <w:rPr>
      <w:rFonts w:cs="Mangal"/>
      <w:color w:val="000000"/>
      <w:sz w:val="20"/>
      <w:szCs w:val="18"/>
      <w:lang w:val="lt-LT"/>
    </w:rPr>
  </w:style>
  <w:style w:type="character" w:styleId="Annotationreference">
    <w:name w:val="annotation reference"/>
    <w:basedOn w:val="DefaultParagraphFont"/>
    <w:uiPriority w:val="99"/>
    <w:semiHidden/>
    <w:unhideWhenUsed/>
    <w:qFormat/>
    <w:rPr>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Normal1" w:customStyle="1">
    <w:name w:val="Normal1"/>
    <w:qFormat/>
    <w:pPr>
      <w:widowControl/>
      <w:suppressAutoHyphens w:val="true"/>
      <w:overflowPunct w:val="true"/>
      <w:bidi w:val="0"/>
      <w:spacing w:before="0" w:after="0"/>
      <w:jc w:val="left"/>
    </w:pPr>
    <w:rPr>
      <w:rFonts w:ascii="Liberation Serif" w:hAnsi="Liberation Serif" w:eastAsia="NSimSun" w:cs="Arial"/>
      <w:color w:val="000000"/>
      <w:kern w:val="2"/>
      <w:sz w:val="24"/>
      <w:szCs w:val="24"/>
      <w:lang w:val="en-US" w:eastAsia="zh-CN" w:bidi="hi-IN"/>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Other1" w:customStyle="1">
    <w:name w:val="Other"/>
    <w:basedOn w:val="Normal"/>
    <w:qFormat/>
    <w:pPr>
      <w:widowControl w:val="false"/>
      <w:spacing w:lineRule="auto" w:line="276"/>
    </w:pPr>
    <w:rPr>
      <w:i/>
      <w:iCs/>
      <w:sz w:val="20"/>
      <w:szCs w:val="22"/>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ListParagraph">
    <w:name w:val="List Paragraph"/>
    <w:basedOn w:val="Normal"/>
    <w:link w:val="SraopastraipaDiagrama"/>
    <w:uiPriority w:val="34"/>
    <w:qFormat/>
    <w:pPr>
      <w:spacing w:before="0" w:after="160"/>
      <w:ind w:left="720"/>
      <w:contextualSpacing/>
    </w:pPr>
    <w:rPr>
      <w:rFonts w:eastAsia="Arial" w:eastAsiaTheme="minorHAnsi"/>
      <w:sz w:val="22"/>
      <w:szCs w:val="22"/>
      <w:lang w:eastAsia="en-U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Cs w:val="20"/>
      <w:lang w:val="en-US"/>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eastAsiaTheme="minorEastAsia" w:cs="Arial"/>
      <w:color w:val="auto"/>
      <w:kern w:val="2"/>
      <w:sz w:val="21"/>
      <w:szCs w:val="21"/>
      <w:lang w:eastAsia="lt-LT" w:val="en-US" w:bidi="hi-IN"/>
    </w:rPr>
  </w:style>
  <w:style w:type="paragraph" w:styleId="S1lygis" w:customStyle="1">
    <w:name w:val="_S 1 lygis"/>
    <w:basedOn w:val="Normal"/>
    <w:qFormat/>
    <w:rsid w:val="0073514b"/>
    <w:pPr>
      <w:numPr>
        <w:ilvl w:val="0"/>
        <w:numId w:val="3"/>
      </w:numPr>
      <w:overflowPunct w:val="false"/>
      <w:spacing w:before="240" w:after="240"/>
    </w:pPr>
    <w:rPr>
      <w:rFonts w:ascii="Times New Roman" w:hAnsi="Times New Roman" w:eastAsia="Times New Roman" w:cs="Times New Roman"/>
      <w:b/>
      <w:color w:val="auto"/>
      <w:kern w:val="0"/>
      <w:lang w:eastAsia="lt-LT" w:bidi="ar-SA"/>
    </w:rPr>
  </w:style>
  <w:style w:type="paragraph" w:styleId="S2lygis" w:customStyle="1">
    <w:name w:val="_S 2 lygis"/>
    <w:basedOn w:val="Normal"/>
    <w:qFormat/>
    <w:rsid w:val="0073514b"/>
    <w:pPr>
      <w:numPr>
        <w:ilvl w:val="1"/>
        <w:numId w:val="3"/>
      </w:numPr>
      <w:overflowPunct w:val="false"/>
      <w:spacing w:before="120" w:after="120"/>
      <w:jc w:val="both"/>
    </w:pPr>
    <w:rPr>
      <w:rFonts w:ascii="Times New Roman" w:hAnsi="Times New Roman" w:eastAsia="Times New Roman" w:cs="Times New Roman"/>
      <w:color w:val="auto"/>
      <w:kern w:val="0"/>
      <w:lang w:eastAsia="lt-LT" w:bidi="ar-SA"/>
    </w:rPr>
  </w:style>
  <w:style w:type="paragraph" w:styleId="S3lygis" w:customStyle="1">
    <w:name w:val="_S 3 lygis"/>
    <w:basedOn w:val="S2lygis"/>
    <w:qFormat/>
    <w:rsid w:val="0073514b"/>
    <w:pPr/>
    <w:rPr/>
  </w:style>
  <w:style w:type="paragraph" w:styleId="Annotationtext">
    <w:name w:val="annotation text"/>
    <w:basedOn w:val="Normal"/>
    <w:link w:val="KomentarotekstasDiagrama"/>
    <w:uiPriority w:val="99"/>
    <w:semiHidden/>
    <w:unhideWhenUsed/>
    <w:qFormat/>
    <w:pPr/>
    <w:rPr>
      <w:rFonts w:cs="Mangal"/>
      <w:sz w:val="20"/>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354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9EB5-767B-44AD-A9E1-E62F695559C7}">
  <ds:schemaRefs>
    <ds:schemaRef ds:uri="http://schemas.microsoft.com/sharepoint/v3/contenttype/forms"/>
  </ds:schemaRefs>
</ds:datastoreItem>
</file>

<file path=customXml/itemProps2.xml><?xml version="1.0" encoding="utf-8"?>
<ds:datastoreItem xmlns:ds="http://schemas.openxmlformats.org/officeDocument/2006/customXml" ds:itemID="{CA42EEF6-8A17-4D02-BAD1-9C16EC2E1156}">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DEEC9231-5D3D-49CC-BF2C-C70ADAA2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Application>LibreOffice/7.6.4.1$Windows_X86_64 LibreOffice_project/e19e193f88cd6c0525a17fb7a176ed8e6a3e2aa1</Application>
  <AppVersion>15.0000</AppVersion>
  <Pages>15</Pages>
  <Words>5229</Words>
  <Characters>37528</Characters>
  <CharactersWithSpaces>42756</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2025-04-17T14:58:00Z</dcterms:created>
  <dc:creator>Darius Kaminskas</dc:creator>
  <dc:description/>
  <dc:language>en-US</dc:language>
  <cp:lastModifiedBy>Juratė Miceikienė</cp:lastModifiedBy>
  <dcterms:modified xsi:type="dcterms:W3CDTF">2025-07-29T13:24:00Z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