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432D32" w:rsidP="00B50198">
      <w:pPr>
        <w:jc w:val="center"/>
        <w:rPr>
          <w:rFonts w:asciiTheme="majorHAnsi" w:hAnsiTheme="majorHAnsi"/>
          <w:b/>
          <w:bCs/>
          <w:sz w:val="22"/>
          <w:szCs w:val="22"/>
          <w:lang w:val="lt-LT"/>
        </w:rPr>
      </w:pPr>
      <w:r>
        <w:rPr>
          <w:rFonts w:asciiTheme="majorHAnsi" w:hAnsiTheme="majorHAnsi"/>
          <w:b/>
          <w:bCs/>
          <w:sz w:val="22"/>
          <w:szCs w:val="22"/>
          <w:lang w:val="lt-LT"/>
        </w:rPr>
        <w:t>KOMPIUTERINIS TOMOGRAFAS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432D32" w:rsidRPr="003E632A" w:rsidRDefault="00432D32" w:rsidP="00432D32">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432D32">
        <w:rPr>
          <w:rFonts w:asciiTheme="majorHAnsi" w:hAnsiTheme="majorHAnsi"/>
          <w:b/>
          <w:bCs/>
          <w:color w:val="4F81BD" w:themeColor="accent1"/>
          <w:sz w:val="22"/>
          <w:szCs w:val="22"/>
          <w:lang w:val="lt-LT"/>
        </w:rPr>
        <w:t>kompiuterinį tomografą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432D32">
        <w:rPr>
          <w:rFonts w:asciiTheme="majorHAnsi" w:hAnsiTheme="majorHAnsi"/>
          <w:b/>
          <w:bCs/>
          <w:color w:val="4F81BD" w:themeColor="accent1"/>
          <w:sz w:val="22"/>
          <w:szCs w:val="22"/>
          <w:lang w:val="lt-LT"/>
        </w:rPr>
        <w:t>kompiuterinis tomografas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432D32">
        <w:rPr>
          <w:rFonts w:asciiTheme="majorHAnsi" w:hAnsiTheme="majorHAnsi"/>
          <w:b/>
          <w:sz w:val="22"/>
          <w:szCs w:val="22"/>
        </w:rPr>
        <w:t>985.000,00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9E3DFE" w:rsidRPr="003714C3" w:rsidRDefault="008E1CCD" w:rsidP="009E3DFE">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r w:rsidR="00432D32">
        <w:rPr>
          <w:rFonts w:asciiTheme="majorHAnsi" w:hAnsiTheme="majorHAnsi"/>
          <w:bCs/>
          <w:color w:val="000000"/>
          <w:sz w:val="22"/>
          <w:szCs w:val="22"/>
          <w:shd w:val="clear" w:color="auto" w:fill="FFFFFF"/>
        </w:rPr>
        <w:t xml:space="preserve">CPO.LT kataloge esantys komoiuteriniai tomografai neatitinka perkančiosios organizacijos poreikio, nes CPO.LT kataloge nurodyti kompiuteriniai tomografai nėra skirti spindulinės terapijos planavimui, paciento angos skesmuo yra per mažas, nėra sinchronizavimo su paciento kvėpavimu, nėra detalizuoti reikalavimai fantomams, lazerių sistemai </w:t>
      </w:r>
      <w:proofErr w:type="gramStart"/>
      <w:r w:rsidR="00432D32">
        <w:rPr>
          <w:rFonts w:asciiTheme="majorHAnsi" w:hAnsiTheme="majorHAnsi"/>
          <w:bCs/>
          <w:color w:val="000000"/>
          <w:sz w:val="22"/>
          <w:szCs w:val="22"/>
          <w:shd w:val="clear" w:color="auto" w:fill="FFFFFF"/>
        </w:rPr>
        <w:t>ir .</w:t>
      </w:r>
      <w:proofErr w:type="gramEnd"/>
      <w:r w:rsidR="00432D32">
        <w:rPr>
          <w:rFonts w:asciiTheme="majorHAnsi" w:hAnsiTheme="majorHAnsi"/>
          <w:bCs/>
          <w:color w:val="000000"/>
          <w:sz w:val="22"/>
          <w:szCs w:val="22"/>
          <w:shd w:val="clear" w:color="auto" w:fill="FFFFFF"/>
        </w:rPr>
        <w:t>t.t.</w:t>
      </w:r>
    </w:p>
    <w:p w:rsidR="00BC1120" w:rsidRPr="003714C3" w:rsidRDefault="00BC1120" w:rsidP="00401D35">
      <w:pPr>
        <w:pStyle w:val="Sraopastraipa"/>
        <w:numPr>
          <w:ilvl w:val="0"/>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3714C3" w:rsidRDefault="00BC1120" w:rsidP="00401D35">
      <w:pPr>
        <w:pStyle w:val="Sraopastraipa"/>
        <w:numPr>
          <w:ilvl w:val="1"/>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432D32">
        <w:rPr>
          <w:rFonts w:asciiTheme="majorHAnsi" w:hAnsiTheme="majorHAnsi"/>
          <w:bCs/>
          <w:i/>
        </w:rPr>
        <w:t>kompiuterinio tomografo</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432D32">
        <w:rPr>
          <w:rFonts w:asciiTheme="majorHAnsi" w:hAnsiTheme="majorHAnsi"/>
          <w:i/>
          <w:noProof/>
          <w:szCs w:val="24"/>
          <w:shd w:val="clear" w:color="auto" w:fill="FFFFFF"/>
        </w:rPr>
        <w:t>3528245</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C62B42" w:rsidRDefault="00101F37" w:rsidP="00101F37">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C62B42">
        <w:rPr>
          <w:rFonts w:ascii="Cambria" w:hAnsi="Cambria"/>
          <w:noProof/>
          <w:color w:val="000000" w:themeColor="text1"/>
        </w:rPr>
        <w:t xml:space="preserve">neskaidomas, </w:t>
      </w:r>
      <w:r w:rsidRPr="00C62B42">
        <w:rPr>
          <w:rFonts w:ascii="Cambria" w:hAnsi="Cambria"/>
        </w:rPr>
        <w:t xml:space="preserve">nes </w:t>
      </w:r>
      <w:r w:rsidR="00C62B42" w:rsidRPr="00C62B42">
        <w:rPr>
          <w:rFonts w:ascii="Cambria" w:hAnsi="Cambria"/>
        </w:rPr>
        <w:t>perkamas tarpusavyje techniškai derinamas kompiuterinis tomografas spindulinės terapijos planavimui</w:t>
      </w:r>
      <w:r w:rsidRPr="00C62B42">
        <w:rPr>
          <w:rFonts w:ascii="Cambria" w:hAnsi="Cambria"/>
          <w:shd w:val="clear" w:color="auto" w:fill="FFFFFF"/>
        </w:rPr>
        <w:t xml:space="preserve">.  </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lastRenderedPageBreak/>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E0E65" w:rsidRDefault="009E0E65" w:rsidP="00BE2EA3">
      <w:pPr>
        <w:suppressAutoHyphens/>
        <w:ind w:firstLine="567"/>
        <w:jc w:val="both"/>
        <w:rPr>
          <w:rFonts w:asciiTheme="majorHAnsi" w:hAnsiTheme="majorHAnsi"/>
          <w:color w:val="000000"/>
          <w:sz w:val="22"/>
          <w:szCs w:val="22"/>
          <w:lang w:eastAsia="lt-LT"/>
        </w:rPr>
      </w:pPr>
    </w:p>
    <w:p w:rsidR="009E0E65" w:rsidRDefault="009E0E65" w:rsidP="00BE2EA3">
      <w:pPr>
        <w:suppressAutoHyphens/>
        <w:ind w:firstLine="567"/>
        <w:jc w:val="both"/>
        <w:rPr>
          <w:rFonts w:asciiTheme="majorHAnsi" w:hAnsiTheme="majorHAnsi"/>
          <w:color w:val="000000"/>
          <w:sz w:val="22"/>
          <w:szCs w:val="22"/>
          <w:lang w:eastAsia="lt-LT"/>
        </w:rPr>
      </w:pPr>
    </w:p>
    <w:p w:rsidR="009E0E65" w:rsidRDefault="009E0E65" w:rsidP="00BE2EA3">
      <w:pPr>
        <w:suppressAutoHyphens/>
        <w:ind w:firstLine="567"/>
        <w:jc w:val="both"/>
        <w:rPr>
          <w:rFonts w:asciiTheme="majorHAnsi" w:hAnsiTheme="majorHAnsi"/>
          <w:color w:val="000000"/>
          <w:sz w:val="22"/>
          <w:szCs w:val="22"/>
          <w:lang w:eastAsia="lt-LT"/>
        </w:rPr>
      </w:pPr>
    </w:p>
    <w:p w:rsidR="009E0E65" w:rsidRDefault="009E0E6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FA37F6"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FA37F6"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FA37F6"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FA37F6"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Tiekėjas yra padaręs rimtą profesinį pažeidimą, dėl kurio perkančioji organizacija abejoja tiekėjo </w:t>
            </w:r>
            <w:proofErr w:type="gramStart"/>
            <w:r w:rsidRPr="003714C3">
              <w:rPr>
                <w:rFonts w:asciiTheme="majorHAnsi" w:hAnsiTheme="majorHAnsi"/>
                <w:sz w:val="22"/>
                <w:szCs w:val="22"/>
              </w:rPr>
              <w:t>sąžiningumu,  kai</w:t>
            </w:r>
            <w:proofErr w:type="gramEnd"/>
            <w:r w:rsidRPr="003714C3">
              <w:rPr>
                <w:rFonts w:asciiTheme="majorHAnsi" w:hAnsiTheme="majorHAnsi"/>
                <w:sz w:val="22"/>
                <w:szCs w:val="22"/>
              </w:rPr>
              <w:t xml:space="preserve">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FA37F6"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9C2EED" w:rsidRPr="009C2EED" w:rsidRDefault="009C2EED" w:rsidP="009C2EED">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9C2EED">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9C2EED">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9C2EED">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9C2EED" w:rsidRPr="009C2EED" w:rsidRDefault="009C2EED" w:rsidP="009C2EED">
      <w:pPr>
        <w:ind w:firstLine="567"/>
        <w:contextualSpacing/>
        <w:jc w:val="both"/>
        <w:rPr>
          <w:rFonts w:ascii="Cambria" w:eastAsia="Calibri" w:hAnsi="Cambria"/>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lastRenderedPageBreak/>
        <w:t>procedūros metu turi teisę pareikalauti dalyvių pateikti visus ar dalį dokumentų, nurodytų VPĮ 39 straipsnio 3 dalyje (</w:t>
      </w:r>
      <w:r w:rsidRPr="009C2EED">
        <w:rPr>
          <w:rFonts w:ascii="Cambria" w:eastAsia="Calibri" w:hAnsi="Cambria"/>
          <w:color w:val="4F81BD" w:themeColor="accent1"/>
          <w:sz w:val="22"/>
          <w:szCs w:val="22"/>
          <w:lang w:eastAsia="lt-LT"/>
        </w:rPr>
        <w:t>taikoma prekėms</w:t>
      </w:r>
      <w:r w:rsidRPr="009C2EED">
        <w:rPr>
          <w:rFonts w:ascii="Cambria" w:hAnsi="Cambria"/>
          <w:color w:val="4F81BD" w:themeColor="accent1"/>
          <w:sz w:val="22"/>
          <w:szCs w:val="22"/>
        </w:rPr>
        <w:t>, kurių BVPŽ kodas 48180000-3 (</w:t>
      </w:r>
      <w:r w:rsidRPr="009C2EED">
        <w:rPr>
          <w:rFonts w:ascii="Cambria" w:hAnsi="Cambria" w:cs="Arial"/>
          <w:color w:val="4F81BD" w:themeColor="accent1"/>
          <w:sz w:val="22"/>
          <w:szCs w:val="22"/>
          <w:shd w:val="clear" w:color="auto" w:fill="FFFFFF"/>
        </w:rPr>
        <w:t>Medicinos programinės įrangos paketai</w:t>
      </w:r>
      <w:r w:rsidRPr="009C2EED">
        <w:rPr>
          <w:rFonts w:ascii="Cambria" w:eastAsia="Calibri" w:hAnsi="Cambria"/>
          <w:sz w:val="22"/>
          <w:szCs w:val="22"/>
          <w:lang w:eastAsia="lt-LT"/>
        </w:rPr>
        <w:t>).</w:t>
      </w:r>
    </w:p>
    <w:p w:rsidR="009C2EED" w:rsidRPr="00EA468A" w:rsidRDefault="009C2EED" w:rsidP="009C2EED">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9C2EED" w:rsidRPr="00EA468A" w:rsidRDefault="009C2EED" w:rsidP="009C2EED">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C2EED" w:rsidRPr="00EA468A" w:rsidRDefault="009C2EED" w:rsidP="009C2EED">
      <w:pPr>
        <w:suppressAutoHyphens/>
        <w:spacing w:after="40"/>
        <w:ind w:firstLine="567"/>
        <w:jc w:val="both"/>
        <w:rPr>
          <w:rFonts w:ascii="Cambria" w:hAnsi="Cambria" w:cs="Arial Unicode MS"/>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rsidR="009C2EED" w:rsidRPr="00EA468A" w:rsidRDefault="009C2EED" w:rsidP="009C2EED">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337D5E">
        <w:rPr>
          <w:rFonts w:ascii="Cambria" w:hAnsi="Cambria" w:cs="Arial Unicode MS"/>
          <w:sz w:val="22"/>
          <w:szCs w:val="20"/>
          <w:lang w:eastAsia="lt-LT"/>
        </w:rPr>
        <w:t>.</w:t>
      </w:r>
    </w:p>
    <w:p w:rsidR="009C2EED" w:rsidRPr="00EA468A" w:rsidRDefault="009C2EED" w:rsidP="009C2EED">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9E0E65">
        <w:rPr>
          <w:rFonts w:asciiTheme="majorHAnsi" w:hAnsiTheme="majorHAnsi" w:cs="Times New Roman"/>
          <w:color w:val="auto"/>
        </w:rPr>
        <w:t xml:space="preserve">5.4. </w:t>
      </w:r>
      <w:r w:rsidRPr="009E0E65">
        <w:rPr>
          <w:rFonts w:asciiTheme="majorHAnsi" w:hAnsiTheme="majorHAnsi" w:cs="Times New Roman"/>
          <w:iCs/>
          <w:color w:val="auto"/>
        </w:rPr>
        <w:t xml:space="preserve">Pasiūlymas turi būti pateiktas iki </w:t>
      </w:r>
      <w:r w:rsidR="00AA5E63" w:rsidRPr="009E0E65">
        <w:rPr>
          <w:rFonts w:asciiTheme="majorHAnsi" w:hAnsiTheme="majorHAnsi" w:cs="Times New Roman"/>
          <w:b/>
          <w:iCs/>
          <w:color w:val="548DD4" w:themeColor="text2" w:themeTint="99"/>
        </w:rPr>
        <w:t>2025</w:t>
      </w:r>
      <w:r w:rsidRPr="009E0E65">
        <w:rPr>
          <w:rFonts w:asciiTheme="majorHAnsi" w:hAnsiTheme="majorHAnsi" w:cs="Times New Roman"/>
          <w:b/>
          <w:iCs/>
          <w:color w:val="548DD4" w:themeColor="text2" w:themeTint="99"/>
        </w:rPr>
        <w:t xml:space="preserve"> m. </w:t>
      </w:r>
      <w:r w:rsidR="00692844" w:rsidRPr="009E0E65">
        <w:rPr>
          <w:rFonts w:asciiTheme="majorHAnsi" w:hAnsiTheme="majorHAnsi" w:cs="Times New Roman"/>
          <w:b/>
          <w:iCs/>
          <w:color w:val="548DD4" w:themeColor="text2" w:themeTint="99"/>
        </w:rPr>
        <w:t>rugsėjo</w:t>
      </w:r>
      <w:r w:rsidR="00F21792" w:rsidRPr="009E0E65">
        <w:rPr>
          <w:rFonts w:asciiTheme="majorHAnsi" w:hAnsiTheme="majorHAnsi" w:cs="Times New Roman"/>
          <w:b/>
          <w:iCs/>
          <w:color w:val="548DD4" w:themeColor="text2" w:themeTint="99"/>
        </w:rPr>
        <w:t xml:space="preserve"> </w:t>
      </w:r>
      <w:r w:rsidR="009E0E65" w:rsidRPr="009E0E65">
        <w:rPr>
          <w:rFonts w:asciiTheme="majorHAnsi" w:hAnsiTheme="majorHAnsi" w:cs="Times New Roman"/>
          <w:b/>
          <w:iCs/>
          <w:color w:val="548DD4" w:themeColor="text2" w:themeTint="99"/>
        </w:rPr>
        <w:t>23</w:t>
      </w:r>
      <w:r w:rsidR="00F21792" w:rsidRPr="009E0E65">
        <w:rPr>
          <w:rFonts w:asciiTheme="majorHAnsi" w:hAnsiTheme="majorHAnsi" w:cs="Times New Roman"/>
          <w:b/>
          <w:iCs/>
          <w:color w:val="548DD4" w:themeColor="text2" w:themeTint="99"/>
        </w:rPr>
        <w:t xml:space="preserve"> </w:t>
      </w:r>
      <w:r w:rsidRPr="009E0E65">
        <w:rPr>
          <w:rFonts w:asciiTheme="majorHAnsi" w:hAnsiTheme="majorHAnsi" w:cs="Times New Roman"/>
          <w:b/>
          <w:iCs/>
          <w:color w:val="548DD4" w:themeColor="text2" w:themeTint="99"/>
        </w:rPr>
        <w:t>d.</w:t>
      </w:r>
      <w:r w:rsidR="00E958C2" w:rsidRPr="009E0E65">
        <w:rPr>
          <w:rFonts w:asciiTheme="majorHAnsi" w:hAnsiTheme="majorHAnsi" w:cs="Times New Roman"/>
          <w:b/>
          <w:iCs/>
          <w:color w:val="548DD4" w:themeColor="text2" w:themeTint="99"/>
        </w:rPr>
        <w:t xml:space="preserve"> 0</w:t>
      </w:r>
      <w:r w:rsidR="00F21792" w:rsidRPr="009E0E65">
        <w:rPr>
          <w:rFonts w:asciiTheme="majorHAnsi" w:hAnsiTheme="majorHAnsi" w:cs="Times New Roman"/>
          <w:b/>
          <w:iCs/>
          <w:color w:val="548DD4" w:themeColor="text2" w:themeTint="99"/>
        </w:rPr>
        <w:t>8</w:t>
      </w:r>
      <w:r w:rsidR="005823A0" w:rsidRPr="009E0E65">
        <w:rPr>
          <w:rFonts w:asciiTheme="majorHAnsi" w:hAnsiTheme="majorHAnsi" w:cs="Times New Roman"/>
          <w:b/>
          <w:iCs/>
          <w:color w:val="548DD4" w:themeColor="text2" w:themeTint="99"/>
        </w:rPr>
        <w:t xml:space="preserve"> val. 00</w:t>
      </w:r>
      <w:r w:rsidRPr="009E0E65">
        <w:rPr>
          <w:rFonts w:asciiTheme="majorHAnsi" w:hAnsiTheme="majorHAnsi" w:cs="Times New Roman"/>
          <w:b/>
          <w:iCs/>
          <w:color w:val="548DD4" w:themeColor="text2" w:themeTint="99"/>
        </w:rPr>
        <w:t xml:space="preserve"> min.</w:t>
      </w:r>
      <w:r w:rsidRPr="009E0E65">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9E0E65">
        <w:rPr>
          <w:rFonts w:asciiTheme="majorHAnsi" w:hAnsiTheme="majorHAnsi" w:cs="Times New Roman"/>
          <w:lang w:val="it-IT"/>
        </w:rPr>
        <w:t xml:space="preserve">trumpiau </w:t>
      </w:r>
      <w:r w:rsidRPr="009E0E65">
        <w:rPr>
          <w:rFonts w:asciiTheme="majorHAnsi" w:hAnsiTheme="majorHAnsi" w:cs="Times New Roman"/>
          <w:lang w:val="lt-LT"/>
        </w:rPr>
        <w:t xml:space="preserve">kaip iki </w:t>
      </w:r>
      <w:r w:rsidR="00AF145C" w:rsidRPr="009E0E65">
        <w:rPr>
          <w:rFonts w:asciiTheme="majorHAnsi" w:hAnsiTheme="majorHAnsi" w:cs="Times New Roman"/>
          <w:b/>
          <w:color w:val="548DD4" w:themeColor="text2" w:themeTint="99"/>
          <w:lang w:val="lt-LT"/>
        </w:rPr>
        <w:t>202</w:t>
      </w:r>
      <w:r w:rsidR="00692844" w:rsidRPr="009E0E65">
        <w:rPr>
          <w:rFonts w:asciiTheme="majorHAnsi" w:hAnsiTheme="majorHAnsi" w:cs="Times New Roman"/>
          <w:b/>
          <w:color w:val="548DD4" w:themeColor="text2" w:themeTint="99"/>
          <w:lang w:val="lt-LT"/>
        </w:rPr>
        <w:t>6-01-</w:t>
      </w:r>
      <w:r w:rsidR="009E0E65" w:rsidRPr="009E0E65">
        <w:rPr>
          <w:rFonts w:asciiTheme="majorHAnsi" w:hAnsiTheme="majorHAnsi" w:cs="Times New Roman"/>
          <w:b/>
          <w:color w:val="548DD4" w:themeColor="text2" w:themeTint="99"/>
          <w:lang w:val="lt-LT"/>
        </w:rPr>
        <w:t>23</w:t>
      </w:r>
      <w:r w:rsidR="00805DD4" w:rsidRPr="009E0E65">
        <w:rPr>
          <w:rFonts w:asciiTheme="majorHAnsi" w:hAnsiTheme="majorHAnsi" w:cs="Times New Roman"/>
          <w:b/>
          <w:color w:val="548DD4" w:themeColor="text2" w:themeTint="99"/>
          <w:lang w:val="lt-LT"/>
        </w:rPr>
        <w:t>.</w:t>
      </w:r>
      <w:r w:rsidRPr="009E0E65">
        <w:rPr>
          <w:rFonts w:asciiTheme="majorHAnsi" w:hAnsiTheme="majorHAnsi" w:cs="Times New Roman"/>
          <w:lang w:val="pt-PT"/>
        </w:rPr>
        <w:t xml:space="preserve"> Jeigu pasi</w:t>
      </w:r>
      <w:r w:rsidRPr="009E0E65">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337D5E" w:rsidRPr="00337D5E" w:rsidRDefault="00337D5E" w:rsidP="00337D5E">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5.11.</w:t>
      </w:r>
      <w:r w:rsidR="00337D5E">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E51623" w:rsidRPr="00C67424" w:rsidRDefault="00E51623" w:rsidP="00E5162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Pr>
          <w:rFonts w:asciiTheme="majorHAnsi" w:hAnsiTheme="majorHAnsi"/>
          <w:b/>
          <w:sz w:val="22"/>
          <w:szCs w:val="22"/>
        </w:rPr>
        <w:t xml:space="preserve">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5A53AF" w:rsidRPr="005A53AF" w:rsidRDefault="005A53AF" w:rsidP="005A53AF">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337D5E">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337D5E">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lastRenderedPageBreak/>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9E0E65">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9E0E65" w:rsidRDefault="009E0E65" w:rsidP="009E0E65">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9E0E65" w:rsidRDefault="009E0E65" w:rsidP="005A53AF">
      <w:pPr>
        <w:pStyle w:val="Body2"/>
        <w:jc w:val="center"/>
        <w:rPr>
          <w:rFonts w:asciiTheme="majorHAnsi" w:hAnsiTheme="majorHAnsi" w:cs="Times New Roman"/>
          <w:b/>
          <w:bCs/>
          <w:color w:val="auto"/>
        </w:rPr>
      </w:pPr>
    </w:p>
    <w:p w:rsidR="00CD5FC2" w:rsidRPr="003714C3" w:rsidRDefault="00B50198" w:rsidP="005A53A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9E0E65">
        <w:rPr>
          <w:rFonts w:asciiTheme="majorHAnsi" w:hAnsiTheme="majorHAnsi"/>
          <w:b/>
          <w:iCs/>
          <w:color w:val="548DD4" w:themeColor="text2" w:themeTint="99"/>
          <w:sz w:val="22"/>
          <w:szCs w:val="22"/>
        </w:rPr>
        <w:t>2025</w:t>
      </w:r>
      <w:r w:rsidRPr="009E0E65">
        <w:rPr>
          <w:rFonts w:asciiTheme="majorHAnsi" w:hAnsiTheme="majorHAnsi"/>
          <w:b/>
          <w:iCs/>
          <w:color w:val="548DD4" w:themeColor="text2" w:themeTint="99"/>
          <w:sz w:val="22"/>
          <w:szCs w:val="22"/>
        </w:rPr>
        <w:t xml:space="preserve"> m.</w:t>
      </w:r>
      <w:r w:rsidR="00BE67E8" w:rsidRPr="009E0E65">
        <w:rPr>
          <w:rFonts w:asciiTheme="majorHAnsi" w:hAnsiTheme="majorHAnsi"/>
          <w:b/>
          <w:iCs/>
          <w:color w:val="548DD4" w:themeColor="text2" w:themeTint="99"/>
          <w:sz w:val="22"/>
          <w:szCs w:val="22"/>
        </w:rPr>
        <w:t xml:space="preserve"> </w:t>
      </w:r>
      <w:r w:rsidR="001C79F8" w:rsidRPr="009E0E65">
        <w:rPr>
          <w:rFonts w:asciiTheme="majorHAnsi" w:hAnsiTheme="majorHAnsi"/>
          <w:b/>
          <w:iCs/>
          <w:color w:val="548DD4" w:themeColor="text2" w:themeTint="99"/>
          <w:sz w:val="22"/>
          <w:szCs w:val="22"/>
        </w:rPr>
        <w:t>rugsėjo</w:t>
      </w:r>
      <w:r w:rsidR="009E0E65" w:rsidRPr="009E0E65">
        <w:rPr>
          <w:rFonts w:asciiTheme="majorHAnsi" w:hAnsiTheme="majorHAnsi"/>
          <w:b/>
          <w:iCs/>
          <w:color w:val="548DD4" w:themeColor="text2" w:themeTint="99"/>
          <w:sz w:val="22"/>
          <w:szCs w:val="22"/>
        </w:rPr>
        <w:t xml:space="preserve"> 23</w:t>
      </w:r>
      <w:r w:rsidR="002B1E54" w:rsidRPr="009E0E65">
        <w:rPr>
          <w:rFonts w:asciiTheme="majorHAnsi" w:hAnsiTheme="majorHAnsi"/>
          <w:b/>
          <w:iCs/>
          <w:color w:val="548DD4" w:themeColor="text2" w:themeTint="99"/>
          <w:sz w:val="22"/>
          <w:szCs w:val="22"/>
        </w:rPr>
        <w:t xml:space="preserve"> </w:t>
      </w:r>
      <w:r w:rsidR="00E958C2" w:rsidRPr="009E0E65">
        <w:rPr>
          <w:rFonts w:asciiTheme="majorHAnsi" w:hAnsiTheme="majorHAnsi"/>
          <w:b/>
          <w:iCs/>
          <w:color w:val="548DD4" w:themeColor="text2" w:themeTint="99"/>
          <w:sz w:val="22"/>
          <w:szCs w:val="22"/>
        </w:rPr>
        <w:t>d. 0</w:t>
      </w:r>
      <w:r w:rsidR="00F21792" w:rsidRPr="009E0E65">
        <w:rPr>
          <w:rFonts w:asciiTheme="majorHAnsi" w:hAnsiTheme="majorHAnsi"/>
          <w:b/>
          <w:iCs/>
          <w:color w:val="548DD4" w:themeColor="text2" w:themeTint="99"/>
          <w:sz w:val="22"/>
          <w:szCs w:val="22"/>
        </w:rPr>
        <w:t>8</w:t>
      </w:r>
      <w:r w:rsidR="005823A0" w:rsidRPr="009E0E65">
        <w:rPr>
          <w:rFonts w:asciiTheme="majorHAnsi" w:hAnsiTheme="majorHAnsi"/>
          <w:b/>
          <w:iCs/>
          <w:color w:val="548DD4" w:themeColor="text2" w:themeTint="99"/>
          <w:sz w:val="22"/>
          <w:szCs w:val="22"/>
        </w:rPr>
        <w:t xml:space="preserve"> val. 30</w:t>
      </w:r>
      <w:r w:rsidRPr="009E0E65">
        <w:rPr>
          <w:rFonts w:asciiTheme="majorHAnsi" w:hAnsiTheme="majorHAnsi"/>
          <w:b/>
          <w:iCs/>
          <w:color w:val="548DD4" w:themeColor="text2" w:themeTint="99"/>
          <w:sz w:val="22"/>
          <w:szCs w:val="22"/>
        </w:rPr>
        <w:t xml:space="preserve"> min</w:t>
      </w:r>
      <w:r w:rsidRPr="009E0E65">
        <w:rPr>
          <w:rFonts w:asciiTheme="majorHAnsi" w:hAnsiTheme="majorHAnsi"/>
          <w:b/>
          <w:iCs/>
          <w:sz w:val="22"/>
          <w:szCs w:val="22"/>
        </w:rPr>
        <w:t>.</w:t>
      </w:r>
      <w:r w:rsidRPr="009E0E65">
        <w:rPr>
          <w:rFonts w:asciiTheme="majorHAnsi" w:hAnsiTheme="majorHAnsi"/>
          <w:iCs/>
          <w:sz w:val="22"/>
          <w:szCs w:val="22"/>
        </w:rPr>
        <w:t xml:space="preserve"> </w:t>
      </w:r>
      <w:r w:rsidRPr="009E0E65">
        <w:rPr>
          <w:rFonts w:asciiTheme="majorHAnsi" w:hAnsiTheme="majorHAnsi"/>
          <w:iCs/>
          <w:sz w:val="22"/>
          <w:szCs w:val="22"/>
          <w:u w:val="single"/>
        </w:rPr>
        <w:t xml:space="preserve">Jei pasiūlymas teikiamas šifruotas, slaptažodis turi būti pateiktas </w:t>
      </w:r>
      <w:r w:rsidR="009B3BF7" w:rsidRPr="009E0E65">
        <w:rPr>
          <w:rFonts w:asciiTheme="majorHAnsi" w:hAnsiTheme="majorHAnsi"/>
          <w:b/>
          <w:iCs/>
          <w:color w:val="548DD4" w:themeColor="text2" w:themeTint="99"/>
          <w:sz w:val="22"/>
          <w:szCs w:val="22"/>
          <w:u w:val="single"/>
        </w:rPr>
        <w:t>2025</w:t>
      </w:r>
      <w:r w:rsidR="005A189F" w:rsidRPr="009E0E65">
        <w:rPr>
          <w:rFonts w:asciiTheme="majorHAnsi" w:hAnsiTheme="majorHAnsi"/>
          <w:b/>
          <w:iCs/>
          <w:color w:val="548DD4" w:themeColor="text2" w:themeTint="99"/>
          <w:sz w:val="22"/>
          <w:szCs w:val="22"/>
          <w:u w:val="single"/>
        </w:rPr>
        <w:t xml:space="preserve"> m. </w:t>
      </w:r>
      <w:r w:rsidR="001C79F8" w:rsidRPr="009E0E65">
        <w:rPr>
          <w:rFonts w:asciiTheme="majorHAnsi" w:hAnsiTheme="majorHAnsi"/>
          <w:b/>
          <w:iCs/>
          <w:color w:val="548DD4" w:themeColor="text2" w:themeTint="99"/>
          <w:sz w:val="22"/>
          <w:szCs w:val="22"/>
          <w:u w:val="single"/>
        </w:rPr>
        <w:t>rugsėjo</w:t>
      </w:r>
      <w:r w:rsidR="00F21792" w:rsidRPr="009E0E65">
        <w:rPr>
          <w:rFonts w:asciiTheme="majorHAnsi" w:hAnsiTheme="majorHAnsi"/>
          <w:b/>
          <w:iCs/>
          <w:color w:val="548DD4" w:themeColor="text2" w:themeTint="99"/>
          <w:sz w:val="22"/>
          <w:szCs w:val="22"/>
          <w:u w:val="single"/>
        </w:rPr>
        <w:t xml:space="preserve"> </w:t>
      </w:r>
      <w:r w:rsidR="009E0E65" w:rsidRPr="009E0E65">
        <w:rPr>
          <w:rFonts w:asciiTheme="majorHAnsi" w:hAnsiTheme="majorHAnsi"/>
          <w:b/>
          <w:iCs/>
          <w:color w:val="548DD4" w:themeColor="text2" w:themeTint="99"/>
          <w:sz w:val="22"/>
          <w:szCs w:val="22"/>
          <w:u w:val="single"/>
        </w:rPr>
        <w:t xml:space="preserve">23 </w:t>
      </w:r>
      <w:r w:rsidRPr="009E0E65">
        <w:rPr>
          <w:rFonts w:asciiTheme="majorHAnsi" w:hAnsiTheme="majorHAnsi"/>
          <w:b/>
          <w:iCs/>
          <w:color w:val="548DD4" w:themeColor="text2" w:themeTint="99"/>
          <w:sz w:val="22"/>
          <w:szCs w:val="22"/>
          <w:u w:val="single"/>
        </w:rPr>
        <w:t>d.</w:t>
      </w:r>
      <w:r w:rsidRPr="009E0E65">
        <w:rPr>
          <w:rFonts w:asciiTheme="majorHAnsi" w:hAnsiTheme="majorHAnsi"/>
          <w:iCs/>
          <w:color w:val="548DD4" w:themeColor="text2" w:themeTint="99"/>
          <w:sz w:val="22"/>
          <w:szCs w:val="22"/>
          <w:u w:val="single"/>
        </w:rPr>
        <w:t xml:space="preserve"> intervale </w:t>
      </w:r>
      <w:r w:rsidR="00E958C2" w:rsidRPr="009E0E65">
        <w:rPr>
          <w:rFonts w:asciiTheme="majorHAnsi" w:hAnsiTheme="majorHAnsi"/>
          <w:b/>
          <w:iCs/>
          <w:color w:val="548DD4" w:themeColor="text2" w:themeTint="99"/>
          <w:sz w:val="22"/>
          <w:szCs w:val="22"/>
          <w:u w:val="single"/>
        </w:rPr>
        <w:t>0</w:t>
      </w:r>
      <w:r w:rsidR="00F21792" w:rsidRPr="009E0E65">
        <w:rPr>
          <w:rFonts w:asciiTheme="majorHAnsi" w:hAnsiTheme="majorHAnsi"/>
          <w:b/>
          <w:iCs/>
          <w:color w:val="548DD4" w:themeColor="text2" w:themeTint="99"/>
          <w:sz w:val="22"/>
          <w:szCs w:val="22"/>
          <w:u w:val="single"/>
        </w:rPr>
        <w:t>8</w:t>
      </w:r>
      <w:r w:rsidR="005823A0" w:rsidRPr="009E0E65">
        <w:rPr>
          <w:rFonts w:asciiTheme="majorHAnsi" w:hAnsiTheme="majorHAnsi"/>
          <w:b/>
          <w:iCs/>
          <w:color w:val="548DD4" w:themeColor="text2" w:themeTint="99"/>
          <w:sz w:val="22"/>
          <w:szCs w:val="22"/>
          <w:u w:val="single"/>
        </w:rPr>
        <w:t>.00</w:t>
      </w:r>
      <w:r w:rsidR="00652BA3" w:rsidRPr="009E0E65">
        <w:rPr>
          <w:rFonts w:asciiTheme="majorHAnsi" w:hAnsiTheme="majorHAnsi"/>
          <w:b/>
          <w:iCs/>
          <w:color w:val="548DD4" w:themeColor="text2" w:themeTint="99"/>
          <w:sz w:val="22"/>
          <w:szCs w:val="22"/>
          <w:u w:val="single"/>
        </w:rPr>
        <w:t xml:space="preserve"> –</w:t>
      </w:r>
      <w:r w:rsidR="009B15AA" w:rsidRPr="009E0E65">
        <w:rPr>
          <w:rFonts w:asciiTheme="majorHAnsi" w:hAnsiTheme="majorHAnsi"/>
          <w:b/>
          <w:iCs/>
          <w:color w:val="548DD4" w:themeColor="text2" w:themeTint="99"/>
          <w:sz w:val="22"/>
          <w:szCs w:val="22"/>
          <w:u w:val="single"/>
        </w:rPr>
        <w:t xml:space="preserve"> </w:t>
      </w:r>
      <w:r w:rsidR="00E958C2" w:rsidRPr="009E0E65">
        <w:rPr>
          <w:rFonts w:asciiTheme="majorHAnsi" w:hAnsiTheme="majorHAnsi"/>
          <w:b/>
          <w:iCs/>
          <w:color w:val="548DD4" w:themeColor="text2" w:themeTint="99"/>
          <w:sz w:val="22"/>
          <w:szCs w:val="22"/>
          <w:u w:val="single"/>
        </w:rPr>
        <w:t>0</w:t>
      </w:r>
      <w:r w:rsidR="00F21792" w:rsidRPr="009E0E65">
        <w:rPr>
          <w:rFonts w:asciiTheme="majorHAnsi" w:hAnsiTheme="majorHAnsi"/>
          <w:b/>
          <w:iCs/>
          <w:color w:val="548DD4" w:themeColor="text2" w:themeTint="99"/>
          <w:sz w:val="22"/>
          <w:szCs w:val="22"/>
          <w:u w:val="single"/>
        </w:rPr>
        <w:t>8</w:t>
      </w:r>
      <w:r w:rsidR="005823A0" w:rsidRPr="009E0E65">
        <w:rPr>
          <w:rFonts w:asciiTheme="majorHAnsi" w:hAnsiTheme="majorHAnsi"/>
          <w:b/>
          <w:iCs/>
          <w:color w:val="548DD4" w:themeColor="text2" w:themeTint="99"/>
          <w:sz w:val="22"/>
          <w:szCs w:val="22"/>
          <w:u w:val="single"/>
        </w:rPr>
        <w:t>.30</w:t>
      </w:r>
      <w:r w:rsidRPr="009E0E65">
        <w:rPr>
          <w:rFonts w:asciiTheme="majorHAnsi" w:hAnsiTheme="majorHAnsi"/>
          <w:b/>
          <w:iCs/>
          <w:color w:val="548DD4" w:themeColor="text2" w:themeTint="99"/>
          <w:sz w:val="22"/>
          <w:szCs w:val="22"/>
          <w:u w:val="single"/>
        </w:rPr>
        <w:t xml:space="preserve"> val.</w:t>
      </w:r>
      <w:r w:rsidRPr="009E0E65">
        <w:rPr>
          <w:rFonts w:asciiTheme="majorHAnsi" w:hAnsiTheme="majorHAnsi"/>
          <w:b/>
          <w:iCs/>
          <w:sz w:val="22"/>
          <w:szCs w:val="22"/>
          <w:u w:val="single"/>
        </w:rPr>
        <w:t xml:space="preserve"> </w:t>
      </w:r>
      <w:r w:rsidRPr="009E0E65">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2" w:name="_Toc488306772"/>
      <w:r w:rsidRPr="003714C3">
        <w:rPr>
          <w:rFonts w:asciiTheme="majorHAnsi" w:hAnsiTheme="majorHAnsi"/>
          <w:b/>
          <w:sz w:val="22"/>
        </w:rPr>
        <w:t>ELEKTRONINIS AUKCIONAS</w:t>
      </w:r>
      <w:bookmarkEnd w:id="2"/>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3"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3"/>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074AB" w:rsidRPr="00DC593B" w:rsidRDefault="00A074AB" w:rsidP="00A074AB">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074AB" w:rsidRPr="000C520E" w:rsidRDefault="00A074AB" w:rsidP="00A074AB">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lastRenderedPageBreak/>
        <w:tab/>
        <w:t>13.1.</w:t>
      </w:r>
      <w:r w:rsidR="00A074AB">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074AB">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A074AB">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A074AB">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4" w:name="_Hlk488957884"/>
      <w:r w:rsidRPr="003714C3">
        <w:rPr>
          <w:rFonts w:asciiTheme="majorHAnsi" w:hAnsiTheme="majorHAnsi" w:cs="Times New Roman"/>
        </w:rPr>
        <w:t>13.1.</w:t>
      </w:r>
      <w:r w:rsidR="00A074AB">
        <w:rPr>
          <w:rFonts w:asciiTheme="majorHAnsi" w:hAnsiTheme="majorHAnsi" w:cs="Times New Roman"/>
        </w:rPr>
        <w:t>10</w:t>
      </w:r>
      <w:r w:rsidRPr="003714C3">
        <w:rPr>
          <w:rFonts w:asciiTheme="majorHAnsi" w:hAnsiTheme="majorHAnsi" w:cs="Times New Roman"/>
        </w:rPr>
        <w:t xml:space="preserve">. </w:t>
      </w:r>
      <w:bookmarkEnd w:id="4"/>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A074AB">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A074AB">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A074AB">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1D1B92" w:rsidRPr="003714C3" w:rsidRDefault="001D1B92"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5" w:name="_Toc47844937"/>
      <w:bookmarkStart w:id="6" w:name="_Toc60525491"/>
      <w:bookmarkEnd w:id="5"/>
      <w:bookmarkEnd w:id="6"/>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A074AB">
        <w:rPr>
          <w:rFonts w:asciiTheme="majorHAnsi" w:hAnsiTheme="majorHAnsi"/>
          <w:b/>
          <w:highlight w:val="green"/>
        </w:rPr>
        <w:t>985.000,00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561279" w:rsidRDefault="00561279" w:rsidP="00561279">
      <w:pPr>
        <w:suppressAutoHyphens/>
        <w:ind w:firstLine="567"/>
        <w:jc w:val="both"/>
        <w:rPr>
          <w:rFonts w:asciiTheme="majorHAnsi" w:hAnsiTheme="majorHAnsi"/>
          <w:sz w:val="22"/>
          <w:szCs w:val="22"/>
        </w:rPr>
      </w:pPr>
      <w:bookmarkStart w:id="7" w:name="_GoBack"/>
      <w:bookmarkEnd w:id="7"/>
      <w:r w:rsidRPr="00561279">
        <w:rPr>
          <w:rFonts w:asciiTheme="majorHAnsi" w:hAnsiTheme="majorHAnsi"/>
          <w:sz w:val="22"/>
          <w:szCs w:val="22"/>
        </w:rPr>
        <w:t xml:space="preserve">Nustatomas maksimalus bendras balų skaičius – 100 balų. Kriterijų tarpusavio santykis bendrame bale yra nustatomas pagal lyginamuosius svorius: </w:t>
      </w:r>
    </w:p>
    <w:p w:rsidR="003575AA" w:rsidRPr="00561279" w:rsidRDefault="003575AA" w:rsidP="00561279">
      <w:pPr>
        <w:suppressAutoHyphens/>
        <w:ind w:firstLine="567"/>
        <w:jc w:val="both"/>
        <w:rPr>
          <w:rFonts w:asciiTheme="majorHAnsi" w:hAnsiTheme="majorHAnsi"/>
          <w:sz w:val="22"/>
          <w:szCs w:val="22"/>
        </w:rPr>
      </w:pPr>
    </w:p>
    <w:p w:rsidR="00561279" w:rsidRPr="00561279" w:rsidRDefault="00561279" w:rsidP="00561279">
      <w:pPr>
        <w:pStyle w:val="Sraopastraipa"/>
        <w:pBdr>
          <w:top w:val="nil"/>
          <w:left w:val="nil"/>
          <w:bottom w:val="nil"/>
          <w:right w:val="nil"/>
          <w:between w:val="nil"/>
          <w:bar w:val="nil"/>
        </w:pBdr>
        <w:tabs>
          <w:tab w:val="left" w:pos="1134"/>
        </w:tabs>
        <w:suppressAutoHyphens/>
        <w:spacing w:after="0" w:line="240" w:lineRule="auto"/>
        <w:ind w:left="792"/>
        <w:jc w:val="both"/>
        <w:rPr>
          <w:rFonts w:asciiTheme="majorHAnsi" w:eastAsia="Arial Unicode MS" w:hAnsiTheme="majorHAnsi"/>
          <w:bdr w:val="nil"/>
        </w:rPr>
      </w:pPr>
      <w:r w:rsidRPr="00561279">
        <w:rPr>
          <w:rFonts w:asciiTheme="majorHAnsi" w:eastAsia="Arial Unicode MS" w:hAnsiTheme="majorHAnsi"/>
          <w:bdr w:val="nil"/>
        </w:rPr>
        <w:t xml:space="preserve">1) </w:t>
      </w:r>
      <w:r>
        <w:rPr>
          <w:rFonts w:asciiTheme="majorHAnsi" w:eastAsia="Arial Unicode MS" w:hAnsiTheme="majorHAnsi"/>
          <w:bdr w:val="nil"/>
        </w:rPr>
        <w:t xml:space="preserve">  </w:t>
      </w:r>
      <w:r w:rsidRPr="00561279">
        <w:rPr>
          <w:rFonts w:asciiTheme="majorHAnsi" w:eastAsia="Arial Unicode MS" w:hAnsiTheme="majorHAnsi"/>
          <w:bdr w:val="nil"/>
        </w:rPr>
        <w:t>kaina (K) – 70;</w:t>
      </w:r>
    </w:p>
    <w:p w:rsidR="00561279" w:rsidRPr="00561279" w:rsidRDefault="00561279" w:rsidP="00561279">
      <w:pPr>
        <w:pStyle w:val="Sraopastraipa"/>
        <w:numPr>
          <w:ilvl w:val="0"/>
          <w:numId w:val="26"/>
        </w:numPr>
        <w:pBdr>
          <w:top w:val="nil"/>
          <w:left w:val="nil"/>
          <w:bottom w:val="nil"/>
          <w:right w:val="nil"/>
          <w:between w:val="nil"/>
          <w:bar w:val="nil"/>
        </w:pBdr>
        <w:tabs>
          <w:tab w:val="left" w:pos="1134"/>
        </w:tabs>
        <w:suppressAutoHyphens/>
        <w:spacing w:after="0" w:line="240" w:lineRule="auto"/>
        <w:ind w:left="792" w:firstLine="0"/>
        <w:jc w:val="both"/>
        <w:rPr>
          <w:rFonts w:asciiTheme="majorHAnsi" w:eastAsia="Arial Unicode MS" w:hAnsiTheme="majorHAnsi"/>
          <w:bdr w:val="nil"/>
        </w:rPr>
      </w:pPr>
      <w:r w:rsidRPr="00561279">
        <w:rPr>
          <w:rFonts w:asciiTheme="majorHAnsi" w:eastAsia="Arial Unicode MS" w:hAnsiTheme="majorHAnsi"/>
          <w:bdr w:val="nil"/>
        </w:rPr>
        <w:t>techniniai privalumai (T) – 30.</w:t>
      </w:r>
    </w:p>
    <w:p w:rsidR="00561279" w:rsidRPr="00561279" w:rsidRDefault="00561279" w:rsidP="00561279">
      <w:pPr>
        <w:suppressAutoHyphens/>
        <w:jc w:val="both"/>
        <w:rPr>
          <w:rFonts w:asciiTheme="majorHAnsi" w:hAnsiTheme="majorHAnsi"/>
          <w:sz w:val="22"/>
          <w:szCs w:val="22"/>
        </w:rPr>
      </w:pPr>
    </w:p>
    <w:p w:rsidR="00561279" w:rsidRPr="00561279" w:rsidRDefault="00561279" w:rsidP="00561279">
      <w:pPr>
        <w:ind w:left="567"/>
        <w:jc w:val="both"/>
        <w:rPr>
          <w:rFonts w:asciiTheme="majorHAnsi" w:hAnsiTheme="majorHAnsi"/>
          <w:sz w:val="22"/>
          <w:szCs w:val="22"/>
        </w:rPr>
      </w:pPr>
      <w:r w:rsidRPr="00561279">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561279" w:rsidRPr="00561279" w:rsidTr="00561279">
        <w:tc>
          <w:tcPr>
            <w:tcW w:w="296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61279" w:rsidRPr="00561279" w:rsidRDefault="00561279" w:rsidP="00144AAD">
            <w:pPr>
              <w:tabs>
                <w:tab w:val="left" w:pos="14175"/>
              </w:tabs>
              <w:ind w:right="56"/>
              <w:jc w:val="center"/>
              <w:rPr>
                <w:rFonts w:asciiTheme="majorHAnsi" w:hAnsiTheme="majorHAnsi"/>
                <w:color w:val="000000"/>
                <w:sz w:val="22"/>
                <w:szCs w:val="22"/>
              </w:rPr>
            </w:pPr>
            <w:r w:rsidRPr="00561279">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61279" w:rsidRPr="00561279" w:rsidRDefault="00561279" w:rsidP="00144AAD">
            <w:pPr>
              <w:tabs>
                <w:tab w:val="left" w:pos="14175"/>
              </w:tabs>
              <w:ind w:left="-14"/>
              <w:jc w:val="center"/>
              <w:rPr>
                <w:rFonts w:asciiTheme="majorHAnsi" w:hAnsiTheme="majorHAnsi"/>
                <w:b/>
                <w:color w:val="000000"/>
                <w:sz w:val="22"/>
                <w:szCs w:val="22"/>
              </w:rPr>
            </w:pPr>
            <w:r w:rsidRPr="00561279">
              <w:rPr>
                <w:rFonts w:asciiTheme="majorHAnsi" w:hAnsiTheme="majorHAnsi"/>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61279" w:rsidRPr="00561279" w:rsidRDefault="00561279" w:rsidP="00144AAD">
            <w:pPr>
              <w:tabs>
                <w:tab w:val="left" w:pos="14175"/>
              </w:tabs>
              <w:ind w:right="-5"/>
              <w:jc w:val="center"/>
              <w:rPr>
                <w:rFonts w:asciiTheme="majorHAnsi" w:hAnsiTheme="majorHAnsi"/>
                <w:b/>
                <w:color w:val="000000"/>
                <w:sz w:val="22"/>
                <w:szCs w:val="22"/>
              </w:rPr>
            </w:pPr>
            <w:r w:rsidRPr="00561279">
              <w:rPr>
                <w:rFonts w:asciiTheme="majorHAnsi" w:hAnsiTheme="majorHAnsi"/>
                <w:b/>
                <w:color w:val="000000"/>
                <w:sz w:val="22"/>
                <w:szCs w:val="22"/>
              </w:rPr>
              <w:t>Lyginamasis svoris ekonominio naudingumo įvertinime</w:t>
            </w:r>
          </w:p>
        </w:tc>
      </w:tr>
      <w:tr w:rsidR="00561279" w:rsidRPr="00561279" w:rsidTr="00561279">
        <w:tc>
          <w:tcPr>
            <w:tcW w:w="3605"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61279" w:rsidRPr="00561279" w:rsidRDefault="00561279" w:rsidP="00144AAD">
            <w:pPr>
              <w:tabs>
                <w:tab w:val="left" w:pos="14175"/>
              </w:tabs>
              <w:ind w:right="-92"/>
              <w:rPr>
                <w:rFonts w:asciiTheme="majorHAnsi" w:hAnsiTheme="majorHAnsi"/>
                <w:color w:val="000000"/>
                <w:sz w:val="22"/>
                <w:szCs w:val="22"/>
              </w:rPr>
            </w:pPr>
            <w:r w:rsidRPr="00561279">
              <w:rPr>
                <w:rFonts w:asciiTheme="majorHAnsi" w:hAnsiTheme="majorHAnsi"/>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561279" w:rsidRPr="00561279" w:rsidRDefault="00561279" w:rsidP="00144AAD">
            <w:pPr>
              <w:tabs>
                <w:tab w:val="left" w:pos="14175"/>
              </w:tabs>
              <w:ind w:right="-92"/>
              <w:jc w:val="center"/>
              <w:rPr>
                <w:rFonts w:asciiTheme="majorHAnsi" w:hAnsiTheme="majorHAnsi"/>
                <w:color w:val="000000"/>
                <w:sz w:val="22"/>
                <w:szCs w:val="22"/>
              </w:rPr>
            </w:pPr>
            <w:r w:rsidRPr="00561279">
              <w:rPr>
                <w:rFonts w:asciiTheme="majorHAnsi" w:hAnsiTheme="majorHAnsi"/>
                <w:b/>
                <w:color w:val="000000"/>
                <w:sz w:val="22"/>
                <w:szCs w:val="22"/>
              </w:rPr>
              <w:t>X = 70</w:t>
            </w:r>
          </w:p>
        </w:tc>
      </w:tr>
      <w:tr w:rsidR="00561279" w:rsidRPr="00561279" w:rsidTr="00561279">
        <w:tc>
          <w:tcPr>
            <w:tcW w:w="3605"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561279" w:rsidRPr="00561279" w:rsidRDefault="00561279" w:rsidP="00144AAD">
            <w:pPr>
              <w:tabs>
                <w:tab w:val="left" w:pos="14175"/>
              </w:tabs>
              <w:ind w:right="-92"/>
              <w:rPr>
                <w:rFonts w:asciiTheme="majorHAnsi" w:hAnsiTheme="majorHAnsi"/>
                <w:b/>
                <w:color w:val="000000"/>
                <w:sz w:val="22"/>
                <w:szCs w:val="22"/>
              </w:rPr>
            </w:pPr>
            <w:r w:rsidRPr="00561279">
              <w:rPr>
                <w:rFonts w:asciiTheme="majorHAnsi" w:hAnsiTheme="majorHAnsi"/>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561279" w:rsidRPr="00561279" w:rsidRDefault="00561279" w:rsidP="00144AAD">
            <w:pPr>
              <w:tabs>
                <w:tab w:val="left" w:pos="14175"/>
              </w:tabs>
              <w:ind w:right="-92"/>
              <w:jc w:val="center"/>
              <w:rPr>
                <w:rFonts w:asciiTheme="majorHAnsi" w:hAnsiTheme="majorHAnsi"/>
                <w:color w:val="000000"/>
                <w:sz w:val="22"/>
                <w:szCs w:val="22"/>
              </w:rPr>
            </w:pPr>
            <w:r w:rsidRPr="00561279">
              <w:rPr>
                <w:rFonts w:asciiTheme="majorHAnsi" w:hAnsiTheme="majorHAnsi"/>
                <w:b/>
                <w:color w:val="000000"/>
                <w:sz w:val="22"/>
                <w:szCs w:val="22"/>
              </w:rPr>
              <w:t>Y = 30</w:t>
            </w:r>
          </w:p>
        </w:tc>
      </w:tr>
      <w:tr w:rsidR="00561279" w:rsidRPr="00561279" w:rsidTr="00144AAD">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61279" w:rsidRPr="00561279" w:rsidRDefault="00561279" w:rsidP="00144AAD">
            <w:pPr>
              <w:tabs>
                <w:tab w:val="left" w:pos="14175"/>
              </w:tabs>
              <w:ind w:left="-112" w:right="-92"/>
              <w:jc w:val="center"/>
              <w:rPr>
                <w:rFonts w:asciiTheme="majorHAnsi" w:hAnsiTheme="majorHAnsi"/>
                <w:b/>
                <w:color w:val="000000"/>
                <w:sz w:val="22"/>
                <w:szCs w:val="22"/>
              </w:rPr>
            </w:pPr>
            <w:r w:rsidRPr="00561279">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1279" w:rsidRPr="00561279" w:rsidRDefault="00561279" w:rsidP="00144AAD">
            <w:pPr>
              <w:tabs>
                <w:tab w:val="left" w:pos="14175"/>
              </w:tabs>
              <w:jc w:val="center"/>
              <w:rPr>
                <w:rFonts w:asciiTheme="majorHAnsi" w:hAnsiTheme="majorHAnsi"/>
                <w:b/>
                <w:color w:val="000000"/>
                <w:sz w:val="22"/>
                <w:szCs w:val="22"/>
              </w:rPr>
            </w:pPr>
            <w:r w:rsidRPr="00561279">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1279" w:rsidRPr="00561279" w:rsidRDefault="00561279" w:rsidP="00144AAD">
            <w:pPr>
              <w:tabs>
                <w:tab w:val="left" w:pos="14175"/>
              </w:tabs>
              <w:ind w:right="-85"/>
              <w:jc w:val="center"/>
              <w:rPr>
                <w:rFonts w:asciiTheme="majorHAnsi" w:hAnsiTheme="majorHAnsi"/>
                <w:b/>
                <w:bCs/>
                <w:color w:val="000000"/>
                <w:sz w:val="22"/>
                <w:szCs w:val="22"/>
              </w:rPr>
            </w:pPr>
            <w:r w:rsidRPr="00561279">
              <w:rPr>
                <w:rFonts w:asciiTheme="majorHAnsi" w:hAnsiTheme="majorHAnsi"/>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ind w:right="-92"/>
              <w:rPr>
                <w:rFonts w:asciiTheme="majorHAnsi" w:hAnsiTheme="majorHAnsi"/>
                <w:b/>
                <w:color w:val="000000"/>
                <w:sz w:val="22"/>
                <w:szCs w:val="22"/>
              </w:rPr>
            </w:pPr>
          </w:p>
        </w:tc>
      </w:tr>
      <w:tr w:rsidR="00561279" w:rsidRPr="00561279" w:rsidTr="00144AAD">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ind w:left="-112" w:right="-91"/>
              <w:jc w:val="center"/>
              <w:rPr>
                <w:rFonts w:asciiTheme="majorHAnsi" w:hAnsiTheme="majorHAnsi"/>
                <w:color w:val="000000"/>
                <w:sz w:val="22"/>
                <w:szCs w:val="22"/>
              </w:rPr>
            </w:pPr>
            <w:r w:rsidRPr="00561279">
              <w:rPr>
                <w:rFonts w:asciiTheme="majorHAnsi" w:hAnsiTheme="majorHAnsi"/>
                <w:color w:val="000000"/>
                <w:sz w:val="22"/>
                <w:szCs w:val="22"/>
              </w:rPr>
              <w:t>T</w:t>
            </w:r>
            <w:r w:rsidRPr="00561279">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ind w:right="-86"/>
              <w:rPr>
                <w:rFonts w:asciiTheme="majorHAnsi" w:hAnsiTheme="majorHAnsi"/>
                <w:sz w:val="22"/>
                <w:szCs w:val="22"/>
                <w:lang w:bidi="lt-LT"/>
              </w:rPr>
            </w:pPr>
            <w:r w:rsidRPr="00561279">
              <w:rPr>
                <w:rFonts w:asciiTheme="majorHAnsi" w:hAnsiTheme="majorHAnsi"/>
                <w:sz w:val="22"/>
                <w:szCs w:val="22"/>
                <w:lang w:bidi="lt-LT"/>
              </w:rPr>
              <w:t xml:space="preserve">Įrangai suteikiama ilgesnė negu 24 mėn. garantija. </w:t>
            </w:r>
          </w:p>
          <w:p w:rsidR="00561279" w:rsidRPr="00561279" w:rsidRDefault="00561279" w:rsidP="00144AAD">
            <w:pPr>
              <w:tabs>
                <w:tab w:val="left" w:pos="14175"/>
              </w:tabs>
              <w:ind w:right="-86"/>
              <w:rPr>
                <w:rFonts w:asciiTheme="majorHAnsi" w:hAnsiTheme="majorHAnsi"/>
                <w:sz w:val="22"/>
                <w:szCs w:val="22"/>
                <w:lang w:bidi="lt-LT"/>
              </w:rPr>
            </w:pPr>
          </w:p>
          <w:p w:rsidR="00561279" w:rsidRPr="00561279" w:rsidRDefault="00561279" w:rsidP="00144AAD">
            <w:pPr>
              <w:tabs>
                <w:tab w:val="left" w:pos="14175"/>
              </w:tabs>
              <w:ind w:right="55"/>
              <w:rPr>
                <w:rFonts w:asciiTheme="majorHAnsi" w:hAnsiTheme="majorHAnsi"/>
                <w:i/>
                <w:sz w:val="22"/>
                <w:szCs w:val="22"/>
              </w:rPr>
            </w:pPr>
            <w:r w:rsidRPr="00561279">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b/>
                <w:sz w:val="22"/>
                <w:szCs w:val="22"/>
              </w:rPr>
            </w:pPr>
            <w:r w:rsidRPr="00561279">
              <w:rPr>
                <w:rFonts w:asciiTheme="majorHAnsi" w:hAnsiTheme="majorHAnsi"/>
                <w:sz w:val="22"/>
                <w:szCs w:val="22"/>
              </w:rPr>
              <w:lastRenderedPageBreak/>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561279" w:rsidRPr="00561279" w:rsidRDefault="00561279" w:rsidP="00144AAD">
            <w:pPr>
              <w:tabs>
                <w:tab w:val="left" w:pos="14175"/>
              </w:tabs>
              <w:jc w:val="center"/>
              <w:rPr>
                <w:rFonts w:asciiTheme="majorHAnsi" w:hAnsiTheme="majorHAnsi"/>
                <w:b/>
                <w:sz w:val="22"/>
                <w:szCs w:val="22"/>
              </w:rPr>
            </w:pPr>
            <w:r w:rsidRPr="00561279">
              <w:rPr>
                <w:rFonts w:asciiTheme="majorHAnsi" w:hAnsiTheme="majorHAnsi"/>
                <w:sz w:val="22"/>
                <w:szCs w:val="22"/>
              </w:rPr>
              <w:t>L</w:t>
            </w:r>
            <w:r w:rsidRPr="00561279">
              <w:rPr>
                <w:rFonts w:asciiTheme="majorHAnsi" w:hAnsiTheme="majorHAnsi"/>
                <w:sz w:val="22"/>
                <w:szCs w:val="22"/>
                <w:vertAlign w:val="subscript"/>
              </w:rPr>
              <w:t>1</w:t>
            </w:r>
            <w:r w:rsidRPr="00561279">
              <w:rPr>
                <w:rFonts w:asciiTheme="majorHAnsi" w:hAnsiTheme="majorHAnsi"/>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jc w:val="center"/>
              <w:rPr>
                <w:rFonts w:asciiTheme="majorHAnsi" w:eastAsia="Times New Roman" w:hAnsiTheme="majorHAnsi"/>
                <w:color w:val="808080" w:themeColor="background1" w:themeShade="80"/>
                <w:sz w:val="22"/>
                <w:szCs w:val="22"/>
              </w:rPr>
            </w:pPr>
            <w:r w:rsidRPr="00561279">
              <w:rPr>
                <w:rFonts w:asciiTheme="majorHAnsi" w:hAnsiTheme="majorHAnsi"/>
                <w:color w:val="808080" w:themeColor="background1" w:themeShade="80"/>
                <w:sz w:val="22"/>
                <w:szCs w:val="22"/>
              </w:rPr>
              <w:t>Įrašyti suteikiamą garantinį terminą (mėn.)</w:t>
            </w:r>
          </w:p>
        </w:tc>
      </w:tr>
      <w:tr w:rsidR="00561279" w:rsidRPr="00561279" w:rsidTr="00144AAD">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ind w:left="-112" w:right="-92"/>
              <w:jc w:val="center"/>
              <w:rPr>
                <w:rFonts w:asciiTheme="majorHAnsi" w:hAnsiTheme="majorHAnsi"/>
                <w:color w:val="000000"/>
                <w:sz w:val="22"/>
                <w:szCs w:val="22"/>
              </w:rPr>
            </w:pPr>
            <w:r w:rsidRPr="00561279">
              <w:rPr>
                <w:rFonts w:asciiTheme="majorHAnsi" w:hAnsiTheme="majorHAnsi"/>
                <w:color w:val="000000"/>
                <w:sz w:val="22"/>
                <w:szCs w:val="22"/>
              </w:rPr>
              <w:t>T</w:t>
            </w:r>
            <w:r w:rsidRPr="00561279">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ind w:right="-86"/>
              <w:rPr>
                <w:rFonts w:asciiTheme="majorHAnsi" w:hAnsiTheme="majorHAnsi"/>
                <w:sz w:val="22"/>
                <w:szCs w:val="22"/>
              </w:rPr>
            </w:pPr>
            <w:r w:rsidRPr="00561279">
              <w:rPr>
                <w:rFonts w:asciiTheme="majorHAnsi" w:hAnsiTheme="majorHAnsi"/>
                <w:sz w:val="22"/>
                <w:szCs w:val="22"/>
              </w:rPr>
              <w:t>Yra prospektyvinis skenavimo sinchronizavimas su paciento kvėpavimu.</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color w:val="000000"/>
                <w:sz w:val="22"/>
                <w:szCs w:val="22"/>
              </w:rPr>
            </w:pPr>
            <w:r w:rsidRPr="00561279">
              <w:rPr>
                <w:rFonts w:asciiTheme="majorHAnsi" w:hAnsiTheme="majorHAnsi"/>
                <w:sz w:val="22"/>
                <w:szCs w:val="22"/>
              </w:rPr>
              <w:t>Statinis:</w:t>
            </w:r>
            <w:r w:rsidRPr="00561279">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sz w:val="22"/>
                <w:szCs w:val="22"/>
              </w:rPr>
            </w:pPr>
            <w:r w:rsidRPr="00561279">
              <w:rPr>
                <w:rFonts w:asciiTheme="majorHAnsi" w:hAnsiTheme="majorHAnsi"/>
                <w:sz w:val="22"/>
                <w:szCs w:val="22"/>
              </w:rPr>
              <w:t>L</w:t>
            </w:r>
            <w:r w:rsidRPr="00561279">
              <w:rPr>
                <w:rFonts w:asciiTheme="majorHAnsi" w:hAnsiTheme="majorHAnsi"/>
                <w:sz w:val="22"/>
                <w:szCs w:val="22"/>
                <w:vertAlign w:val="subscript"/>
              </w:rPr>
              <w:t>2</w:t>
            </w:r>
            <w:r w:rsidRPr="00561279">
              <w:rPr>
                <w:rFonts w:asciiTheme="majorHAnsi" w:hAnsiTheme="majorHAnsi"/>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color w:val="808080" w:themeColor="background1" w:themeShade="80"/>
                <w:sz w:val="22"/>
                <w:szCs w:val="22"/>
              </w:rPr>
            </w:pPr>
            <w:r w:rsidRPr="00561279">
              <w:rPr>
                <w:rFonts w:asciiTheme="majorHAnsi" w:hAnsiTheme="majorHAnsi"/>
                <w:color w:val="808080" w:themeColor="background1" w:themeShade="80"/>
                <w:sz w:val="22"/>
                <w:szCs w:val="22"/>
              </w:rPr>
              <w:t xml:space="preserve">Įrašyti parametro vertę: </w:t>
            </w:r>
            <w:r w:rsidRPr="00561279">
              <w:rPr>
                <w:rFonts w:asciiTheme="majorHAnsi" w:hAnsiTheme="majorHAnsi"/>
                <w:b/>
                <w:bCs/>
                <w:color w:val="808080" w:themeColor="background1" w:themeShade="80"/>
                <w:sz w:val="22"/>
                <w:szCs w:val="22"/>
              </w:rPr>
              <w:t>yra / nėra</w:t>
            </w:r>
          </w:p>
        </w:tc>
      </w:tr>
      <w:tr w:rsidR="00561279" w:rsidRPr="00561279" w:rsidTr="00144AAD">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ind w:left="-112" w:right="-92"/>
              <w:jc w:val="center"/>
              <w:rPr>
                <w:rFonts w:asciiTheme="majorHAnsi" w:hAnsiTheme="majorHAnsi"/>
                <w:color w:val="000000"/>
                <w:sz w:val="22"/>
                <w:szCs w:val="22"/>
              </w:rPr>
            </w:pPr>
            <w:r w:rsidRPr="00561279">
              <w:rPr>
                <w:rFonts w:asciiTheme="majorHAnsi" w:hAnsiTheme="majorHAnsi"/>
                <w:color w:val="000000"/>
                <w:sz w:val="22"/>
                <w:szCs w:val="22"/>
              </w:rPr>
              <w:t>T</w:t>
            </w:r>
            <w:r w:rsidRPr="00561279">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pStyle w:val="prastasis1"/>
              <w:tabs>
                <w:tab w:val="left" w:pos="14175"/>
              </w:tabs>
              <w:spacing w:after="0" w:line="240" w:lineRule="auto"/>
              <w:rPr>
                <w:rFonts w:asciiTheme="majorHAnsi" w:hAnsiTheme="majorHAnsi" w:cs="Times New Roman"/>
                <w:sz w:val="22"/>
                <w:szCs w:val="22"/>
                <w:lang w:val="lt-LT"/>
              </w:rPr>
            </w:pPr>
            <w:r w:rsidRPr="00561279">
              <w:rPr>
                <w:rFonts w:asciiTheme="majorHAnsi" w:hAnsiTheme="majorHAnsi"/>
                <w:sz w:val="22"/>
                <w:szCs w:val="22"/>
                <w:lang w:val="lt-LT"/>
              </w:rPr>
              <w:t>Siūloma kompiuterinės tomografijos sistema radioterapijos planavimui turi turėti 4D sekos skenavimo režimą, kuris realiojo laiko metu automatiškai prisitaiko prie paciento kvėpavimo dinamikos, įskaitant nereguliarų ar lėtą kvėpavimą. Vaizdų rekonstrukcija turi būti adaptyvi pagal kvėpavimo amplitudės analizę, leidžianti sumažinti judesio artefaktus iki 85%. Režimas turi būti tinkamas išplėstiems skenavimo laukams, tokiems kaip plaučių, kepenų ir stemplės sritys.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color w:val="000000"/>
                <w:sz w:val="22"/>
                <w:szCs w:val="22"/>
              </w:rPr>
            </w:pPr>
            <w:r w:rsidRPr="00561279">
              <w:rPr>
                <w:rFonts w:asciiTheme="majorHAnsi" w:hAnsiTheme="majorHAnsi"/>
                <w:sz w:val="22"/>
                <w:szCs w:val="22"/>
              </w:rPr>
              <w:t>Statinis:</w:t>
            </w:r>
            <w:r w:rsidRPr="00561279">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sz w:val="22"/>
                <w:szCs w:val="22"/>
              </w:rPr>
            </w:pPr>
            <w:r w:rsidRPr="00561279">
              <w:rPr>
                <w:rFonts w:asciiTheme="majorHAnsi" w:hAnsiTheme="majorHAnsi"/>
                <w:sz w:val="22"/>
                <w:szCs w:val="22"/>
              </w:rPr>
              <w:t>L</w:t>
            </w:r>
            <w:r w:rsidRPr="00561279">
              <w:rPr>
                <w:rFonts w:asciiTheme="majorHAnsi" w:hAnsiTheme="majorHAnsi"/>
                <w:sz w:val="22"/>
                <w:szCs w:val="22"/>
                <w:vertAlign w:val="subscript"/>
              </w:rPr>
              <w:t>3</w:t>
            </w:r>
            <w:r w:rsidRPr="00561279">
              <w:rPr>
                <w:rFonts w:asciiTheme="majorHAnsi" w:hAnsiTheme="majorHAnsi"/>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1279" w:rsidRPr="00561279" w:rsidRDefault="00561279" w:rsidP="00144AAD">
            <w:pPr>
              <w:tabs>
                <w:tab w:val="left" w:pos="14175"/>
              </w:tabs>
              <w:jc w:val="center"/>
              <w:rPr>
                <w:rFonts w:asciiTheme="majorHAnsi" w:hAnsiTheme="majorHAnsi"/>
                <w:color w:val="808080" w:themeColor="background1" w:themeShade="80"/>
                <w:sz w:val="22"/>
                <w:szCs w:val="22"/>
              </w:rPr>
            </w:pPr>
            <w:r w:rsidRPr="00561279">
              <w:rPr>
                <w:rFonts w:asciiTheme="majorHAnsi" w:hAnsiTheme="majorHAnsi"/>
                <w:color w:val="808080" w:themeColor="background1" w:themeShade="80"/>
                <w:sz w:val="22"/>
                <w:szCs w:val="22"/>
              </w:rPr>
              <w:t xml:space="preserve">Įrašyti parametro vertę: </w:t>
            </w:r>
            <w:r w:rsidRPr="00561279">
              <w:rPr>
                <w:rFonts w:asciiTheme="majorHAnsi" w:hAnsiTheme="majorHAnsi"/>
                <w:b/>
                <w:bCs/>
                <w:color w:val="808080" w:themeColor="background1" w:themeShade="80"/>
                <w:sz w:val="22"/>
                <w:szCs w:val="22"/>
              </w:rPr>
              <w:t>yra / nėra</w:t>
            </w:r>
          </w:p>
        </w:tc>
      </w:tr>
    </w:tbl>
    <w:p w:rsidR="00561279" w:rsidRPr="00561279" w:rsidRDefault="00561279" w:rsidP="00561279">
      <w:pPr>
        <w:rPr>
          <w:rFonts w:asciiTheme="majorHAnsi" w:hAnsiTheme="majorHAnsi"/>
          <w:sz w:val="22"/>
          <w:szCs w:val="22"/>
        </w:rPr>
      </w:pPr>
    </w:p>
    <w:p w:rsidR="00561279" w:rsidRPr="00561279" w:rsidRDefault="00561279" w:rsidP="00561279">
      <w:pPr>
        <w:jc w:val="both"/>
        <w:rPr>
          <w:rFonts w:asciiTheme="majorHAnsi" w:hAnsiTheme="majorHAnsi"/>
          <w:sz w:val="22"/>
          <w:szCs w:val="22"/>
        </w:rPr>
      </w:pPr>
    </w:p>
    <w:p w:rsidR="00561279" w:rsidRPr="00561279" w:rsidRDefault="00561279" w:rsidP="00561279">
      <w:pPr>
        <w:shd w:val="clear" w:color="auto" w:fill="FFFFFF"/>
        <w:ind w:firstLine="567"/>
        <w:jc w:val="both"/>
        <w:rPr>
          <w:rFonts w:asciiTheme="majorHAnsi" w:hAnsiTheme="majorHAnsi"/>
          <w:sz w:val="22"/>
          <w:szCs w:val="22"/>
        </w:rPr>
      </w:pPr>
      <w:r w:rsidRPr="00561279">
        <w:rPr>
          <w:rFonts w:asciiTheme="majorHAnsi" w:hAnsiTheme="majorHAnsi"/>
          <w:sz w:val="22"/>
          <w:szCs w:val="22"/>
        </w:rPr>
        <w:t>Pasiūlymo ekonominio naudingumo (kainos ir kokybės santykio) apskaičiavimo tvarka (formulė) yra pateikiama žemiau:</w:t>
      </w:r>
    </w:p>
    <w:p w:rsidR="00561279" w:rsidRPr="00561279" w:rsidRDefault="00561279" w:rsidP="003575AA">
      <w:pPr>
        <w:pStyle w:val="Sraopastraipa"/>
        <w:numPr>
          <w:ilvl w:val="1"/>
          <w:numId w:val="17"/>
        </w:numPr>
        <w:pBdr>
          <w:top w:val="nil"/>
          <w:left w:val="nil"/>
          <w:bottom w:val="nil"/>
          <w:right w:val="nil"/>
          <w:between w:val="nil"/>
          <w:bar w:val="nil"/>
        </w:pBdr>
        <w:suppressAutoHyphens/>
        <w:spacing w:after="0" w:line="240" w:lineRule="auto"/>
        <w:ind w:left="0" w:firstLine="561"/>
        <w:jc w:val="both"/>
        <w:rPr>
          <w:rFonts w:asciiTheme="majorHAnsi" w:eastAsia="Arial Unicode MS" w:hAnsiTheme="majorHAnsi"/>
          <w:bdr w:val="nil"/>
        </w:rPr>
      </w:pPr>
      <w:r w:rsidRPr="00561279">
        <w:rPr>
          <w:rFonts w:asciiTheme="majorHAnsi" w:hAnsiTheme="majorHAnsi"/>
        </w:rPr>
        <w:t>Pasiūlymo ekonominis naudingumas (E) apskaičiuojamas sudedant tiekėjo pasiūlymo kainos (K) ir techninių pranašumu (T) balus:</w:t>
      </w:r>
    </w:p>
    <w:p w:rsidR="00561279" w:rsidRPr="00561279" w:rsidRDefault="00561279" w:rsidP="003575AA">
      <w:pPr>
        <w:tabs>
          <w:tab w:val="left" w:pos="851"/>
        </w:tabs>
        <w:suppressAutoHyphens/>
        <w:rPr>
          <w:rFonts w:asciiTheme="majorHAnsi" w:hAnsiTheme="majorHAnsi"/>
          <w:sz w:val="22"/>
          <w:szCs w:val="22"/>
        </w:rPr>
      </w:pPr>
    </w:p>
    <w:p w:rsidR="00561279" w:rsidRPr="00561279" w:rsidRDefault="00561279" w:rsidP="003575AA">
      <w:pPr>
        <w:shd w:val="clear" w:color="auto" w:fill="FFFFFF"/>
        <w:jc w:val="center"/>
        <w:rPr>
          <w:rFonts w:asciiTheme="majorHAnsi" w:hAnsiTheme="majorHAnsi"/>
          <w:i/>
          <w:iCs/>
          <w:sz w:val="22"/>
          <w:szCs w:val="22"/>
        </w:rPr>
      </w:pPr>
      <w:r w:rsidRPr="00561279">
        <w:rPr>
          <w:rFonts w:asciiTheme="majorHAnsi" w:hAnsiTheme="majorHAnsi"/>
          <w:i/>
          <w:iCs/>
          <w:sz w:val="22"/>
          <w:szCs w:val="22"/>
        </w:rPr>
        <w:t xml:space="preserve">E </w:t>
      </w:r>
      <w:r w:rsidRPr="00561279">
        <w:rPr>
          <w:rFonts w:asciiTheme="majorHAnsi" w:hAnsiTheme="majorHAnsi"/>
          <w:sz w:val="22"/>
          <w:szCs w:val="22"/>
        </w:rPr>
        <w:t xml:space="preserve">= </w:t>
      </w:r>
      <w:r w:rsidRPr="00561279">
        <w:rPr>
          <w:rFonts w:asciiTheme="majorHAnsi" w:hAnsiTheme="majorHAnsi"/>
          <w:i/>
          <w:sz w:val="22"/>
          <w:szCs w:val="22"/>
        </w:rPr>
        <w:t>K</w:t>
      </w:r>
      <w:r w:rsidRPr="00561279">
        <w:rPr>
          <w:rFonts w:asciiTheme="majorHAnsi" w:hAnsiTheme="majorHAnsi"/>
          <w:i/>
          <w:iCs/>
          <w:sz w:val="22"/>
          <w:szCs w:val="22"/>
        </w:rPr>
        <w:t>+ T.</w:t>
      </w:r>
    </w:p>
    <w:p w:rsidR="00561279" w:rsidRPr="00561279" w:rsidRDefault="00561279" w:rsidP="003575AA">
      <w:pPr>
        <w:shd w:val="clear" w:color="auto" w:fill="FFFFFF"/>
        <w:ind w:firstLine="561"/>
        <w:jc w:val="center"/>
        <w:rPr>
          <w:rFonts w:asciiTheme="majorHAnsi" w:hAnsiTheme="majorHAnsi"/>
          <w:sz w:val="22"/>
          <w:szCs w:val="22"/>
        </w:rPr>
      </w:pPr>
    </w:p>
    <w:p w:rsidR="00561279" w:rsidRPr="00561279" w:rsidRDefault="00561279" w:rsidP="003575AA">
      <w:pPr>
        <w:pStyle w:val="Sraopastraipa"/>
        <w:numPr>
          <w:ilvl w:val="1"/>
          <w:numId w:val="17"/>
        </w:numPr>
        <w:pBdr>
          <w:top w:val="nil"/>
          <w:left w:val="nil"/>
          <w:bottom w:val="nil"/>
          <w:right w:val="nil"/>
          <w:between w:val="nil"/>
          <w:bar w:val="nil"/>
        </w:pBdr>
        <w:tabs>
          <w:tab w:val="left" w:pos="851"/>
        </w:tabs>
        <w:suppressAutoHyphens/>
        <w:spacing w:after="0" w:line="240" w:lineRule="auto"/>
        <w:ind w:left="0" w:firstLine="567"/>
        <w:jc w:val="both"/>
        <w:rPr>
          <w:rFonts w:asciiTheme="majorHAnsi" w:eastAsia="Arial Unicode MS" w:hAnsiTheme="majorHAnsi"/>
          <w:bdr w:val="nil"/>
        </w:rPr>
      </w:pPr>
      <w:r w:rsidRPr="00561279">
        <w:rPr>
          <w:rFonts w:asciiTheme="majorHAnsi" w:hAnsiTheme="majorHAnsi"/>
        </w:rPr>
        <w:t>Pasiūlymo kainos (K) balai apskaičiuojami mažiausios pasiūlytos kainos (K</w:t>
      </w:r>
      <w:r w:rsidRPr="00561279">
        <w:rPr>
          <w:rFonts w:asciiTheme="majorHAnsi" w:hAnsiTheme="majorHAnsi"/>
          <w:vertAlign w:val="subscript"/>
        </w:rPr>
        <w:t>min</w:t>
      </w:r>
      <w:r w:rsidRPr="00561279">
        <w:rPr>
          <w:rFonts w:asciiTheme="majorHAnsi" w:hAnsiTheme="majorHAnsi"/>
        </w:rPr>
        <w:t>) ir vertinamo pasiūlymo kainos (K</w:t>
      </w:r>
      <w:r w:rsidRPr="00561279">
        <w:rPr>
          <w:rFonts w:asciiTheme="majorHAnsi" w:hAnsiTheme="majorHAnsi"/>
          <w:vertAlign w:val="subscript"/>
        </w:rPr>
        <w:t>v</w:t>
      </w:r>
      <w:r w:rsidRPr="00561279">
        <w:rPr>
          <w:rFonts w:asciiTheme="majorHAnsi" w:hAnsiTheme="majorHAnsi"/>
        </w:rPr>
        <w:t>) santykį padauginant iš kainos lyginamojo svorio (X):</w:t>
      </w:r>
    </w:p>
    <w:p w:rsidR="00561279" w:rsidRPr="00561279" w:rsidRDefault="00561279" w:rsidP="003575AA">
      <w:pPr>
        <w:tabs>
          <w:tab w:val="left" w:pos="851"/>
        </w:tabs>
        <w:suppressAutoHyphens/>
        <w:ind w:firstLine="561"/>
        <w:rPr>
          <w:rFonts w:asciiTheme="majorHAnsi" w:hAnsiTheme="majorHAnsi"/>
          <w:sz w:val="22"/>
          <w:szCs w:val="22"/>
        </w:rPr>
      </w:pPr>
    </w:p>
    <w:p w:rsidR="00561279" w:rsidRPr="00561279" w:rsidRDefault="00561279" w:rsidP="003575AA">
      <w:pPr>
        <w:shd w:val="clear" w:color="auto" w:fill="FFFFFF"/>
        <w:ind w:firstLine="561"/>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561279" w:rsidRPr="00561279" w:rsidRDefault="00561279" w:rsidP="003575AA">
      <w:pPr>
        <w:shd w:val="clear" w:color="auto" w:fill="FFFFFF"/>
        <w:ind w:firstLine="561"/>
        <w:jc w:val="center"/>
        <w:rPr>
          <w:rFonts w:asciiTheme="majorHAnsi" w:eastAsiaTheme="minorEastAsia" w:hAnsiTheme="majorHAnsi"/>
          <w:sz w:val="22"/>
          <w:szCs w:val="22"/>
        </w:rPr>
      </w:pPr>
    </w:p>
    <w:p w:rsidR="00561279" w:rsidRPr="00561279" w:rsidRDefault="00561279" w:rsidP="003575AA">
      <w:pPr>
        <w:pStyle w:val="Sraopastraipa"/>
        <w:numPr>
          <w:ilvl w:val="1"/>
          <w:numId w:val="17"/>
        </w:numPr>
        <w:pBdr>
          <w:top w:val="nil"/>
          <w:left w:val="nil"/>
          <w:bottom w:val="nil"/>
          <w:right w:val="nil"/>
          <w:between w:val="nil"/>
          <w:bar w:val="nil"/>
        </w:pBdr>
        <w:tabs>
          <w:tab w:val="left" w:pos="993"/>
        </w:tabs>
        <w:suppressAutoHyphens/>
        <w:spacing w:after="0" w:line="240" w:lineRule="auto"/>
        <w:ind w:left="0" w:firstLine="561"/>
        <w:jc w:val="both"/>
        <w:rPr>
          <w:rFonts w:asciiTheme="majorHAnsi" w:eastAsia="Arial Unicode MS" w:hAnsiTheme="majorHAnsi"/>
          <w:bdr w:val="nil"/>
        </w:rPr>
      </w:pPr>
      <w:r w:rsidRPr="00561279">
        <w:rPr>
          <w:rFonts w:asciiTheme="majorHAnsi" w:eastAsia="Arial Unicode MS" w:hAnsiTheme="majorHAnsi"/>
          <w:bdr w:val="nil"/>
        </w:rPr>
        <w:t>Kadangi siūlomo objekto techniniai pranašumai įvertinami dviem skirtingais vertinimo būdais, todėl parametrų įvertinimas apskaičiuojamas skirtingais metodais:</w:t>
      </w:r>
    </w:p>
    <w:p w:rsidR="00561279" w:rsidRPr="00561279" w:rsidRDefault="00561279" w:rsidP="003575AA">
      <w:pPr>
        <w:pStyle w:val="Sraopastraipa"/>
        <w:numPr>
          <w:ilvl w:val="2"/>
          <w:numId w:val="17"/>
        </w:numPr>
        <w:pBdr>
          <w:top w:val="nil"/>
          <w:left w:val="nil"/>
          <w:bottom w:val="nil"/>
          <w:right w:val="nil"/>
          <w:between w:val="nil"/>
          <w:bar w:val="nil"/>
        </w:pBdr>
        <w:tabs>
          <w:tab w:val="left" w:pos="1276"/>
          <w:tab w:val="left" w:pos="1560"/>
        </w:tabs>
        <w:suppressAutoHyphens/>
        <w:spacing w:after="0" w:line="240" w:lineRule="auto"/>
        <w:ind w:left="0" w:firstLine="561"/>
        <w:jc w:val="both"/>
        <w:rPr>
          <w:rFonts w:asciiTheme="majorHAnsi" w:eastAsia="Arial Unicode MS" w:hAnsiTheme="majorHAnsi"/>
          <w:bdr w:val="nil"/>
        </w:rPr>
      </w:pPr>
      <w:r w:rsidRPr="00561279">
        <w:rPr>
          <w:rFonts w:asciiTheme="majorHAnsi" w:eastAsia="Arial Unicode MS" w:hAnsiTheme="majorHAnsi"/>
          <w:bdr w:val="nil"/>
        </w:rPr>
        <w:t>Siūlomo objekto T</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techninis parametras aprašomas palyginamuoju interpoliaciniu vertinimo būdu, todėl parametro įvertinimas apskaičiuojamas pagal metodiką:</w:t>
      </w:r>
    </w:p>
    <w:p w:rsidR="00561279" w:rsidRPr="00561279" w:rsidRDefault="00561279" w:rsidP="003575AA">
      <w:pPr>
        <w:pStyle w:val="Sraopastraipa"/>
        <w:numPr>
          <w:ilvl w:val="0"/>
          <w:numId w:val="10"/>
        </w:numPr>
        <w:pBdr>
          <w:top w:val="nil"/>
          <w:left w:val="nil"/>
          <w:bottom w:val="nil"/>
          <w:right w:val="nil"/>
          <w:between w:val="nil"/>
          <w:bar w:val="nil"/>
        </w:pBdr>
        <w:tabs>
          <w:tab w:val="left" w:pos="851"/>
        </w:tabs>
        <w:suppressAutoHyphens/>
        <w:spacing w:after="0" w:line="240" w:lineRule="auto"/>
        <w:ind w:left="0" w:firstLine="561"/>
        <w:jc w:val="both"/>
        <w:rPr>
          <w:rFonts w:asciiTheme="majorHAnsi" w:eastAsia="Arial Unicode MS" w:hAnsiTheme="majorHAnsi"/>
          <w:bdr w:val="nil"/>
        </w:rPr>
      </w:pPr>
      <w:r w:rsidRPr="00561279">
        <w:rPr>
          <w:rFonts w:asciiTheme="majorHAnsi" w:eastAsia="Arial Unicode MS" w:hAnsiTheme="majorHAnsi"/>
          <w:bdr w:val="nil"/>
        </w:rPr>
        <w:t>Jei siūlomas objektas turi parametro T</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didžiausią skaitinę vertę (T</w:t>
      </w:r>
      <w:r w:rsidRPr="00561279">
        <w:rPr>
          <w:rFonts w:asciiTheme="majorHAnsi" w:eastAsia="Arial Unicode MS" w:hAnsiTheme="majorHAnsi"/>
          <w:bdr w:val="nil"/>
          <w:vertAlign w:val="subscript"/>
        </w:rPr>
        <w:t>max</w:t>
      </w:r>
      <w:r w:rsidRPr="00561279">
        <w:rPr>
          <w:rFonts w:asciiTheme="majorHAnsi" w:eastAsia="Arial Unicode MS" w:hAnsiTheme="majorHAnsi"/>
          <w:bdr w:val="nil"/>
        </w:rPr>
        <w:t>) gauna maksimalų balų skaičių pagal lyginamąjį svorį: T</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 L</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 0,4. Mažiausią parametrų T</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skaitinę vertę (T</w:t>
      </w:r>
      <w:r w:rsidRPr="00561279">
        <w:rPr>
          <w:rFonts w:asciiTheme="majorHAnsi" w:eastAsia="Arial Unicode MS" w:hAnsiTheme="majorHAnsi"/>
          <w:bdr w:val="nil"/>
          <w:vertAlign w:val="subscript"/>
        </w:rPr>
        <w:t>min</w:t>
      </w:r>
      <w:r w:rsidRPr="00561279">
        <w:rPr>
          <w:rFonts w:asciiTheme="majorHAnsi" w:eastAsia="Arial Unicode MS" w:hAnsiTheme="majorHAnsi"/>
          <w:bdr w:val="nil"/>
        </w:rPr>
        <w:t>) turintis objektas gauna 0 balų: T</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 L</w:t>
      </w:r>
      <w:r w:rsidRPr="00561279">
        <w:rPr>
          <w:rFonts w:asciiTheme="majorHAnsi" w:eastAsia="Arial Unicode MS" w:hAnsiTheme="majorHAnsi"/>
          <w:bdr w:val="nil"/>
          <w:vertAlign w:val="subscript"/>
        </w:rPr>
        <w:t>1</w:t>
      </w:r>
      <w:r w:rsidRPr="00561279">
        <w:rPr>
          <w:rFonts w:asciiTheme="majorHAnsi" w:eastAsia="Arial Unicode MS" w:hAnsiTheme="majorHAnsi"/>
          <w:bdr w:val="nil"/>
        </w:rPr>
        <w:t xml:space="preserve"> = 0. </w:t>
      </w:r>
    </w:p>
    <w:p w:rsidR="00561279" w:rsidRPr="00561279" w:rsidRDefault="00561279" w:rsidP="003575AA">
      <w:pPr>
        <w:pStyle w:val="Sraopastraipa"/>
        <w:numPr>
          <w:ilvl w:val="0"/>
          <w:numId w:val="10"/>
        </w:numPr>
        <w:pBdr>
          <w:top w:val="nil"/>
          <w:left w:val="nil"/>
          <w:bottom w:val="nil"/>
          <w:right w:val="nil"/>
          <w:between w:val="nil"/>
          <w:bar w:val="nil"/>
        </w:pBdr>
        <w:tabs>
          <w:tab w:val="left" w:pos="851"/>
        </w:tabs>
        <w:suppressAutoHyphens/>
        <w:spacing w:after="0" w:line="240" w:lineRule="auto"/>
        <w:ind w:left="0" w:firstLine="561"/>
        <w:jc w:val="both"/>
        <w:rPr>
          <w:rFonts w:asciiTheme="majorHAnsi" w:eastAsia="Arial Unicode MS" w:hAnsiTheme="majorHAnsi"/>
          <w:bdr w:val="nil"/>
        </w:rPr>
      </w:pPr>
      <w:r w:rsidRPr="00561279">
        <w:rPr>
          <w:rFonts w:asciiTheme="majorHAnsi" w:eastAsia="Arial Unicode MS" w:hAnsiTheme="majorHAnsi"/>
          <w:bdr w:val="nil"/>
        </w:rPr>
        <w:t>Visais kitais atvejais vertinamo objekto (T</w:t>
      </w:r>
      <w:r w:rsidRPr="00561279">
        <w:rPr>
          <w:rFonts w:asciiTheme="majorHAnsi" w:eastAsia="Arial Unicode MS" w:hAnsiTheme="majorHAnsi"/>
          <w:bdr w:val="nil"/>
          <w:vertAlign w:val="subscript"/>
        </w:rPr>
        <w:t>v</w:t>
      </w:r>
      <w:r w:rsidRPr="00561279">
        <w:rPr>
          <w:rFonts w:asciiTheme="majorHAnsi" w:eastAsia="Arial Unicode MS" w:hAnsiTheme="majorHAnsi"/>
          <w:bdr w:val="nil"/>
        </w:rPr>
        <w:t>) parametro įvertinimas skaičiuojamas pagal formulę:</w:t>
      </w:r>
    </w:p>
    <w:p w:rsidR="00561279" w:rsidRPr="00561279" w:rsidRDefault="00561279" w:rsidP="003575AA">
      <w:pPr>
        <w:suppressAutoHyphens/>
        <w:ind w:firstLine="561"/>
        <w:jc w:val="both"/>
        <w:rPr>
          <w:rFonts w:asciiTheme="majorHAnsi" w:hAnsiTheme="majorHAnsi"/>
          <w:sz w:val="22"/>
          <w:szCs w:val="22"/>
        </w:rPr>
      </w:pPr>
    </w:p>
    <w:p w:rsidR="00561279" w:rsidRPr="00561279" w:rsidRDefault="00FA37F6" w:rsidP="003575AA">
      <w:pPr>
        <w:suppressAutoHyphens/>
        <w:ind w:firstLine="561"/>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561279" w:rsidRPr="00561279" w:rsidRDefault="00561279" w:rsidP="003575AA">
      <w:pPr>
        <w:suppressAutoHyphens/>
        <w:ind w:firstLine="561"/>
        <w:jc w:val="both"/>
        <w:rPr>
          <w:rFonts w:asciiTheme="majorHAnsi" w:hAnsiTheme="majorHAnsi"/>
          <w:sz w:val="22"/>
          <w:szCs w:val="22"/>
        </w:rPr>
      </w:pPr>
    </w:p>
    <w:p w:rsidR="00561279" w:rsidRPr="00561279" w:rsidRDefault="00561279" w:rsidP="003575AA">
      <w:pPr>
        <w:pStyle w:val="Sraopastraipa"/>
        <w:numPr>
          <w:ilvl w:val="2"/>
          <w:numId w:val="17"/>
        </w:numPr>
        <w:pBdr>
          <w:top w:val="nil"/>
          <w:left w:val="nil"/>
          <w:bottom w:val="nil"/>
          <w:right w:val="nil"/>
          <w:between w:val="nil"/>
          <w:bar w:val="nil"/>
        </w:pBdr>
        <w:tabs>
          <w:tab w:val="left" w:pos="1134"/>
          <w:tab w:val="left" w:pos="1560"/>
        </w:tabs>
        <w:suppressAutoHyphens/>
        <w:spacing w:after="0" w:line="240" w:lineRule="auto"/>
        <w:ind w:left="0" w:firstLine="561"/>
        <w:jc w:val="both"/>
        <w:rPr>
          <w:rFonts w:asciiTheme="majorHAnsi" w:eastAsia="Arial Unicode MS" w:hAnsiTheme="majorHAnsi"/>
          <w:bdr w:val="nil"/>
        </w:rPr>
      </w:pPr>
      <w:r w:rsidRPr="00561279">
        <w:rPr>
          <w:rFonts w:asciiTheme="majorHAnsi" w:hAnsiTheme="majorHAnsi"/>
          <w:color w:val="000000" w:themeColor="text1"/>
          <w:bdr w:val="none" w:sz="0" w:space="0" w:color="auto" w:frame="1"/>
        </w:rPr>
        <w:t>Siūlomo objekto T</w:t>
      </w:r>
      <w:r w:rsidRPr="00561279">
        <w:rPr>
          <w:rFonts w:asciiTheme="majorHAnsi" w:hAnsiTheme="majorHAnsi"/>
          <w:color w:val="000000" w:themeColor="text1"/>
          <w:bdr w:val="none" w:sz="0" w:space="0" w:color="auto" w:frame="1"/>
          <w:vertAlign w:val="subscript"/>
        </w:rPr>
        <w:t>2</w:t>
      </w:r>
      <w:r w:rsidRPr="00561279">
        <w:rPr>
          <w:rFonts w:asciiTheme="majorHAnsi" w:hAnsiTheme="majorHAnsi"/>
          <w:color w:val="000000" w:themeColor="text1"/>
          <w:bdr w:val="none" w:sz="0" w:space="0" w:color="auto" w:frame="1"/>
        </w:rPr>
        <w:t>, T</w:t>
      </w:r>
      <w:r w:rsidRPr="00561279">
        <w:rPr>
          <w:rFonts w:asciiTheme="majorHAnsi" w:hAnsiTheme="majorHAnsi"/>
          <w:color w:val="000000" w:themeColor="text1"/>
          <w:bdr w:val="none" w:sz="0" w:space="0" w:color="auto" w:frame="1"/>
          <w:vertAlign w:val="subscript"/>
        </w:rPr>
        <w:t>3</w:t>
      </w:r>
      <w:r w:rsidRPr="00561279">
        <w:rPr>
          <w:rFonts w:asciiTheme="majorHAnsi" w:hAnsiTheme="majorHAnsi"/>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561279" w:rsidRPr="00561279" w:rsidRDefault="00561279" w:rsidP="003575AA">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0" w:firstLine="561"/>
        <w:jc w:val="both"/>
        <w:rPr>
          <w:rFonts w:asciiTheme="majorHAnsi" w:eastAsia="Arial Unicode MS" w:hAnsiTheme="majorHAnsi"/>
          <w:bdr w:val="nil"/>
        </w:rPr>
      </w:pPr>
      <w:r w:rsidRPr="00561279">
        <w:rPr>
          <w:rFonts w:asciiTheme="majorHAnsi" w:hAnsiTheme="majorHAnsi"/>
          <w:color w:val="000000" w:themeColor="text1"/>
          <w:bdr w:val="none" w:sz="0" w:space="0" w:color="auto" w:frame="1"/>
        </w:rPr>
        <w:t>Jei siūlomas objektas turi nurodytą pranašumą: T</w:t>
      </w:r>
      <w:r w:rsidRPr="00561279">
        <w:rPr>
          <w:rFonts w:asciiTheme="majorHAnsi" w:hAnsiTheme="majorHAnsi"/>
          <w:color w:val="000000" w:themeColor="text1"/>
          <w:bdr w:val="none" w:sz="0" w:space="0" w:color="auto" w:frame="1"/>
          <w:vertAlign w:val="subscript"/>
        </w:rPr>
        <w:t>2</w:t>
      </w:r>
      <w:r w:rsidRPr="00561279">
        <w:rPr>
          <w:rFonts w:asciiTheme="majorHAnsi" w:hAnsiTheme="majorHAnsi"/>
          <w:color w:val="000000" w:themeColor="text1"/>
          <w:bdr w:val="none" w:sz="0" w:space="0" w:color="auto" w:frame="1"/>
        </w:rPr>
        <w:t xml:space="preserve"> = L</w:t>
      </w:r>
      <w:r w:rsidRPr="00561279">
        <w:rPr>
          <w:rFonts w:asciiTheme="majorHAnsi" w:hAnsiTheme="majorHAnsi"/>
          <w:color w:val="000000" w:themeColor="text1"/>
          <w:bdr w:val="none" w:sz="0" w:space="0" w:color="auto" w:frame="1"/>
          <w:vertAlign w:val="subscript"/>
        </w:rPr>
        <w:t xml:space="preserve">2 </w:t>
      </w:r>
      <w:r w:rsidRPr="00561279">
        <w:rPr>
          <w:rFonts w:asciiTheme="majorHAnsi" w:hAnsiTheme="majorHAnsi"/>
          <w:color w:val="000000" w:themeColor="text1"/>
          <w:bdr w:val="none" w:sz="0" w:space="0" w:color="auto" w:frame="1"/>
        </w:rPr>
        <w:t>= 0,30; T</w:t>
      </w:r>
      <w:r w:rsidRPr="00561279">
        <w:rPr>
          <w:rFonts w:asciiTheme="majorHAnsi" w:hAnsiTheme="majorHAnsi"/>
          <w:color w:val="000000" w:themeColor="text1"/>
          <w:bdr w:val="none" w:sz="0" w:space="0" w:color="auto" w:frame="1"/>
          <w:vertAlign w:val="subscript"/>
        </w:rPr>
        <w:t>3</w:t>
      </w:r>
      <w:r w:rsidRPr="00561279">
        <w:rPr>
          <w:rFonts w:asciiTheme="majorHAnsi" w:hAnsiTheme="majorHAnsi"/>
          <w:color w:val="000000" w:themeColor="text1"/>
          <w:bdr w:val="none" w:sz="0" w:space="0" w:color="auto" w:frame="1"/>
        </w:rPr>
        <w:t xml:space="preserve"> = L</w:t>
      </w:r>
      <w:r w:rsidRPr="00561279">
        <w:rPr>
          <w:rFonts w:asciiTheme="majorHAnsi" w:hAnsiTheme="majorHAnsi"/>
          <w:color w:val="000000" w:themeColor="text1"/>
          <w:bdr w:val="none" w:sz="0" w:space="0" w:color="auto" w:frame="1"/>
          <w:vertAlign w:val="subscript"/>
        </w:rPr>
        <w:t xml:space="preserve">3 </w:t>
      </w:r>
      <w:r w:rsidRPr="00561279">
        <w:rPr>
          <w:rFonts w:asciiTheme="majorHAnsi" w:hAnsiTheme="majorHAnsi"/>
          <w:color w:val="000000" w:themeColor="text1"/>
          <w:bdr w:val="none" w:sz="0" w:space="0" w:color="auto" w:frame="1"/>
        </w:rPr>
        <w:t>= 0,30;</w:t>
      </w:r>
    </w:p>
    <w:p w:rsidR="00561279" w:rsidRPr="00561279" w:rsidRDefault="00561279" w:rsidP="003575AA">
      <w:pPr>
        <w:pStyle w:val="Sraopastraipa"/>
        <w:numPr>
          <w:ilvl w:val="0"/>
          <w:numId w:val="9"/>
        </w:numPr>
        <w:pBdr>
          <w:top w:val="nil"/>
          <w:left w:val="nil"/>
          <w:bottom w:val="nil"/>
          <w:right w:val="nil"/>
          <w:between w:val="nil"/>
          <w:bar w:val="nil"/>
        </w:pBdr>
        <w:tabs>
          <w:tab w:val="left" w:pos="851"/>
        </w:tabs>
        <w:suppressAutoHyphens/>
        <w:spacing w:after="0" w:line="240" w:lineRule="auto"/>
        <w:ind w:left="0" w:firstLine="561"/>
        <w:jc w:val="both"/>
        <w:rPr>
          <w:rFonts w:asciiTheme="majorHAnsi" w:eastAsia="Arial Unicode MS" w:hAnsiTheme="majorHAnsi"/>
          <w:bdr w:val="nil"/>
        </w:rPr>
      </w:pPr>
      <w:r w:rsidRPr="00561279">
        <w:rPr>
          <w:rFonts w:asciiTheme="majorHAnsi" w:hAnsiTheme="majorHAnsi"/>
          <w:color w:val="000000" w:themeColor="text1"/>
          <w:bdr w:val="none" w:sz="0" w:space="0" w:color="auto" w:frame="1"/>
        </w:rPr>
        <w:t>Jei siūlomas objektas neturi nurodyto pranašumo: T</w:t>
      </w:r>
      <w:r w:rsidRPr="00561279">
        <w:rPr>
          <w:rFonts w:asciiTheme="majorHAnsi" w:hAnsiTheme="majorHAnsi"/>
          <w:color w:val="000000" w:themeColor="text1"/>
          <w:bdr w:val="none" w:sz="0" w:space="0" w:color="auto" w:frame="1"/>
          <w:vertAlign w:val="subscript"/>
        </w:rPr>
        <w:t>2</w:t>
      </w:r>
      <w:r w:rsidRPr="00561279">
        <w:rPr>
          <w:rFonts w:asciiTheme="majorHAnsi" w:hAnsiTheme="majorHAnsi"/>
          <w:color w:val="000000" w:themeColor="text1"/>
          <w:bdr w:val="none" w:sz="0" w:space="0" w:color="auto" w:frame="1"/>
        </w:rPr>
        <w:t xml:space="preserve"> = L</w:t>
      </w:r>
      <w:r w:rsidRPr="00561279">
        <w:rPr>
          <w:rFonts w:asciiTheme="majorHAnsi" w:hAnsiTheme="majorHAnsi"/>
          <w:color w:val="000000" w:themeColor="text1"/>
          <w:bdr w:val="none" w:sz="0" w:space="0" w:color="auto" w:frame="1"/>
          <w:vertAlign w:val="subscript"/>
        </w:rPr>
        <w:t xml:space="preserve">2 </w:t>
      </w:r>
      <w:r w:rsidRPr="00561279">
        <w:rPr>
          <w:rFonts w:asciiTheme="majorHAnsi" w:hAnsiTheme="majorHAnsi"/>
          <w:color w:val="000000" w:themeColor="text1"/>
          <w:bdr w:val="none" w:sz="0" w:space="0" w:color="auto" w:frame="1"/>
        </w:rPr>
        <w:t>= 0; T</w:t>
      </w:r>
      <w:r w:rsidRPr="00561279">
        <w:rPr>
          <w:rFonts w:asciiTheme="majorHAnsi" w:hAnsiTheme="majorHAnsi"/>
          <w:color w:val="000000" w:themeColor="text1"/>
          <w:bdr w:val="none" w:sz="0" w:space="0" w:color="auto" w:frame="1"/>
          <w:vertAlign w:val="subscript"/>
        </w:rPr>
        <w:t>3</w:t>
      </w:r>
      <w:r w:rsidRPr="00561279">
        <w:rPr>
          <w:rFonts w:asciiTheme="majorHAnsi" w:hAnsiTheme="majorHAnsi"/>
          <w:color w:val="000000" w:themeColor="text1"/>
          <w:bdr w:val="none" w:sz="0" w:space="0" w:color="auto" w:frame="1"/>
        </w:rPr>
        <w:t xml:space="preserve"> = L</w:t>
      </w:r>
      <w:r w:rsidRPr="00561279">
        <w:rPr>
          <w:rFonts w:asciiTheme="majorHAnsi" w:hAnsiTheme="majorHAnsi"/>
          <w:color w:val="000000" w:themeColor="text1"/>
          <w:bdr w:val="none" w:sz="0" w:space="0" w:color="auto" w:frame="1"/>
          <w:vertAlign w:val="subscript"/>
        </w:rPr>
        <w:t xml:space="preserve">3 </w:t>
      </w:r>
      <w:r w:rsidRPr="00561279">
        <w:rPr>
          <w:rFonts w:asciiTheme="majorHAnsi" w:hAnsiTheme="majorHAnsi"/>
          <w:color w:val="000000" w:themeColor="text1"/>
          <w:bdr w:val="none" w:sz="0" w:space="0" w:color="auto" w:frame="1"/>
        </w:rPr>
        <w:t>= 0.</w:t>
      </w:r>
    </w:p>
    <w:p w:rsidR="00561279" w:rsidRDefault="00561279" w:rsidP="003575AA">
      <w:pPr>
        <w:shd w:val="clear" w:color="auto" w:fill="FFFFFF"/>
        <w:ind w:firstLine="561"/>
        <w:jc w:val="both"/>
        <w:rPr>
          <w:rFonts w:asciiTheme="majorHAnsi" w:hAnsiTheme="majorHAnsi"/>
          <w:color w:val="000000" w:themeColor="text1"/>
          <w:sz w:val="22"/>
          <w:szCs w:val="22"/>
          <w:bdr w:val="none" w:sz="0" w:space="0" w:color="auto" w:frame="1"/>
        </w:rPr>
      </w:pPr>
    </w:p>
    <w:p w:rsidR="003575AA" w:rsidRPr="00561279" w:rsidRDefault="003575AA" w:rsidP="003575AA">
      <w:pPr>
        <w:shd w:val="clear" w:color="auto" w:fill="FFFFFF"/>
        <w:ind w:firstLine="561"/>
        <w:jc w:val="both"/>
        <w:rPr>
          <w:rFonts w:asciiTheme="majorHAnsi" w:hAnsiTheme="majorHAnsi"/>
          <w:color w:val="000000" w:themeColor="text1"/>
          <w:sz w:val="22"/>
          <w:szCs w:val="22"/>
          <w:bdr w:val="none" w:sz="0" w:space="0" w:color="auto" w:frame="1"/>
        </w:rPr>
      </w:pPr>
    </w:p>
    <w:p w:rsidR="00561279" w:rsidRPr="00561279" w:rsidRDefault="00561279" w:rsidP="003575AA">
      <w:pPr>
        <w:pStyle w:val="Sraopastraipa"/>
        <w:numPr>
          <w:ilvl w:val="1"/>
          <w:numId w:val="17"/>
        </w:numPr>
        <w:pBdr>
          <w:top w:val="nil"/>
          <w:left w:val="nil"/>
          <w:bottom w:val="nil"/>
          <w:right w:val="nil"/>
          <w:between w:val="nil"/>
          <w:bar w:val="nil"/>
        </w:pBdr>
        <w:tabs>
          <w:tab w:val="left" w:pos="851"/>
        </w:tabs>
        <w:suppressAutoHyphens/>
        <w:spacing w:after="0" w:line="240" w:lineRule="auto"/>
        <w:ind w:left="0" w:firstLine="561"/>
        <w:jc w:val="both"/>
        <w:rPr>
          <w:rFonts w:asciiTheme="majorHAnsi" w:eastAsia="Arial Unicode MS" w:hAnsiTheme="majorHAnsi"/>
          <w:bdr w:val="nil"/>
        </w:rPr>
      </w:pPr>
      <w:r w:rsidRPr="00561279">
        <w:rPr>
          <w:rFonts w:asciiTheme="majorHAnsi" w:hAnsiTheme="majorHAnsi"/>
          <w:color w:val="000000" w:themeColor="text1"/>
          <w:bdr w:val="none" w:sz="0" w:space="0" w:color="auto" w:frame="1"/>
        </w:rPr>
        <w:lastRenderedPageBreak/>
        <w:t>Techninių pranašumų (T) balai apskaičiuojami visų techninių kriterijų parametrų įvertinimų sumą padauginant iš techninių pranašumų lyginamojo svorio (Y):</w:t>
      </w:r>
    </w:p>
    <w:p w:rsidR="00561279" w:rsidRPr="00561279" w:rsidRDefault="00561279" w:rsidP="003575AA">
      <w:pPr>
        <w:tabs>
          <w:tab w:val="left" w:pos="851"/>
        </w:tabs>
        <w:suppressAutoHyphens/>
        <w:ind w:firstLine="561"/>
        <w:rPr>
          <w:rFonts w:asciiTheme="majorHAnsi" w:hAnsiTheme="majorHAnsi"/>
          <w:sz w:val="22"/>
          <w:szCs w:val="22"/>
        </w:rPr>
      </w:pPr>
    </w:p>
    <w:p w:rsidR="00561279" w:rsidRPr="003575AA" w:rsidRDefault="00561279" w:rsidP="003575AA">
      <w:pPr>
        <w:ind w:firstLine="561"/>
        <w:jc w:val="center"/>
        <w:rPr>
          <w:rFonts w:asciiTheme="majorHAnsi" w:hAnsiTheme="majorHAnsi"/>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561279" w:rsidRPr="00561279" w:rsidRDefault="00561279" w:rsidP="00561279">
      <w:pPr>
        <w:jc w:val="both"/>
        <w:outlineLvl w:val="0"/>
        <w:rPr>
          <w:rFonts w:asciiTheme="majorHAnsi" w:hAnsiTheme="majorHAnsi"/>
          <w:b/>
          <w:bCs/>
          <w:caps/>
          <w:spacing w:val="4"/>
          <w:sz w:val="22"/>
          <w:szCs w:val="22"/>
        </w:rPr>
      </w:pPr>
    </w:p>
    <w:p w:rsidR="00561279" w:rsidRPr="00561279" w:rsidRDefault="00561279" w:rsidP="00561279">
      <w:pPr>
        <w:pStyle w:val="Sraopastraipa"/>
        <w:numPr>
          <w:ilvl w:val="0"/>
          <w:numId w:val="17"/>
        </w:numPr>
        <w:pBdr>
          <w:top w:val="nil"/>
          <w:left w:val="nil"/>
          <w:bottom w:val="nil"/>
          <w:right w:val="nil"/>
          <w:between w:val="nil"/>
          <w:bar w:val="nil"/>
        </w:pBdr>
        <w:tabs>
          <w:tab w:val="left" w:pos="851"/>
        </w:tabs>
        <w:suppressAutoHyphens/>
        <w:spacing w:after="0" w:line="240" w:lineRule="auto"/>
        <w:jc w:val="both"/>
        <w:rPr>
          <w:rFonts w:asciiTheme="majorHAnsi" w:eastAsia="Arial Unicode MS" w:hAnsiTheme="majorHAnsi"/>
          <w:vanish/>
          <w:bdr w:val="nil"/>
        </w:rPr>
      </w:pPr>
    </w:p>
    <w:p w:rsidR="00561279" w:rsidRPr="00561279" w:rsidRDefault="00561279" w:rsidP="00561279">
      <w:pPr>
        <w:tabs>
          <w:tab w:val="left" w:pos="851"/>
        </w:tabs>
        <w:suppressAutoHyphens/>
        <w:ind w:firstLine="709"/>
        <w:jc w:val="both"/>
        <w:rPr>
          <w:rFonts w:asciiTheme="majorHAnsi" w:hAnsiTheme="majorHAnsi"/>
          <w:sz w:val="22"/>
          <w:szCs w:val="22"/>
        </w:rPr>
      </w:pPr>
      <w:r w:rsidRPr="00561279">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561279" w:rsidRPr="00561279" w:rsidRDefault="00561279" w:rsidP="00561279">
      <w:pPr>
        <w:tabs>
          <w:tab w:val="left" w:pos="851"/>
        </w:tabs>
        <w:suppressAutoHyphens/>
        <w:ind w:firstLine="709"/>
        <w:jc w:val="both"/>
        <w:rPr>
          <w:rFonts w:asciiTheme="majorHAnsi" w:hAnsiTheme="majorHAnsi"/>
          <w:sz w:val="22"/>
          <w:szCs w:val="22"/>
        </w:rPr>
      </w:pPr>
      <w:r w:rsidRPr="00561279">
        <w:rPr>
          <w:rFonts w:asciiTheme="majorHAnsi" w:eastAsia="Calibri" w:hAnsiTheme="majorHAnsi"/>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5A53AF" w:rsidRPr="00561279" w:rsidRDefault="005A53AF" w:rsidP="003714C3">
      <w:pPr>
        <w:tabs>
          <w:tab w:val="left" w:pos="851"/>
        </w:tabs>
        <w:suppressAutoHyphens/>
        <w:ind w:firstLine="1276"/>
        <w:jc w:val="both"/>
        <w:rPr>
          <w:rFonts w:asciiTheme="majorHAnsi" w:hAnsiTheme="majorHAnsi"/>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22636B" w:rsidRDefault="00B50198" w:rsidP="00B50198">
      <w:pPr>
        <w:pStyle w:val="Body2"/>
        <w:rPr>
          <w:rFonts w:asciiTheme="majorHAnsi" w:hAnsiTheme="majorHAnsi"/>
          <w:sz w:val="20"/>
          <w:szCs w:val="20"/>
        </w:rPr>
      </w:pPr>
    </w:p>
    <w:p w:rsidR="005F63F3" w:rsidRPr="003714C3" w:rsidRDefault="005F63F3" w:rsidP="00B50198">
      <w:pPr>
        <w:pStyle w:val="Body2"/>
        <w:rPr>
          <w:rFonts w:asciiTheme="majorHAnsi" w:hAnsiTheme="majorHAnsi"/>
        </w:rPr>
      </w:pPr>
    </w:p>
    <w:p w:rsidR="0022636B" w:rsidRDefault="0022636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81112A">
        <w:rPr>
          <w:rFonts w:asciiTheme="majorHAnsi" w:hAnsiTheme="majorHAnsi"/>
          <w:b/>
          <w:bCs/>
          <w:sz w:val="22"/>
          <w:szCs w:val="22"/>
          <w:lang w:val="lt-LT"/>
        </w:rPr>
        <w:t>KOMPIUTERINIO TOMOGRAFO</w:t>
      </w:r>
      <w:r w:rsidRPr="003714C3">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30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113"/>
        <w:gridCol w:w="2127"/>
        <w:gridCol w:w="1843"/>
        <w:gridCol w:w="1414"/>
      </w:tblGrid>
      <w:tr w:rsidR="00D47DD8" w:rsidRPr="003714C3" w:rsidTr="0022636B">
        <w:trPr>
          <w:trHeight w:val="20"/>
        </w:trPr>
        <w:tc>
          <w:tcPr>
            <w:tcW w:w="347"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5"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638"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596"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22636B">
        <w:trPr>
          <w:trHeight w:val="20"/>
        </w:trPr>
        <w:tc>
          <w:tcPr>
            <w:tcW w:w="347" w:type="pct"/>
            <w:vMerge/>
            <w:shd w:val="clear" w:color="auto" w:fill="auto"/>
          </w:tcPr>
          <w:p w:rsidR="00D47DD8" w:rsidRPr="003714C3" w:rsidRDefault="00D47DD8" w:rsidP="00516691">
            <w:pPr>
              <w:jc w:val="center"/>
              <w:rPr>
                <w:rFonts w:asciiTheme="majorHAnsi" w:hAnsiTheme="majorHAnsi"/>
                <w:b/>
                <w:sz w:val="22"/>
                <w:szCs w:val="22"/>
              </w:rPr>
            </w:pPr>
          </w:p>
        </w:tc>
        <w:tc>
          <w:tcPr>
            <w:tcW w:w="2015"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042" w:type="pct"/>
            <w:vMerge/>
          </w:tcPr>
          <w:p w:rsidR="00D47DD8" w:rsidRPr="003714C3" w:rsidRDefault="00D47DD8" w:rsidP="00516691">
            <w:pPr>
              <w:jc w:val="center"/>
              <w:rPr>
                <w:rFonts w:asciiTheme="majorHAnsi" w:hAnsiTheme="majorHAnsi"/>
                <w:sz w:val="22"/>
                <w:szCs w:val="22"/>
              </w:rPr>
            </w:pPr>
          </w:p>
        </w:tc>
        <w:tc>
          <w:tcPr>
            <w:tcW w:w="903"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3"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Ind w:w="-572" w:type="dxa"/>
        <w:tblLook w:val="04A0" w:firstRow="1" w:lastRow="0" w:firstColumn="1" w:lastColumn="0" w:noHBand="0" w:noVBand="1"/>
      </w:tblPr>
      <w:tblGrid>
        <w:gridCol w:w="709"/>
        <w:gridCol w:w="4111"/>
        <w:gridCol w:w="2126"/>
        <w:gridCol w:w="1843"/>
        <w:gridCol w:w="1405"/>
      </w:tblGrid>
      <w:tr w:rsidR="0081112A" w:rsidRPr="003714C3" w:rsidTr="0022636B">
        <w:trPr>
          <w:trHeight w:val="510"/>
        </w:trPr>
        <w:tc>
          <w:tcPr>
            <w:tcW w:w="709" w:type="dxa"/>
            <w:vAlign w:val="center"/>
          </w:tcPr>
          <w:p w:rsidR="0081112A" w:rsidRPr="003714C3" w:rsidRDefault="0081112A" w:rsidP="0081112A">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4111" w:type="dxa"/>
            <w:shd w:val="clear" w:color="auto" w:fill="auto"/>
          </w:tcPr>
          <w:p w:rsidR="0081112A" w:rsidRPr="0081112A" w:rsidRDefault="0081112A" w:rsidP="0081112A">
            <w:pPr>
              <w:tabs>
                <w:tab w:val="left" w:pos="14175"/>
              </w:tabs>
              <w:ind w:right="-86"/>
              <w:rPr>
                <w:rFonts w:ascii="Cambria" w:hAnsi="Cambria"/>
                <w:sz w:val="22"/>
                <w:szCs w:val="22"/>
                <w:lang w:bidi="lt-LT"/>
              </w:rPr>
            </w:pPr>
            <w:r w:rsidRPr="0081112A">
              <w:rPr>
                <w:rFonts w:ascii="Cambria" w:hAnsi="Cambria"/>
                <w:sz w:val="22"/>
                <w:szCs w:val="22"/>
                <w:lang w:bidi="lt-LT"/>
              </w:rPr>
              <w:t xml:space="preserve">Įrangai suteikiama ilgesnė negu 24 mėn. garantija. </w:t>
            </w:r>
          </w:p>
          <w:p w:rsidR="0081112A" w:rsidRPr="0081112A" w:rsidRDefault="0081112A" w:rsidP="0081112A">
            <w:pPr>
              <w:tabs>
                <w:tab w:val="left" w:pos="14175"/>
              </w:tabs>
              <w:ind w:right="-86"/>
              <w:rPr>
                <w:rFonts w:ascii="Cambria" w:hAnsi="Cambria"/>
                <w:sz w:val="22"/>
                <w:szCs w:val="22"/>
                <w:lang w:bidi="lt-LT"/>
              </w:rPr>
            </w:pPr>
          </w:p>
          <w:p w:rsidR="0081112A" w:rsidRPr="0081112A" w:rsidRDefault="0081112A" w:rsidP="0081112A">
            <w:pPr>
              <w:tabs>
                <w:tab w:val="left" w:pos="14175"/>
              </w:tabs>
              <w:ind w:right="55"/>
              <w:rPr>
                <w:rFonts w:ascii="Cambria" w:hAnsi="Cambria"/>
                <w:i/>
                <w:sz w:val="22"/>
                <w:szCs w:val="22"/>
              </w:rPr>
            </w:pPr>
            <w:r w:rsidRPr="0081112A">
              <w:rPr>
                <w:rFonts w:ascii="Cambria" w:hAnsi="Cambria"/>
                <w:i/>
                <w:sz w:val="22"/>
                <w:szCs w:val="22"/>
                <w:lang w:bidi="lt-LT"/>
              </w:rPr>
              <w:t>Pastaba: Balas skiriamas už kiekvienus papildomus 12 mėn.</w:t>
            </w:r>
          </w:p>
        </w:tc>
        <w:tc>
          <w:tcPr>
            <w:tcW w:w="2126"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1112A" w:rsidRPr="003714C3" w:rsidTr="00FC646D">
        <w:trPr>
          <w:trHeight w:val="510"/>
        </w:trPr>
        <w:tc>
          <w:tcPr>
            <w:tcW w:w="709" w:type="dxa"/>
            <w:vAlign w:val="center"/>
          </w:tcPr>
          <w:p w:rsidR="0081112A" w:rsidRPr="003714C3" w:rsidRDefault="0081112A" w:rsidP="0081112A">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4111" w:type="dxa"/>
            <w:shd w:val="clear" w:color="auto" w:fill="auto"/>
          </w:tcPr>
          <w:p w:rsidR="0081112A" w:rsidRPr="0081112A" w:rsidRDefault="0081112A" w:rsidP="0081112A">
            <w:pPr>
              <w:ind w:right="-86"/>
              <w:rPr>
                <w:rFonts w:ascii="Cambria" w:hAnsi="Cambria"/>
                <w:sz w:val="22"/>
                <w:szCs w:val="22"/>
              </w:rPr>
            </w:pPr>
            <w:r w:rsidRPr="0081112A">
              <w:rPr>
                <w:rFonts w:ascii="Cambria" w:hAnsi="Cambria"/>
                <w:sz w:val="22"/>
                <w:szCs w:val="22"/>
              </w:rPr>
              <w:t>Yra prospektyvinis skenavimo sinchronizavimas su paciento kvėpavimu.</w:t>
            </w:r>
          </w:p>
        </w:tc>
        <w:tc>
          <w:tcPr>
            <w:tcW w:w="2126"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81112A" w:rsidRPr="003714C3" w:rsidTr="0022636B">
        <w:trPr>
          <w:trHeight w:val="510"/>
        </w:trPr>
        <w:tc>
          <w:tcPr>
            <w:tcW w:w="709" w:type="dxa"/>
            <w:vAlign w:val="center"/>
          </w:tcPr>
          <w:p w:rsidR="0081112A" w:rsidRPr="003714C3" w:rsidRDefault="0081112A" w:rsidP="0081112A">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4111" w:type="dxa"/>
            <w:shd w:val="clear" w:color="auto" w:fill="auto"/>
          </w:tcPr>
          <w:p w:rsidR="0081112A" w:rsidRPr="0081112A" w:rsidRDefault="0081112A" w:rsidP="0081112A">
            <w:pPr>
              <w:pStyle w:val="prastasis1"/>
              <w:tabs>
                <w:tab w:val="left" w:pos="14175"/>
              </w:tabs>
              <w:spacing w:after="0" w:line="240" w:lineRule="auto"/>
              <w:rPr>
                <w:rFonts w:ascii="Cambria" w:hAnsi="Cambria" w:cs="Times New Roman"/>
                <w:sz w:val="22"/>
                <w:szCs w:val="22"/>
                <w:lang w:val="lt-LT"/>
              </w:rPr>
            </w:pPr>
            <w:r w:rsidRPr="0081112A">
              <w:rPr>
                <w:rFonts w:ascii="Cambria" w:hAnsi="Cambria"/>
                <w:sz w:val="22"/>
                <w:szCs w:val="22"/>
                <w:lang w:val="lt-LT"/>
              </w:rPr>
              <w:t>Siūloma kompiuterinės tomografijos sistema radioterapijos planavimui turi turėti 4D sekos skenavimo režimą, kuris realiojo laiko metu automatiškai prisitaiko prie paciento kvėpavimo dinamikos, įskaitant nereguliarų ar lėtą kvėpavimą. Vaizdų rekonstrukcija turi būti adaptyvi pagal kvėpavimo amplitudės analizę, leidžianti sumažinti judesio artefaktus iki 85%. Režimas turi būti tinkamas išplėstiems skenavimo laukams, tokiems kaip plaučių, kepenų ir stemplės sritys.</w:t>
            </w:r>
          </w:p>
        </w:tc>
        <w:tc>
          <w:tcPr>
            <w:tcW w:w="2126"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81112A" w:rsidRPr="003714C3" w:rsidRDefault="0081112A" w:rsidP="0081112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7F6" w:rsidRDefault="00FA37F6" w:rsidP="00922417">
      <w:r>
        <w:separator/>
      </w:r>
    </w:p>
  </w:endnote>
  <w:endnote w:type="continuationSeparator" w:id="0">
    <w:p w:rsidR="00FA37F6" w:rsidRDefault="00FA37F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FED" w:rsidRDefault="006A3FED">
    <w:pPr>
      <w:pStyle w:val="Porat"/>
      <w:jc w:val="right"/>
    </w:pPr>
  </w:p>
  <w:p w:rsidR="006A3FED" w:rsidRDefault="006A3FE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FED" w:rsidRDefault="006A3FED">
    <w:pPr>
      <w:pStyle w:val="Porat"/>
      <w:jc w:val="right"/>
    </w:pPr>
  </w:p>
  <w:p w:rsidR="006A3FED" w:rsidRDefault="006A3F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7F6" w:rsidRDefault="00FA37F6" w:rsidP="00922417">
      <w:r>
        <w:separator/>
      </w:r>
    </w:p>
  </w:footnote>
  <w:footnote w:type="continuationSeparator" w:id="0">
    <w:p w:rsidR="00FA37F6" w:rsidRDefault="00FA37F6" w:rsidP="00922417">
      <w:r>
        <w:continuationSeparator/>
      </w:r>
    </w:p>
  </w:footnote>
  <w:footnote w:id="1">
    <w:p w:rsidR="006A3FED" w:rsidRPr="00C54A7B" w:rsidRDefault="006A3FED"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A3FED" w:rsidRPr="00C54A7B" w:rsidRDefault="006A3FED" w:rsidP="00401D35">
      <w:pPr>
        <w:pStyle w:val="Puslapioinaostekstas"/>
        <w:numPr>
          <w:ilvl w:val="0"/>
          <w:numId w:val="6"/>
        </w:numPr>
        <w:rPr>
          <w:rFonts w:eastAsia="Yu Mincho"/>
          <w:i/>
          <w:iCs/>
        </w:rPr>
      </w:pPr>
      <w:r w:rsidRPr="00C54A7B">
        <w:rPr>
          <w:rFonts w:eastAsia="Yu Mincho"/>
          <w:i/>
          <w:iCs/>
        </w:rPr>
        <w:t xml:space="preserve">priesaikos deklaracija; </w:t>
      </w:r>
    </w:p>
    <w:p w:rsidR="006A3FED" w:rsidRDefault="006A3FED"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A3FED" w:rsidRPr="00551FCA" w:rsidRDefault="006A3FED"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3A033B"/>
    <w:multiLevelType w:val="hybridMultilevel"/>
    <w:tmpl w:val="2A9621F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5"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6"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0"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1"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10"/>
  </w:num>
  <w:num w:numId="5">
    <w:abstractNumId w:val="17"/>
  </w:num>
  <w:num w:numId="6">
    <w:abstractNumId w:val="18"/>
  </w:num>
  <w:num w:numId="7">
    <w:abstractNumId w:val="4"/>
  </w:num>
  <w:num w:numId="8">
    <w:abstractNumId w:val="19"/>
  </w:num>
  <w:num w:numId="9">
    <w:abstractNumId w:val="12"/>
  </w:num>
  <w:num w:numId="10">
    <w:abstractNumId w:val="20"/>
  </w:num>
  <w:num w:numId="11">
    <w:abstractNumId w:val="3"/>
  </w:num>
  <w:num w:numId="12">
    <w:abstractNumId w:val="11"/>
  </w:num>
  <w:num w:numId="13">
    <w:abstractNumId w:val="25"/>
  </w:num>
  <w:num w:numId="14">
    <w:abstractNumId w:val="0"/>
  </w:num>
  <w:num w:numId="15">
    <w:abstractNumId w:val="15"/>
  </w:num>
  <w:num w:numId="16">
    <w:abstractNumId w:val="1"/>
  </w:num>
  <w:num w:numId="17">
    <w:abstractNumId w:val="16"/>
  </w:num>
  <w:num w:numId="18">
    <w:abstractNumId w:val="24"/>
  </w:num>
  <w:num w:numId="19">
    <w:abstractNumId w:val="6"/>
  </w:num>
  <w:num w:numId="20">
    <w:abstractNumId w:val="5"/>
  </w:num>
  <w:num w:numId="21">
    <w:abstractNumId w:val="13"/>
  </w:num>
  <w:num w:numId="22">
    <w:abstractNumId w:val="21"/>
  </w:num>
  <w:num w:numId="23">
    <w:abstractNumId w:val="9"/>
  </w:num>
  <w:num w:numId="24">
    <w:abstractNumId w:val="2"/>
  </w:num>
  <w:num w:numId="25">
    <w:abstractNumId w:val="14"/>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4FB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37D5E"/>
    <w:rsid w:val="00346C10"/>
    <w:rsid w:val="0035243F"/>
    <w:rsid w:val="003534C3"/>
    <w:rsid w:val="00355963"/>
    <w:rsid w:val="003575AA"/>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2D32"/>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71A2"/>
    <w:rsid w:val="00557244"/>
    <w:rsid w:val="00561279"/>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3FED"/>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112A"/>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2EED"/>
    <w:rsid w:val="009C31C3"/>
    <w:rsid w:val="009C4DE5"/>
    <w:rsid w:val="009C6021"/>
    <w:rsid w:val="009D02EF"/>
    <w:rsid w:val="009D15C6"/>
    <w:rsid w:val="009D1715"/>
    <w:rsid w:val="009D2C51"/>
    <w:rsid w:val="009D51D7"/>
    <w:rsid w:val="009D5C28"/>
    <w:rsid w:val="009E07E7"/>
    <w:rsid w:val="009E0E65"/>
    <w:rsid w:val="009E164A"/>
    <w:rsid w:val="009E3DFE"/>
    <w:rsid w:val="009E5DF0"/>
    <w:rsid w:val="009F0218"/>
    <w:rsid w:val="00A04757"/>
    <w:rsid w:val="00A074AB"/>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2B42"/>
    <w:rsid w:val="00C63E5B"/>
    <w:rsid w:val="00C64517"/>
    <w:rsid w:val="00C64E34"/>
    <w:rsid w:val="00C743C1"/>
    <w:rsid w:val="00C776C7"/>
    <w:rsid w:val="00C85304"/>
    <w:rsid w:val="00C86E66"/>
    <w:rsid w:val="00C872B4"/>
    <w:rsid w:val="00C938A5"/>
    <w:rsid w:val="00C94A57"/>
    <w:rsid w:val="00CA093D"/>
    <w:rsid w:val="00CA0954"/>
    <w:rsid w:val="00CA0A9B"/>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173B2"/>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1623"/>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37F6"/>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9D8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3695-D905-41D3-99E8-F152694E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25</Pages>
  <Words>47701</Words>
  <Characters>27191</Characters>
  <Application>Microsoft Office Word</Application>
  <DocSecurity>0</DocSecurity>
  <Lines>226</Lines>
  <Paragraphs>149</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9. Tiekėjo deklaracija dėl Nacionalinio saugumo reikalavimų atitikties (9 prieda</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BALŲ APSKAIČIAVIMAS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194</cp:revision>
  <cp:lastPrinted>2024-03-22T12:28:00Z</cp:lastPrinted>
  <dcterms:created xsi:type="dcterms:W3CDTF">2023-11-14T08:29:00Z</dcterms:created>
  <dcterms:modified xsi:type="dcterms:W3CDTF">2025-08-11T09:47:00Z</dcterms:modified>
</cp:coreProperties>
</file>