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6CEE" w14:textId="73459AB5" w:rsidR="00CC656C" w:rsidRPr="00820914" w:rsidRDefault="00550415" w:rsidP="00CC656C">
      <w:pPr>
        <w:pStyle w:val="ListParagraph"/>
        <w:spacing w:after="0"/>
        <w:ind w:left="567"/>
        <w:jc w:val="right"/>
        <w:rPr>
          <w:rFonts w:cs="Times New Roman"/>
          <w:iCs/>
          <w:szCs w:val="24"/>
          <w:lang w:val="lt-LT"/>
        </w:rPr>
      </w:pPr>
      <w:r>
        <w:rPr>
          <w:rFonts w:cs="Times New Roman"/>
          <w:iCs/>
          <w:szCs w:val="24"/>
          <w:lang w:val="lt-LT"/>
        </w:rPr>
        <w:t>3 p</w:t>
      </w:r>
      <w:r w:rsidR="00CC656C" w:rsidRPr="00820914">
        <w:rPr>
          <w:rFonts w:cs="Times New Roman"/>
          <w:iCs/>
          <w:szCs w:val="24"/>
          <w:lang w:val="lt-LT"/>
        </w:rPr>
        <w:t>riedas. Pasiūlymų vertinimas</w:t>
      </w:r>
      <w:r w:rsidR="00987600">
        <w:rPr>
          <w:rFonts w:cs="Times New Roman"/>
          <w:iCs/>
          <w:szCs w:val="24"/>
          <w:lang w:val="lt-LT"/>
        </w:rPr>
        <w:t xml:space="preserve"> </w:t>
      </w:r>
      <w:r w:rsidR="00987600" w:rsidRPr="00987600">
        <w:rPr>
          <w:rFonts w:cs="Times New Roman"/>
          <w:i/>
          <w:szCs w:val="24"/>
          <w:lang w:val="lt-LT"/>
        </w:rPr>
        <w:t>(projektas)</w:t>
      </w:r>
    </w:p>
    <w:p w14:paraId="2973DEF3" w14:textId="77777777" w:rsidR="00CC656C" w:rsidRPr="00B036A7" w:rsidRDefault="00CC656C" w:rsidP="00CC656C">
      <w:pPr>
        <w:pStyle w:val="ListParagraph"/>
        <w:spacing w:after="0"/>
        <w:ind w:left="567"/>
        <w:jc w:val="left"/>
        <w:rPr>
          <w:rFonts w:cs="Times New Roman"/>
          <w:i/>
          <w:szCs w:val="24"/>
          <w:lang w:val="lt-LT"/>
        </w:rPr>
      </w:pPr>
    </w:p>
    <w:p w14:paraId="5D3CC6C0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32"/>
        </w:tabs>
        <w:spacing w:after="240"/>
        <w:ind w:firstLine="709"/>
        <w:jc w:val="left"/>
        <w:outlineLvl w:val="0"/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</w:pPr>
      <w:bookmarkStart w:id="0" w:name="_Hlk96256258"/>
      <w:r w:rsidRPr="00820914"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  <w:t>1. BENDROSIOS NUOSTATOS</w:t>
      </w:r>
    </w:p>
    <w:p w14:paraId="7FA18F9C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firstLine="709"/>
        <w:rPr>
          <w:rFonts w:eastAsia="Arial Unicode MS" w:cs="Arial Unicode MS"/>
          <w:sz w:val="22"/>
          <w:bdr w:val="nil"/>
          <w:lang w:val="lt-LT" w:bidi="ta-IN"/>
        </w:rPr>
      </w:pPr>
      <w:r w:rsidRPr="00820914">
        <w:rPr>
          <w:rFonts w:eastAsia="Arial Unicode MS" w:cs="Arial Unicode MS"/>
          <w:sz w:val="22"/>
          <w:bdr w:val="nil"/>
          <w:lang w:val="lt-LT" w:bidi="ta-IN"/>
        </w:rPr>
        <w:tab/>
        <w:t xml:space="preserve">1.1. Perkančiosios organizacijos neatmesti </w:t>
      </w:r>
      <w:r>
        <w:rPr>
          <w:rFonts w:eastAsia="Arial Unicode MS" w:cs="Arial Unicode MS"/>
          <w:sz w:val="22"/>
          <w:bdr w:val="nil"/>
          <w:lang w:val="lt-LT" w:bidi="ta-IN"/>
        </w:rPr>
        <w:t xml:space="preserve">konkretūs </w:t>
      </w:r>
      <w:r w:rsidRPr="00820914">
        <w:rPr>
          <w:rFonts w:eastAsia="Arial Unicode MS" w:cs="Arial Unicode MS"/>
          <w:sz w:val="22"/>
          <w:bdr w:val="nil"/>
          <w:lang w:val="lt-LT" w:bidi="ta-IN"/>
        </w:rPr>
        <w:t xml:space="preserve">pasiūlymai vertinami pagal kainos ir kokybės santykį šiame priede </w:t>
      </w:r>
      <w:r>
        <w:rPr>
          <w:rFonts w:eastAsia="Arial Unicode MS" w:cs="Arial Unicode MS"/>
          <w:sz w:val="22"/>
          <w:bdr w:val="nil"/>
          <w:lang w:val="lt-LT" w:bidi="ta-IN"/>
        </w:rPr>
        <w:t>nustatyta</w:t>
      </w:r>
      <w:r w:rsidRPr="00820914">
        <w:rPr>
          <w:rFonts w:eastAsia="Arial Unicode MS" w:cs="Arial Unicode MS"/>
          <w:sz w:val="22"/>
          <w:bdr w:val="nil"/>
          <w:lang w:val="lt-LT" w:bidi="ta-IN"/>
        </w:rPr>
        <w:t xml:space="preserve"> tvarka.</w:t>
      </w:r>
      <w:r>
        <w:rPr>
          <w:rFonts w:eastAsia="Arial Unicode MS" w:cs="Arial Unicode MS"/>
          <w:sz w:val="22"/>
          <w:bdr w:val="nil"/>
          <w:lang w:val="lt-LT" w:bidi="ta-IN"/>
        </w:rPr>
        <w:t xml:space="preserve"> </w:t>
      </w:r>
      <w:r w:rsidRPr="001427E0">
        <w:rPr>
          <w:rFonts w:eastAsia="Arial Unicode MS" w:cs="Arial Unicode MS"/>
          <w:sz w:val="22"/>
          <w:bdr w:val="nil"/>
          <w:lang w:val="lt-LT" w:bidi="ta-IN"/>
        </w:rPr>
        <w:t>Ekonomio naudingumo balas skaičiuojamas tik tokiu atveju, kai pasiūlymas atitinka visus privalomu</w:t>
      </w:r>
      <w:r>
        <w:rPr>
          <w:rFonts w:eastAsia="Arial Unicode MS" w:cs="Arial Unicode MS"/>
          <w:sz w:val="22"/>
          <w:bdr w:val="nil"/>
          <w:lang w:val="lt-LT" w:bidi="ta-IN"/>
        </w:rPr>
        <w:t>s</w:t>
      </w:r>
      <w:r w:rsidRPr="001427E0">
        <w:rPr>
          <w:rFonts w:eastAsia="Arial Unicode MS" w:cs="Arial Unicode MS"/>
          <w:sz w:val="22"/>
          <w:bdr w:val="nil"/>
          <w:lang w:val="lt-LT" w:bidi="ta-IN"/>
        </w:rPr>
        <w:t xml:space="preserve"> reikalavimus</w:t>
      </w:r>
      <w:r>
        <w:rPr>
          <w:rFonts w:eastAsia="Arial Unicode MS" w:cs="Arial Unicode MS"/>
          <w:sz w:val="22"/>
          <w:bdr w:val="nil"/>
          <w:lang w:val="lt-LT" w:bidi="ta-IN"/>
        </w:rPr>
        <w:t>, nustatytus konkretaus pirkimo sąlygose</w:t>
      </w:r>
      <w:r w:rsidRPr="001427E0">
        <w:rPr>
          <w:rFonts w:eastAsia="Arial Unicode MS" w:cs="Arial Unicode MS"/>
          <w:sz w:val="22"/>
          <w:bdr w:val="nil"/>
          <w:lang w:val="lt-LT" w:bidi="ta-IN"/>
        </w:rPr>
        <w:t>.</w:t>
      </w:r>
    </w:p>
    <w:p w14:paraId="740F4808" w14:textId="77777777" w:rsidR="00CC656C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firstLine="706"/>
        <w:rPr>
          <w:rFonts w:eastAsia="Arial Unicode MS" w:cs="Arial Unicode MS"/>
          <w:sz w:val="22"/>
          <w:bdr w:val="nil"/>
          <w:lang w:val="lt-LT" w:bidi="ta-IN"/>
        </w:rPr>
      </w:pPr>
      <w:r w:rsidRPr="00820914">
        <w:rPr>
          <w:rFonts w:eastAsia="Arial Unicode MS" w:cs="Arial Unicode MS"/>
          <w:sz w:val="22"/>
          <w:bdr w:val="nil"/>
          <w:lang w:val="lt-LT" w:bidi="ta-IN"/>
        </w:rPr>
        <w:tab/>
      </w:r>
      <w:r w:rsidRPr="00820914">
        <w:rPr>
          <w:rFonts w:eastAsia="Arial Unicode MS" w:cs="Arial Unicode MS"/>
          <w:noProof/>
          <w:sz w:val="22"/>
          <w:bdr w:val="nil"/>
          <w:lang w:val="lt-LT" w:bidi="ta-IN"/>
        </w:rPr>
        <w:t xml:space="preserve">1.2. </w:t>
      </w:r>
      <w:r w:rsidRPr="00820914">
        <w:rPr>
          <w:rFonts w:eastAsia="Arial Unicode MS" w:cs="Arial Unicode MS"/>
          <w:sz w:val="22"/>
          <w:bdr w:val="nil"/>
          <w:lang w:val="lt-LT" w:bidi="ta-IN"/>
        </w:rPr>
        <w:t>Ekonomiškai naudingiausias pasiūlymas – tai pasiūlymas, kurio balų suma, apskaičiuota pagal toliau nustatytus pasiūlymų vertinimo kriterijus ir sąlygas, yra didžiausia.</w:t>
      </w:r>
    </w:p>
    <w:p w14:paraId="094B5E8F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/>
        <w:ind w:firstLine="709"/>
        <w:rPr>
          <w:rFonts w:eastAsia="Arial Unicode MS" w:cs="Arial Unicode MS"/>
          <w:sz w:val="22"/>
          <w:bdr w:val="nil"/>
          <w:lang w:val="lt-LT" w:bidi="ta-IN"/>
        </w:rPr>
      </w:pPr>
      <w:r>
        <w:rPr>
          <w:rFonts w:eastAsia="Arial Unicode MS" w:cs="Arial Unicode MS"/>
          <w:sz w:val="22"/>
          <w:bdr w:val="nil"/>
          <w:lang w:val="lt-LT" w:bidi="ta-IN"/>
        </w:rPr>
        <w:t>1.3. Bendras apskaičiuotas tiekėjo ekonominio naudingumo balas (EN) nurodomas dviejų skaičių po kablelio tikslumu.</w:t>
      </w:r>
    </w:p>
    <w:p w14:paraId="2B774CF9" w14:textId="694D7282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ind w:firstLine="709"/>
        <w:jc w:val="left"/>
        <w:outlineLvl w:val="0"/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</w:pPr>
      <w:bookmarkStart w:id="1" w:name="_Hlk96256239"/>
      <w:bookmarkEnd w:id="0"/>
      <w:r w:rsidRPr="00820914"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  <w:tab/>
        <w:t xml:space="preserve">2. PASIŪLYMŲ VERTINIMO KRITERIJAI IR </w:t>
      </w:r>
      <w:r w:rsidRPr="00820914">
        <w:rPr>
          <w:rFonts w:eastAsia="Arial Unicode MS" w:cs="Arial Unicode MS"/>
          <w:b/>
          <w:bCs/>
          <w:caps/>
          <w:spacing w:val="4"/>
          <w:sz w:val="22"/>
          <w:bdr w:val="nil"/>
          <w:lang w:val="lt-LT"/>
        </w:rPr>
        <w:t>BALŲ APSKAIČIAVIMAS</w:t>
      </w:r>
      <w:r w:rsidR="000A4AE0">
        <w:rPr>
          <w:rFonts w:eastAsia="Arial Unicode MS" w:cs="Arial Unicode MS"/>
          <w:b/>
          <w:bCs/>
          <w:caps/>
          <w:spacing w:val="4"/>
          <w:sz w:val="22"/>
          <w:bdr w:val="nil"/>
          <w:lang w:val="lt-LT"/>
        </w:rPr>
        <w:t xml:space="preserve"> </w:t>
      </w:r>
    </w:p>
    <w:p w14:paraId="1AD0A8B4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/>
        <w:ind w:firstLine="709"/>
        <w:rPr>
          <w:rFonts w:eastAsia="Arial Unicode MS" w:cs="Arial Unicode MS"/>
          <w:sz w:val="22"/>
          <w:bdr w:val="nil"/>
          <w:lang w:val="lt-LT" w:bidi="ta-IN"/>
        </w:rPr>
      </w:pPr>
      <w:r w:rsidRPr="00820914">
        <w:rPr>
          <w:rFonts w:eastAsia="Arial Unicode MS" w:cs="Arial Unicode MS"/>
          <w:sz w:val="22"/>
          <w:bdr w:val="nil"/>
          <w:lang w:val="lt-LT" w:bidi="ta-IN"/>
        </w:rPr>
        <w:tab/>
        <w:t>2.1. Taikomi šie vertinimo kriterijai ir jų reikšmės:</w:t>
      </w:r>
    </w:p>
    <w:tbl>
      <w:tblPr>
        <w:tblStyle w:val="TableGrid2"/>
        <w:tblpPr w:leftFromText="180" w:rightFromText="180" w:vertAnchor="text" w:tblpXSpec="center" w:tblpY="1"/>
        <w:tblOverlap w:val="never"/>
        <w:tblW w:w="15385" w:type="dxa"/>
        <w:tblLook w:val="04A0" w:firstRow="1" w:lastRow="0" w:firstColumn="1" w:lastColumn="0" w:noHBand="0" w:noVBand="1"/>
      </w:tblPr>
      <w:tblGrid>
        <w:gridCol w:w="1307"/>
        <w:gridCol w:w="2282"/>
        <w:gridCol w:w="1332"/>
        <w:gridCol w:w="1806"/>
        <w:gridCol w:w="1550"/>
        <w:gridCol w:w="4318"/>
        <w:gridCol w:w="2790"/>
      </w:tblGrid>
      <w:tr w:rsidR="00AA1D28" w:rsidRPr="00820914" w14:paraId="11EBC800" w14:textId="77777777" w:rsidTr="00EC3880">
        <w:trPr>
          <w:trHeight w:val="1133"/>
          <w:tblHeader/>
        </w:trPr>
        <w:tc>
          <w:tcPr>
            <w:tcW w:w="1307" w:type="dxa"/>
            <w:vAlign w:val="center"/>
          </w:tcPr>
          <w:p w14:paraId="51E4B65D" w14:textId="61AA6121" w:rsidR="00CC656C" w:rsidRPr="00820914" w:rsidRDefault="00DC258A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Vertinimo k</w:t>
            </w:r>
            <w:r w:rsidR="00CC656C" w:rsidRPr="00820914">
              <w:rPr>
                <w:rFonts w:cs="Arial Unicode MS"/>
                <w:b/>
                <w:color w:val="000000"/>
                <w:sz w:val="20"/>
                <w:lang w:val="lt-LT" w:bidi="ta-IN"/>
              </w:rPr>
              <w:t>riterijus</w:t>
            </w: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 xml:space="preserve"> pavadinimas</w:t>
            </w:r>
          </w:p>
        </w:tc>
        <w:tc>
          <w:tcPr>
            <w:tcW w:w="2282" w:type="dxa"/>
            <w:vAlign w:val="center"/>
          </w:tcPr>
          <w:p w14:paraId="4E34F7BC" w14:textId="4374A929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820914">
              <w:rPr>
                <w:rFonts w:cs="Arial Unicode MS"/>
                <w:b/>
                <w:color w:val="000000"/>
                <w:sz w:val="20"/>
                <w:lang w:val="lt-LT" w:bidi="ta-IN"/>
              </w:rPr>
              <w:t xml:space="preserve">Kriterijaus </w:t>
            </w:r>
            <w:r w:rsidR="00653632">
              <w:rPr>
                <w:rFonts w:cs="Arial Unicode MS"/>
                <w:b/>
                <w:color w:val="000000"/>
                <w:sz w:val="20"/>
                <w:lang w:val="lt-LT" w:bidi="ta-IN"/>
              </w:rPr>
              <w:t>reikalavimai</w:t>
            </w:r>
          </w:p>
        </w:tc>
        <w:tc>
          <w:tcPr>
            <w:tcW w:w="1332" w:type="dxa"/>
            <w:vAlign w:val="center"/>
          </w:tcPr>
          <w:p w14:paraId="6110BAFD" w14:textId="77777777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5012C8">
              <w:rPr>
                <w:b/>
                <w:sz w:val="20"/>
                <w:lang w:val="lt-LT" w:bidi="ta-IN"/>
              </w:rPr>
              <w:t>Minimali (vertinama) reikšmė</w:t>
            </w:r>
          </w:p>
        </w:tc>
        <w:tc>
          <w:tcPr>
            <w:tcW w:w="1806" w:type="dxa"/>
            <w:vAlign w:val="center"/>
          </w:tcPr>
          <w:p w14:paraId="59E277FD" w14:textId="77777777" w:rsidR="00CC656C" w:rsidRPr="005012C8" w:rsidRDefault="00CC656C" w:rsidP="00073AA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lang w:val="lt-LT" w:bidi="ta-IN"/>
              </w:rPr>
            </w:pPr>
            <w:r w:rsidRPr="005012C8">
              <w:rPr>
                <w:b/>
                <w:lang w:val="lt-LT" w:bidi="ta-IN"/>
              </w:rPr>
              <w:t>Maksimali vertinama (leidžiama)</w:t>
            </w:r>
          </w:p>
          <w:p w14:paraId="60221D51" w14:textId="77777777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5012C8">
              <w:rPr>
                <w:b/>
                <w:sz w:val="20"/>
                <w:lang w:val="lt-LT" w:bidi="ta-IN"/>
              </w:rPr>
              <w:t>reikšmė</w:t>
            </w:r>
          </w:p>
        </w:tc>
        <w:tc>
          <w:tcPr>
            <w:tcW w:w="1550" w:type="dxa"/>
            <w:vAlign w:val="center"/>
          </w:tcPr>
          <w:p w14:paraId="16987F7F" w14:textId="77777777" w:rsidR="00CC656C" w:rsidRDefault="00B03B8B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Maksimalus balas</w:t>
            </w:r>
          </w:p>
          <w:p w14:paraId="17CBA8A9" w14:textId="307F5EC1" w:rsidR="004B2456" w:rsidRPr="00820914" w:rsidRDefault="004B2456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nurodyti balai yra projektiniai (preliminarūs) ir gali būti koreguojami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4318" w:type="dxa"/>
            <w:vAlign w:val="center"/>
          </w:tcPr>
          <w:p w14:paraId="7B121503" w14:textId="5AF458F8" w:rsidR="00CC656C" w:rsidRPr="00820914" w:rsidRDefault="00B03B8B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Vertinimo f</w:t>
            </w:r>
            <w:r w:rsidR="00CC656C" w:rsidRPr="00820914">
              <w:rPr>
                <w:rFonts w:cs="Arial Unicode MS"/>
                <w:b/>
                <w:color w:val="000000"/>
                <w:sz w:val="20"/>
                <w:lang w:val="lt-LT" w:bidi="ta-IN"/>
              </w:rPr>
              <w:t>ormulė</w:t>
            </w:r>
          </w:p>
        </w:tc>
        <w:tc>
          <w:tcPr>
            <w:tcW w:w="2790" w:type="dxa"/>
            <w:vAlign w:val="center"/>
          </w:tcPr>
          <w:p w14:paraId="7FBD0813" w14:textId="77777777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Paaiškinimas</w:t>
            </w:r>
          </w:p>
        </w:tc>
      </w:tr>
      <w:tr w:rsidR="00AA1D28" w:rsidRPr="00820914" w14:paraId="121340BB" w14:textId="77777777" w:rsidTr="00EC3880">
        <w:trPr>
          <w:trHeight w:val="63"/>
        </w:trPr>
        <w:tc>
          <w:tcPr>
            <w:tcW w:w="1307" w:type="dxa"/>
          </w:tcPr>
          <w:p w14:paraId="1D646EA9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EN</w:t>
            </w:r>
          </w:p>
        </w:tc>
        <w:tc>
          <w:tcPr>
            <w:tcW w:w="2282" w:type="dxa"/>
          </w:tcPr>
          <w:p w14:paraId="30F607E3" w14:textId="77777777" w:rsidR="00CC656C" w:rsidRPr="00820914" w:rsidRDefault="00CC656C" w:rsidP="00073AA3">
            <w:pPr>
              <w:spacing w:before="60" w:after="60"/>
              <w:jc w:val="left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Ekonominis naudingumas</w:t>
            </w:r>
          </w:p>
        </w:tc>
        <w:tc>
          <w:tcPr>
            <w:tcW w:w="1332" w:type="dxa"/>
          </w:tcPr>
          <w:p w14:paraId="699955AC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3A7888E4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3D2871C3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–</w:t>
            </w:r>
          </w:p>
        </w:tc>
        <w:tc>
          <w:tcPr>
            <w:tcW w:w="4318" w:type="dxa"/>
          </w:tcPr>
          <w:p w14:paraId="53A124FF" w14:textId="5E481EA2" w:rsidR="00CC656C" w:rsidRPr="00EE2641" w:rsidRDefault="00CC656C" w:rsidP="00073AA3">
            <w:pPr>
              <w:spacing w:before="60" w:after="120"/>
              <w:rPr>
                <w:bCs/>
                <w:sz w:val="20"/>
                <w:lang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EN = K +</w:t>
            </w:r>
            <w:r w:rsidR="00BB2E19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T</w:t>
            </w:r>
            <w:r w:rsidRPr="00A31E9E">
              <w:rPr>
                <w:bCs/>
                <w:sz w:val="20"/>
                <w:vertAlign w:val="subscript"/>
                <w:lang w:val="lt-LT" w:bidi="ta-IN"/>
              </w:rPr>
              <w:t>1</w:t>
            </w:r>
            <w:r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+ T</w:t>
            </w:r>
            <w:r w:rsidRPr="00A31E9E">
              <w:rPr>
                <w:bCs/>
                <w:sz w:val="20"/>
                <w:vertAlign w:val="subscript"/>
                <w:lang w:val="lt-LT" w:bidi="ta-IN"/>
              </w:rPr>
              <w:t>2</w:t>
            </w:r>
            <w:r w:rsidR="00D87B0B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3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4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5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6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7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8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>9</w:t>
            </w:r>
          </w:p>
        </w:tc>
        <w:tc>
          <w:tcPr>
            <w:tcW w:w="2790" w:type="dxa"/>
          </w:tcPr>
          <w:p w14:paraId="68153EB3" w14:textId="77777777" w:rsidR="00CC656C" w:rsidRPr="00820914" w:rsidRDefault="00CC656C" w:rsidP="00073AA3">
            <w:pPr>
              <w:spacing w:before="60" w:after="60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Ekonominis naudingumas lygus balų už visus kriterijus sumai.</w:t>
            </w:r>
          </w:p>
        </w:tc>
      </w:tr>
      <w:tr w:rsidR="00AA1D28" w:rsidRPr="00820914" w14:paraId="35A532FF" w14:textId="77777777" w:rsidTr="00EC3880">
        <w:trPr>
          <w:trHeight w:val="299"/>
        </w:trPr>
        <w:tc>
          <w:tcPr>
            <w:tcW w:w="1307" w:type="dxa"/>
          </w:tcPr>
          <w:p w14:paraId="07A70866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K</w:t>
            </w:r>
          </w:p>
        </w:tc>
        <w:tc>
          <w:tcPr>
            <w:tcW w:w="2282" w:type="dxa"/>
          </w:tcPr>
          <w:p w14:paraId="2DF9E8F4" w14:textId="77777777" w:rsidR="00CC656C" w:rsidRPr="00820914" w:rsidRDefault="00CC656C" w:rsidP="00073AA3">
            <w:pPr>
              <w:spacing w:before="60" w:after="60"/>
              <w:jc w:val="left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Kaina (Eur su PVM)</w:t>
            </w:r>
          </w:p>
        </w:tc>
        <w:tc>
          <w:tcPr>
            <w:tcW w:w="1332" w:type="dxa"/>
          </w:tcPr>
          <w:p w14:paraId="676A9F72" w14:textId="02F1782D" w:rsidR="00CC656C" w:rsidRPr="00A5076B" w:rsidRDefault="0036255E" w:rsidP="00073AA3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 w:rsidRPr="0036255E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 w:rsidR="0029280A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bus nustatyta po rinkos konsultacijos</w:t>
            </w:r>
            <w:r w:rsidRPr="0036255E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1806" w:type="dxa"/>
          </w:tcPr>
          <w:p w14:paraId="75476E37" w14:textId="43F4DD12" w:rsidR="009359AC" w:rsidRPr="0038767D" w:rsidRDefault="009359AC" w:rsidP="0038767D">
            <w:pPr>
              <w:spacing w:before="60" w:after="0"/>
              <w:jc w:val="center"/>
              <w:rPr>
                <w:bCs/>
                <w:sz w:val="20"/>
                <w:lang w:val="lt-LT" w:bidi="ta-IN"/>
              </w:rPr>
            </w:pPr>
            <w:r w:rsidRPr="009359AC">
              <w:rPr>
                <w:bCs/>
                <w:sz w:val="20"/>
                <w:lang w:val="lt-LT" w:bidi="ta-IN"/>
              </w:rPr>
              <w:t>Pirkimui skirta lėšų suma</w:t>
            </w:r>
            <w:r>
              <w:rPr>
                <w:bCs/>
                <w:sz w:val="20"/>
                <w:lang w:val="lt-LT" w:bidi="ta-IN"/>
              </w:rPr>
              <w:t xml:space="preserve"> </w:t>
            </w:r>
            <w:r w:rsidR="00CC656C" w:rsidRPr="009359AC">
              <w:rPr>
                <w:bCs/>
                <w:sz w:val="20"/>
                <w:lang w:val="lt-LT" w:bidi="ta-IN"/>
              </w:rPr>
              <w:t>Eur su PVM</w:t>
            </w:r>
          </w:p>
        </w:tc>
        <w:tc>
          <w:tcPr>
            <w:tcW w:w="1550" w:type="dxa"/>
          </w:tcPr>
          <w:p w14:paraId="505C3C80" w14:textId="71C2D85D" w:rsidR="00CC656C" w:rsidRPr="003D475B" w:rsidRDefault="00233788" w:rsidP="003D475B">
            <w:pPr>
              <w:spacing w:before="60" w:after="60"/>
              <w:jc w:val="center"/>
              <w:rPr>
                <w:b/>
                <w:bCs/>
                <w:i/>
                <w:iCs/>
                <w:sz w:val="16"/>
                <w:szCs w:val="16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 xml:space="preserve">[bus </w:t>
            </w:r>
            <w:r w:rsidR="008F63A8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nustatytas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4318" w:type="dxa"/>
          </w:tcPr>
          <w:p w14:paraId="2D13CEBA" w14:textId="58FBE868" w:rsidR="00CC656C" w:rsidRPr="00467F53" w:rsidRDefault="00467F53" w:rsidP="00073AA3">
            <w:pPr>
              <w:spacing w:before="60" w:after="60"/>
              <w:rPr>
                <w:bCs/>
                <w:sz w:val="18"/>
                <w:szCs w:val="18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 w:rsidR="008F63A8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formulė bus nustatyta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2790" w:type="dxa"/>
          </w:tcPr>
          <w:p w14:paraId="6BEE7256" w14:textId="2851B34C" w:rsidR="00CC656C" w:rsidRPr="00467F53" w:rsidRDefault="00467F53" w:rsidP="00073AA3">
            <w:pPr>
              <w:spacing w:before="60" w:after="60"/>
              <w:rPr>
                <w:bCs/>
                <w:sz w:val="18"/>
                <w:szCs w:val="18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 w:rsidR="00AD4F21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 xml:space="preserve">šio kriterijaus 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 xml:space="preserve">vertinimo tvarkos </w:t>
            </w:r>
            <w:r w:rsidR="008F63A8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aprašymas bus pateiktas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</w:tr>
      <w:tr w:rsidR="00AA1D28" w:rsidRPr="00820914" w14:paraId="1DE6920A" w14:textId="77777777" w:rsidTr="00EC3880">
        <w:trPr>
          <w:trHeight w:val="299"/>
        </w:trPr>
        <w:tc>
          <w:tcPr>
            <w:tcW w:w="1307" w:type="dxa"/>
          </w:tcPr>
          <w:p w14:paraId="492E0DDD" w14:textId="525E5092" w:rsidR="00C057F4" w:rsidRDefault="00C057F4" w:rsidP="00C057F4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 w:rsidR="00915D3E" w:rsidRPr="00915D3E">
              <w:rPr>
                <w:bCs/>
                <w:sz w:val="20"/>
                <w:vertAlign w:val="subscript"/>
                <w:lang w:val="lt-LT" w:bidi="ta-IN"/>
              </w:rPr>
              <w:t>1</w:t>
            </w:r>
          </w:p>
        </w:tc>
        <w:tc>
          <w:tcPr>
            <w:tcW w:w="2282" w:type="dxa"/>
          </w:tcPr>
          <w:p w14:paraId="06D6A823" w14:textId="31F5BD2E" w:rsidR="00C057F4" w:rsidRPr="000A4AE0" w:rsidRDefault="00055259" w:rsidP="00C057F4">
            <w:pPr>
              <w:spacing w:before="60" w:after="60"/>
              <w:rPr>
                <w:bCs/>
                <w:sz w:val="20"/>
                <w:lang w:val="lt-LT" w:bidi="ta-IN"/>
              </w:rPr>
            </w:pPr>
            <w:r w:rsidRPr="00055259">
              <w:rPr>
                <w:bCs/>
                <w:sz w:val="20"/>
                <w:lang w:val="lt-LT" w:bidi="ta-IN"/>
              </w:rPr>
              <w:t xml:space="preserve">Abi techniškai integruotos sistemos yra pajėgios atlikti šiuos tyrimus: Ig G antikūnus prieš EBV kapsidinį antigeną, Ig M antikūnus prieš EBV kapsidinį antigeną, trauminės smegenų pažaidos žymenis: glijos fibrilinį rūgštųjį baltymą (GFAP) </w:t>
            </w:r>
            <w:r w:rsidRPr="00055259">
              <w:rPr>
                <w:bCs/>
                <w:sz w:val="20"/>
                <w:lang w:val="lt-LT" w:bidi="ta-IN"/>
              </w:rPr>
              <w:lastRenderedPageBreak/>
              <w:t>ir ubikvitino karboksil-galinę hidrolazę L1 (UCH-L1).</w:t>
            </w:r>
          </w:p>
        </w:tc>
        <w:tc>
          <w:tcPr>
            <w:tcW w:w="1332" w:type="dxa"/>
          </w:tcPr>
          <w:p w14:paraId="73FCF9D0" w14:textId="1F7D9472" w:rsidR="00C057F4" w:rsidRPr="00073AA3" w:rsidRDefault="00C057F4" w:rsidP="00C057F4">
            <w:pPr>
              <w:spacing w:before="60" w:after="60"/>
              <w:jc w:val="center"/>
              <w:rPr>
                <w:color w:val="FF0000"/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lastRenderedPageBreak/>
              <w:t>–</w:t>
            </w:r>
          </w:p>
        </w:tc>
        <w:tc>
          <w:tcPr>
            <w:tcW w:w="1806" w:type="dxa"/>
          </w:tcPr>
          <w:p w14:paraId="4B089C1E" w14:textId="1B2A2163" w:rsidR="00C057F4" w:rsidRPr="00E161D4" w:rsidRDefault="00C057F4" w:rsidP="00C057F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245A18F8" w14:textId="09DA2D8F" w:rsidR="00C057F4" w:rsidRPr="00E161D4" w:rsidRDefault="00FA3DD7" w:rsidP="00C057F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5</w:t>
            </w:r>
          </w:p>
        </w:tc>
        <w:tc>
          <w:tcPr>
            <w:tcW w:w="4318" w:type="dxa"/>
          </w:tcPr>
          <w:p w14:paraId="4E326699" w14:textId="1212806C" w:rsidR="00C057F4" w:rsidRPr="00E161D4" w:rsidRDefault="00C057F4" w:rsidP="00C057F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T</w:t>
            </w:r>
            <w:r w:rsidR="00A5381F"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AIP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 = maksimalus balas, t. y. </w:t>
            </w:r>
            <w:r w:rsidR="00E161D4"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5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2F7CB56A" w14:textId="77C726D5" w:rsidR="00C057F4" w:rsidRPr="00E161D4" w:rsidRDefault="00C057F4" w:rsidP="00C057F4">
            <w:pPr>
              <w:spacing w:before="60"/>
            </w:pPr>
            <w:r w:rsidRPr="00E161D4">
              <w:rPr>
                <w:bCs/>
                <w:sz w:val="20"/>
                <w:lang w:val="lt-LT" w:bidi="ta-IN"/>
              </w:rPr>
              <w:t>N</w:t>
            </w:r>
            <w:r w:rsidR="00A5381F" w:rsidRPr="00E161D4">
              <w:rPr>
                <w:bCs/>
                <w:sz w:val="20"/>
                <w:lang w:val="lt-LT" w:bidi="ta-IN"/>
              </w:rPr>
              <w:t>E</w:t>
            </w:r>
            <w:r w:rsidRPr="00E161D4">
              <w:rPr>
                <w:bCs/>
                <w:sz w:val="20"/>
                <w:lang w:val="lt-LT" w:bidi="ta-IN"/>
              </w:rPr>
              <w:t xml:space="preserve"> = 0.</w:t>
            </w:r>
          </w:p>
        </w:tc>
        <w:tc>
          <w:tcPr>
            <w:tcW w:w="2790" w:type="dxa"/>
          </w:tcPr>
          <w:p w14:paraId="699A5985" w14:textId="77777777" w:rsidR="00C057F4" w:rsidRDefault="00C057F4" w:rsidP="00C057F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5E487CBF" w14:textId="7B59254C" w:rsidR="00C057F4" w:rsidRDefault="00C057F4" w:rsidP="00C057F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 w:rsidR="00121BB0"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</w:t>
            </w:r>
            <w:r w:rsidR="00055259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>dokumentus.</w:t>
            </w:r>
          </w:p>
        </w:tc>
      </w:tr>
      <w:tr w:rsidR="00AA1D28" w:rsidRPr="00820914" w14:paraId="51EC4B1E" w14:textId="77777777" w:rsidTr="00EC3880">
        <w:trPr>
          <w:trHeight w:val="299"/>
        </w:trPr>
        <w:tc>
          <w:tcPr>
            <w:tcW w:w="1307" w:type="dxa"/>
          </w:tcPr>
          <w:p w14:paraId="4D4D9C52" w14:textId="1B906AE5" w:rsidR="00C057F4" w:rsidRDefault="00C057F4" w:rsidP="00C057F4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 w:rsidR="00915D3E">
              <w:rPr>
                <w:bCs/>
                <w:sz w:val="20"/>
                <w:vertAlign w:val="subscript"/>
                <w:lang w:val="lt-LT" w:bidi="ta-IN"/>
              </w:rPr>
              <w:t>2</w:t>
            </w:r>
          </w:p>
        </w:tc>
        <w:tc>
          <w:tcPr>
            <w:tcW w:w="2282" w:type="dxa"/>
          </w:tcPr>
          <w:p w14:paraId="3572C5F7" w14:textId="51A73309" w:rsidR="00C057F4" w:rsidRPr="003E7CCF" w:rsidRDefault="007A39D1" w:rsidP="00C057F4">
            <w:pPr>
              <w:spacing w:before="60" w:after="60"/>
              <w:rPr>
                <w:bCs/>
                <w:sz w:val="20"/>
                <w:lang w:val="lt-LT" w:bidi="ta-IN"/>
              </w:rPr>
            </w:pPr>
            <w:r w:rsidRPr="007A39D1">
              <w:rPr>
                <w:bCs/>
                <w:sz w:val="20"/>
                <w:lang w:val="lt-LT" w:bidi="ta-IN"/>
              </w:rPr>
              <w:t>Integruotos sistemos matuoja didelio jautrumo troponino komplekso baltymą I.</w:t>
            </w:r>
          </w:p>
        </w:tc>
        <w:tc>
          <w:tcPr>
            <w:tcW w:w="1332" w:type="dxa"/>
          </w:tcPr>
          <w:p w14:paraId="0F2155D9" w14:textId="4530BDFC" w:rsidR="00C057F4" w:rsidRPr="000F1EBB" w:rsidRDefault="00C057F4" w:rsidP="00C057F4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0CE71364" w14:textId="5D0D0293" w:rsidR="00C057F4" w:rsidRPr="00E161D4" w:rsidRDefault="00C057F4" w:rsidP="00C057F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17DFA797" w14:textId="620BAAAC" w:rsidR="00C057F4" w:rsidRPr="00E161D4" w:rsidRDefault="00F95BF4" w:rsidP="00C057F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5</w:t>
            </w:r>
          </w:p>
        </w:tc>
        <w:tc>
          <w:tcPr>
            <w:tcW w:w="4318" w:type="dxa"/>
          </w:tcPr>
          <w:p w14:paraId="5086220D" w14:textId="6FFCC160" w:rsidR="00C057F4" w:rsidRPr="00E161D4" w:rsidRDefault="00C057F4" w:rsidP="00C057F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T</w:t>
            </w:r>
            <w:r w:rsidR="00A5381F"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AIP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 = maksimalus balas, t. y. </w:t>
            </w:r>
            <w:r w:rsidR="00F95BF4">
              <w:rPr>
                <w:rFonts w:eastAsia="Times New Roman"/>
                <w:iCs/>
                <w:sz w:val="20"/>
                <w:szCs w:val="18"/>
                <w:lang w:val="lt-LT"/>
              </w:rPr>
              <w:t>5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7A2D1189" w14:textId="04A06C30" w:rsidR="00C057F4" w:rsidRPr="00E161D4" w:rsidRDefault="00C057F4" w:rsidP="00C057F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</w:t>
            </w:r>
            <w:r w:rsidR="00A5381F" w:rsidRPr="00E161D4">
              <w:rPr>
                <w:bCs/>
                <w:sz w:val="20"/>
                <w:lang w:val="lt-LT" w:bidi="ta-IN"/>
              </w:rPr>
              <w:t xml:space="preserve">E </w:t>
            </w:r>
            <w:r w:rsidRPr="00E161D4">
              <w:rPr>
                <w:bCs/>
                <w:sz w:val="20"/>
                <w:lang w:val="lt-LT" w:bidi="ta-IN"/>
              </w:rPr>
              <w:t>= 0.</w:t>
            </w:r>
          </w:p>
        </w:tc>
        <w:tc>
          <w:tcPr>
            <w:tcW w:w="2790" w:type="dxa"/>
          </w:tcPr>
          <w:p w14:paraId="59E28B9E" w14:textId="77777777" w:rsidR="00C057F4" w:rsidRDefault="00C057F4" w:rsidP="00C057F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2E06B220" w14:textId="0EE3855B" w:rsidR="00C057F4" w:rsidRDefault="00C057F4" w:rsidP="00C057F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 w:rsidR="00954905"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7A39D1" w:rsidRPr="00820914" w14:paraId="277EFB36" w14:textId="77777777" w:rsidTr="00EC3880">
        <w:trPr>
          <w:trHeight w:val="299"/>
        </w:trPr>
        <w:tc>
          <w:tcPr>
            <w:tcW w:w="1307" w:type="dxa"/>
          </w:tcPr>
          <w:p w14:paraId="2ACF2100" w14:textId="66F90BF3" w:rsidR="007A39D1" w:rsidRDefault="007A39D1" w:rsidP="007A39D1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3</w:t>
            </w:r>
          </w:p>
        </w:tc>
        <w:tc>
          <w:tcPr>
            <w:tcW w:w="2282" w:type="dxa"/>
          </w:tcPr>
          <w:p w14:paraId="6731B3EC" w14:textId="485BCBE7" w:rsidR="007A39D1" w:rsidRPr="007A39D1" w:rsidRDefault="007A39D1" w:rsidP="007A39D1">
            <w:pPr>
              <w:spacing w:before="60" w:after="60"/>
              <w:rPr>
                <w:bCs/>
                <w:sz w:val="20"/>
                <w:lang w:val="lt-LT" w:bidi="ta-IN"/>
              </w:rPr>
            </w:pPr>
            <w:r w:rsidRPr="007A39D1">
              <w:rPr>
                <w:bCs/>
                <w:sz w:val="20"/>
                <w:lang w:val="lt-LT" w:bidi="ta-IN"/>
              </w:rPr>
              <w:t>Visi imonocheminių tyrimų metodai nėra pagrįsti biotino-streptavidino sąveika.</w:t>
            </w:r>
          </w:p>
        </w:tc>
        <w:tc>
          <w:tcPr>
            <w:tcW w:w="1332" w:type="dxa"/>
          </w:tcPr>
          <w:p w14:paraId="78D0440A" w14:textId="62CBC1FF" w:rsidR="007A39D1" w:rsidRDefault="007A39D1" w:rsidP="007A39D1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68CF35A2" w14:textId="3DDE2BFA" w:rsidR="007A39D1" w:rsidRPr="00E161D4" w:rsidRDefault="007A39D1" w:rsidP="007A39D1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70496762" w14:textId="17B0665D" w:rsidR="007A39D1" w:rsidRPr="00E161D4" w:rsidRDefault="007661E2" w:rsidP="007A39D1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7</w:t>
            </w:r>
          </w:p>
        </w:tc>
        <w:tc>
          <w:tcPr>
            <w:tcW w:w="4318" w:type="dxa"/>
          </w:tcPr>
          <w:p w14:paraId="235F0DDA" w14:textId="5206ABA7" w:rsidR="007A39D1" w:rsidRPr="00E161D4" w:rsidRDefault="007A39D1" w:rsidP="007A39D1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7661E2">
              <w:rPr>
                <w:rFonts w:eastAsia="Times New Roman"/>
                <w:iCs/>
                <w:sz w:val="20"/>
                <w:szCs w:val="18"/>
                <w:lang w:val="lt-LT"/>
              </w:rPr>
              <w:t>7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4B100B25" w14:textId="10A32AEE" w:rsidR="007A39D1" w:rsidRPr="00E161D4" w:rsidRDefault="007A39D1" w:rsidP="007A39D1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5EB2B1EB" w14:textId="77777777" w:rsidR="007A39D1" w:rsidRDefault="007A39D1" w:rsidP="007A39D1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 xml:space="preserve">1. Jeigu tiekėjo pasiūlymas pilna apimtimi atitinka nurodytą kokybės kriterijaus reikalavimą (techninį parametrą), jam skiriamas maksimalus </w:t>
            </w:r>
            <w:r>
              <w:rPr>
                <w:bCs/>
                <w:sz w:val="20"/>
                <w:lang w:val="lt-LT" w:bidi="ta-IN"/>
              </w:rPr>
              <w:lastRenderedPageBreak/>
              <w:t>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41885DB0" w14:textId="0E7C4A3C" w:rsidR="007A39D1" w:rsidRDefault="007A39D1" w:rsidP="007A39D1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 w:rsidR="00F57736"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7A39D1" w:rsidRPr="00820914" w14:paraId="49A42913" w14:textId="77777777" w:rsidTr="00EC3880">
        <w:trPr>
          <w:trHeight w:val="299"/>
        </w:trPr>
        <w:tc>
          <w:tcPr>
            <w:tcW w:w="1307" w:type="dxa"/>
          </w:tcPr>
          <w:p w14:paraId="78F12DA0" w14:textId="31214FB2" w:rsidR="007A39D1" w:rsidRDefault="007A39D1" w:rsidP="007A39D1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 w:rsidR="004957D2">
              <w:rPr>
                <w:bCs/>
                <w:sz w:val="20"/>
                <w:vertAlign w:val="subscript"/>
                <w:lang w:val="lt-LT" w:bidi="ta-IN"/>
              </w:rPr>
              <w:t>4</w:t>
            </w:r>
          </w:p>
        </w:tc>
        <w:tc>
          <w:tcPr>
            <w:tcW w:w="2282" w:type="dxa"/>
          </w:tcPr>
          <w:p w14:paraId="2724B57F" w14:textId="77777777" w:rsidR="004957D2" w:rsidRPr="004957D2" w:rsidRDefault="004957D2" w:rsidP="004957D2">
            <w:pPr>
              <w:spacing w:before="60" w:after="60"/>
              <w:rPr>
                <w:bCs/>
                <w:sz w:val="20"/>
                <w:lang w:val="lt-LT" w:bidi="ta-IN"/>
              </w:rPr>
            </w:pPr>
            <w:r w:rsidRPr="004957D2">
              <w:rPr>
                <w:bCs/>
                <w:sz w:val="20"/>
                <w:lang w:val="lt-LT" w:bidi="ta-IN"/>
              </w:rPr>
              <w:t>Biocheminių tyrimų reakcijos vyksta daugkartinio naudojimo kiuvetėse, kurių nereikia keisti numatytą sutarties galiojimo laikotarpį.</w:t>
            </w:r>
          </w:p>
          <w:p w14:paraId="4653871A" w14:textId="77777777" w:rsidR="004957D2" w:rsidRPr="004957D2" w:rsidRDefault="004957D2" w:rsidP="004957D2">
            <w:pPr>
              <w:spacing w:before="60" w:after="60"/>
              <w:rPr>
                <w:bCs/>
                <w:sz w:val="20"/>
                <w:lang w:val="lt-LT" w:bidi="ta-IN"/>
              </w:rPr>
            </w:pPr>
          </w:p>
          <w:p w14:paraId="57704F5B" w14:textId="4E4C2F0E" w:rsidR="007A39D1" w:rsidRPr="004957D2" w:rsidRDefault="004957D2" w:rsidP="004957D2">
            <w:pPr>
              <w:spacing w:before="60" w:after="60"/>
              <w:rPr>
                <w:bCs/>
                <w:i/>
                <w:iCs/>
                <w:sz w:val="20"/>
                <w:lang w:val="lt-LT" w:bidi="ta-IN"/>
              </w:rPr>
            </w:pPr>
            <w:r w:rsidRPr="004957D2">
              <w:rPr>
                <w:bCs/>
                <w:i/>
                <w:iCs/>
                <w:sz w:val="20"/>
                <w:lang w:val="lt-LT" w:bidi="ta-IN"/>
              </w:rPr>
              <w:t>Reikalavimas keliamas ir kaip aplinkosauginis reikalavimas, vadovaujantis Aplinkos apsaugos kriterijų taikymo, vykdant žaliuosius pirkimus, tvarkos aprašo 4.4.4.3</w:t>
            </w:r>
            <w:r>
              <w:rPr>
                <w:bCs/>
                <w:i/>
                <w:iCs/>
                <w:sz w:val="20"/>
                <w:lang w:val="lt-LT" w:bidi="ta-IN"/>
              </w:rPr>
              <w:t> </w:t>
            </w:r>
            <w:r w:rsidRPr="004957D2">
              <w:rPr>
                <w:bCs/>
                <w:i/>
                <w:iCs/>
                <w:sz w:val="20"/>
                <w:lang w:val="lt-LT" w:bidi="ta-IN"/>
              </w:rPr>
              <w:t>papunkčiu.</w:t>
            </w:r>
          </w:p>
        </w:tc>
        <w:tc>
          <w:tcPr>
            <w:tcW w:w="1332" w:type="dxa"/>
          </w:tcPr>
          <w:p w14:paraId="0AA13632" w14:textId="20692CA8" w:rsidR="007A39D1" w:rsidRDefault="007A39D1" w:rsidP="007A39D1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65A8D15C" w14:textId="7DE2ED83" w:rsidR="007A39D1" w:rsidRPr="00E161D4" w:rsidRDefault="007A39D1" w:rsidP="007A39D1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1874B547" w14:textId="3EB5EF3C" w:rsidR="007A39D1" w:rsidRPr="00E161D4" w:rsidRDefault="00AA1D28" w:rsidP="007A39D1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5</w:t>
            </w:r>
          </w:p>
        </w:tc>
        <w:tc>
          <w:tcPr>
            <w:tcW w:w="4318" w:type="dxa"/>
          </w:tcPr>
          <w:p w14:paraId="012D8E34" w14:textId="2F4E00D1" w:rsidR="007A39D1" w:rsidRPr="00E161D4" w:rsidRDefault="007A39D1" w:rsidP="007A39D1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AA1D28">
              <w:rPr>
                <w:rFonts w:eastAsia="Times New Roman"/>
                <w:iCs/>
                <w:sz w:val="20"/>
                <w:szCs w:val="18"/>
                <w:lang w:val="lt-LT"/>
              </w:rPr>
              <w:t>5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505B2C20" w14:textId="4BB5180A" w:rsidR="007A39D1" w:rsidRPr="00E161D4" w:rsidRDefault="007A39D1" w:rsidP="007A39D1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7D68057B" w14:textId="77777777" w:rsidR="007A39D1" w:rsidRDefault="007A39D1" w:rsidP="007A39D1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54B89E77" w14:textId="715D98FD" w:rsidR="007A39D1" w:rsidRDefault="007A39D1" w:rsidP="007A39D1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 w:rsidR="00F57736"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4957D2" w:rsidRPr="00820914" w14:paraId="05BAF24B" w14:textId="77777777" w:rsidTr="00EC3880">
        <w:trPr>
          <w:trHeight w:val="299"/>
        </w:trPr>
        <w:tc>
          <w:tcPr>
            <w:tcW w:w="1307" w:type="dxa"/>
          </w:tcPr>
          <w:p w14:paraId="26F7FCD5" w14:textId="215EC29B" w:rsidR="004957D2" w:rsidRDefault="004957D2" w:rsidP="004957D2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5</w:t>
            </w:r>
          </w:p>
        </w:tc>
        <w:tc>
          <w:tcPr>
            <w:tcW w:w="2282" w:type="dxa"/>
          </w:tcPr>
          <w:p w14:paraId="12AB3007" w14:textId="791E8454" w:rsidR="004957D2" w:rsidRPr="004957D2" w:rsidRDefault="004957D2" w:rsidP="004957D2">
            <w:pPr>
              <w:spacing w:before="60" w:after="60"/>
              <w:rPr>
                <w:bCs/>
                <w:sz w:val="20"/>
                <w:lang w:val="lt-LT" w:bidi="ta-IN"/>
              </w:rPr>
            </w:pPr>
            <w:r w:rsidRPr="004957D2">
              <w:rPr>
                <w:bCs/>
                <w:sz w:val="20"/>
                <w:lang w:val="lt-LT" w:bidi="ta-IN"/>
              </w:rPr>
              <w:t>Visų imunocheminių tyrimų kalibravimo</w:t>
            </w:r>
            <w:r w:rsidR="00110330">
              <w:rPr>
                <w:bCs/>
                <w:sz w:val="20"/>
                <w:lang w:val="lt-LT" w:bidi="ta-IN"/>
              </w:rPr>
              <w:t xml:space="preserve"> </w:t>
            </w:r>
            <w:r w:rsidRPr="004957D2">
              <w:rPr>
                <w:bCs/>
                <w:sz w:val="20"/>
                <w:lang w:val="lt-LT" w:bidi="ta-IN"/>
              </w:rPr>
              <w:t>medžiagos yra paruoštos naudoti, nereikia rankinių skiedimo veiksmų.</w:t>
            </w:r>
          </w:p>
        </w:tc>
        <w:tc>
          <w:tcPr>
            <w:tcW w:w="1332" w:type="dxa"/>
          </w:tcPr>
          <w:p w14:paraId="4C5E3C4E" w14:textId="4C76D7A9" w:rsidR="004957D2" w:rsidRDefault="004957D2" w:rsidP="004957D2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563C6C47" w14:textId="063C5A25" w:rsidR="004957D2" w:rsidRPr="00E161D4" w:rsidRDefault="004957D2" w:rsidP="004957D2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6712C7DE" w14:textId="5571413A" w:rsidR="00AA1D28" w:rsidRPr="00110330" w:rsidRDefault="00AA1D28" w:rsidP="00110330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2,5</w:t>
            </w:r>
          </w:p>
        </w:tc>
        <w:tc>
          <w:tcPr>
            <w:tcW w:w="4318" w:type="dxa"/>
          </w:tcPr>
          <w:p w14:paraId="40FE6BDA" w14:textId="6C4B3148" w:rsidR="004957D2" w:rsidRPr="00E161D4" w:rsidRDefault="004957D2" w:rsidP="004957D2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AA1D28">
              <w:rPr>
                <w:rFonts w:eastAsia="Times New Roman"/>
                <w:iCs/>
                <w:sz w:val="20"/>
                <w:szCs w:val="18"/>
                <w:lang w:val="lt-LT"/>
              </w:rPr>
              <w:t>2,5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568A74F3" w14:textId="7B7C653B" w:rsidR="004957D2" w:rsidRPr="00E161D4" w:rsidRDefault="004957D2" w:rsidP="004957D2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6E447CDF" w14:textId="77777777" w:rsidR="004957D2" w:rsidRDefault="004957D2" w:rsidP="004957D2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18B57E4C" w14:textId="31FE1010" w:rsidR="004957D2" w:rsidRDefault="004957D2" w:rsidP="004957D2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 w:rsidR="00F57736"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4957D2" w:rsidRPr="00820914" w14:paraId="21264645" w14:textId="77777777" w:rsidTr="00EC3880">
        <w:trPr>
          <w:trHeight w:val="299"/>
        </w:trPr>
        <w:tc>
          <w:tcPr>
            <w:tcW w:w="1307" w:type="dxa"/>
          </w:tcPr>
          <w:p w14:paraId="57727ACB" w14:textId="6B8D466B" w:rsidR="004957D2" w:rsidRDefault="004957D2" w:rsidP="004957D2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6</w:t>
            </w:r>
          </w:p>
        </w:tc>
        <w:tc>
          <w:tcPr>
            <w:tcW w:w="2282" w:type="dxa"/>
          </w:tcPr>
          <w:p w14:paraId="5DDD9F87" w14:textId="5D27FF31" w:rsidR="004957D2" w:rsidRPr="004957D2" w:rsidRDefault="004957D2" w:rsidP="004957D2">
            <w:pPr>
              <w:spacing w:before="60" w:after="60"/>
              <w:rPr>
                <w:bCs/>
                <w:sz w:val="20"/>
                <w:lang w:val="lt-LT" w:bidi="ta-IN"/>
              </w:rPr>
            </w:pPr>
            <w:r w:rsidRPr="004957D2">
              <w:rPr>
                <w:bCs/>
                <w:sz w:val="20"/>
                <w:lang w:val="lt-LT" w:bidi="ta-IN"/>
              </w:rPr>
              <w:t>Visų imunocheminių tyrimų</w:t>
            </w:r>
            <w:r w:rsidR="00DF7139">
              <w:rPr>
                <w:bCs/>
                <w:sz w:val="20"/>
                <w:lang w:val="lt-LT" w:bidi="ta-IN"/>
              </w:rPr>
              <w:t xml:space="preserve"> </w:t>
            </w:r>
            <w:r w:rsidRPr="004957D2">
              <w:rPr>
                <w:bCs/>
                <w:sz w:val="20"/>
                <w:lang w:val="lt-LT" w:bidi="ta-IN"/>
              </w:rPr>
              <w:t>kontrolinės medžiagos yra paruoštos naudoti, nereikia rankinių skiedimo veiksmų.</w:t>
            </w:r>
          </w:p>
        </w:tc>
        <w:tc>
          <w:tcPr>
            <w:tcW w:w="1332" w:type="dxa"/>
          </w:tcPr>
          <w:p w14:paraId="1A3DD975" w14:textId="47DF90C1" w:rsidR="004957D2" w:rsidRDefault="004957D2" w:rsidP="004957D2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51CC280F" w14:textId="66C115F3" w:rsidR="004957D2" w:rsidRPr="00E161D4" w:rsidRDefault="004957D2" w:rsidP="004957D2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20299706" w14:textId="6C124384" w:rsidR="00AA1D28" w:rsidRPr="00E161D4" w:rsidRDefault="00AA1D28" w:rsidP="00961C93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2,5</w:t>
            </w:r>
          </w:p>
        </w:tc>
        <w:tc>
          <w:tcPr>
            <w:tcW w:w="4318" w:type="dxa"/>
          </w:tcPr>
          <w:p w14:paraId="35AFED74" w14:textId="291421AD" w:rsidR="004957D2" w:rsidRPr="00E161D4" w:rsidRDefault="004957D2" w:rsidP="004957D2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AA1D28">
              <w:rPr>
                <w:rFonts w:eastAsia="Times New Roman"/>
                <w:iCs/>
                <w:sz w:val="20"/>
                <w:szCs w:val="18"/>
                <w:lang w:val="lt-LT"/>
              </w:rPr>
              <w:t>2,5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76939745" w14:textId="3935495E" w:rsidR="004957D2" w:rsidRPr="00E161D4" w:rsidRDefault="004957D2" w:rsidP="004957D2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4C4C66E7" w14:textId="77777777" w:rsidR="004957D2" w:rsidRDefault="004957D2" w:rsidP="004957D2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171F26F5" w14:textId="7745E74D" w:rsidR="004957D2" w:rsidRDefault="004957D2" w:rsidP="004957D2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konkretaus pirkimo sąlygų </w:t>
            </w:r>
            <w:r w:rsidRPr="00616CA3">
              <w:rPr>
                <w:b/>
                <w:sz w:val="20"/>
                <w:u w:val="single"/>
                <w:lang w:val="lt-LT" w:bidi="ta-IN"/>
              </w:rPr>
              <w:lastRenderedPageBreak/>
              <w:t>1</w:t>
            </w:r>
            <w:r w:rsidR="00F57736"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935ADD" w:rsidRPr="00820914" w14:paraId="63FD2EFE" w14:textId="77777777" w:rsidTr="00EC3880">
        <w:trPr>
          <w:trHeight w:val="299"/>
        </w:trPr>
        <w:tc>
          <w:tcPr>
            <w:tcW w:w="1307" w:type="dxa"/>
          </w:tcPr>
          <w:p w14:paraId="34A8A9A2" w14:textId="27879978" w:rsidR="00935ADD" w:rsidRDefault="00935ADD" w:rsidP="00935ADD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7</w:t>
            </w:r>
          </w:p>
        </w:tc>
        <w:tc>
          <w:tcPr>
            <w:tcW w:w="2282" w:type="dxa"/>
          </w:tcPr>
          <w:p w14:paraId="45807A14" w14:textId="020713CC" w:rsidR="00935ADD" w:rsidRPr="00935ADD" w:rsidRDefault="00935ADD" w:rsidP="00935ADD">
            <w:pPr>
              <w:spacing w:before="60" w:after="60"/>
              <w:rPr>
                <w:bCs/>
                <w:color w:val="000000" w:themeColor="text1"/>
                <w:sz w:val="20"/>
                <w:lang w:val="lt-LT" w:bidi="ta-IN"/>
              </w:rPr>
            </w:pPr>
            <w:r w:rsidRPr="00935ADD">
              <w:rPr>
                <w:bCs/>
                <w:color w:val="000000" w:themeColor="text1"/>
                <w:sz w:val="20"/>
                <w:lang w:val="lt-LT" w:bidi="ta-IN"/>
              </w:rPr>
              <w:t xml:space="preserve">Testosterono kiekybinio nustatymo riba (angl. </w:t>
            </w:r>
            <w:r w:rsidRPr="00AA1D28">
              <w:rPr>
                <w:bCs/>
                <w:i/>
                <w:iCs/>
                <w:color w:val="000000" w:themeColor="text1"/>
                <w:sz w:val="20"/>
                <w:lang w:val="lt-LT" w:bidi="ta-IN"/>
              </w:rPr>
              <w:t>limit of quantification</w:t>
            </w:r>
            <w:r w:rsidRPr="00935ADD">
              <w:rPr>
                <w:bCs/>
                <w:color w:val="000000" w:themeColor="text1"/>
                <w:sz w:val="20"/>
                <w:lang w:val="lt-LT" w:bidi="ta-IN"/>
              </w:rPr>
              <w:t>) - ne didesnė kaip 0,1 nmo/l.</w:t>
            </w:r>
          </w:p>
        </w:tc>
        <w:tc>
          <w:tcPr>
            <w:tcW w:w="1332" w:type="dxa"/>
          </w:tcPr>
          <w:p w14:paraId="6CD81D04" w14:textId="0A041F4F" w:rsidR="00935ADD" w:rsidRDefault="00935ADD" w:rsidP="00935ADD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39DE14CB" w14:textId="5B31CEF9" w:rsidR="00935ADD" w:rsidRPr="00E161D4" w:rsidRDefault="00935ADD" w:rsidP="00935ADD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17D090C8" w14:textId="29E3CCD6" w:rsidR="00935ADD" w:rsidRPr="00E161D4" w:rsidRDefault="00F57736" w:rsidP="00935ADD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3</w:t>
            </w:r>
          </w:p>
        </w:tc>
        <w:tc>
          <w:tcPr>
            <w:tcW w:w="4318" w:type="dxa"/>
          </w:tcPr>
          <w:p w14:paraId="0095CB96" w14:textId="473A00C6" w:rsidR="00935ADD" w:rsidRPr="00E161D4" w:rsidRDefault="00935ADD" w:rsidP="00935ADD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F57736">
              <w:rPr>
                <w:rFonts w:eastAsia="Times New Roman"/>
                <w:iCs/>
                <w:sz w:val="20"/>
                <w:szCs w:val="18"/>
                <w:lang w:val="lt-LT"/>
              </w:rPr>
              <w:t>3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374F04C0" w14:textId="0DAFEA59" w:rsidR="00935ADD" w:rsidRPr="00E161D4" w:rsidRDefault="00935ADD" w:rsidP="00935ADD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30BE1C4B" w14:textId="77777777" w:rsidR="00935ADD" w:rsidRDefault="00935ADD" w:rsidP="00935ADD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6D760726" w14:textId="06803847" w:rsidR="00935ADD" w:rsidRDefault="00935ADD" w:rsidP="00935ADD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 w:rsidR="00F57736"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935ADD" w:rsidRPr="00820914" w14:paraId="1F16173B" w14:textId="77777777" w:rsidTr="00EC3880">
        <w:trPr>
          <w:trHeight w:val="299"/>
        </w:trPr>
        <w:tc>
          <w:tcPr>
            <w:tcW w:w="1307" w:type="dxa"/>
          </w:tcPr>
          <w:p w14:paraId="55E66AF3" w14:textId="6F76FE2A" w:rsidR="00935ADD" w:rsidRDefault="00935ADD" w:rsidP="00935ADD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8</w:t>
            </w:r>
          </w:p>
        </w:tc>
        <w:tc>
          <w:tcPr>
            <w:tcW w:w="2282" w:type="dxa"/>
          </w:tcPr>
          <w:p w14:paraId="03A1E045" w14:textId="7637E2FD" w:rsidR="00935ADD" w:rsidRPr="001909F3" w:rsidRDefault="00935ADD" w:rsidP="00935ADD">
            <w:pPr>
              <w:spacing w:before="60" w:after="60"/>
              <w:rPr>
                <w:bCs/>
                <w:color w:val="000000" w:themeColor="text1"/>
                <w:sz w:val="20"/>
                <w:lang w:val="lt-LT" w:bidi="ta-IN"/>
              </w:rPr>
            </w:pPr>
            <w:r w:rsidRPr="00935ADD">
              <w:rPr>
                <w:bCs/>
                <w:color w:val="000000" w:themeColor="text1"/>
                <w:sz w:val="20"/>
                <w:lang w:val="lt-LT" w:bidi="ta-IN"/>
              </w:rPr>
              <w:t>Nuolatinio reagentų ir visų kitų pagalbinių priemonių įdėjimo galimybė, nestabdant sistemos darbo.</w:t>
            </w:r>
          </w:p>
        </w:tc>
        <w:tc>
          <w:tcPr>
            <w:tcW w:w="1332" w:type="dxa"/>
          </w:tcPr>
          <w:p w14:paraId="7425716F" w14:textId="522032BD" w:rsidR="00935ADD" w:rsidRDefault="00935ADD" w:rsidP="00935ADD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5B7D9C45" w14:textId="3847518E" w:rsidR="00935ADD" w:rsidRPr="00E161D4" w:rsidRDefault="00935ADD" w:rsidP="00935ADD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7CE0E119" w14:textId="03700F53" w:rsidR="00935ADD" w:rsidRPr="00E161D4" w:rsidRDefault="00064855" w:rsidP="00935ADD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5</w:t>
            </w:r>
          </w:p>
        </w:tc>
        <w:tc>
          <w:tcPr>
            <w:tcW w:w="4318" w:type="dxa"/>
          </w:tcPr>
          <w:p w14:paraId="4C0CAA97" w14:textId="1B44914F" w:rsidR="00935ADD" w:rsidRPr="00E161D4" w:rsidRDefault="00935ADD" w:rsidP="00935ADD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064855">
              <w:rPr>
                <w:rFonts w:eastAsia="Times New Roman"/>
                <w:iCs/>
                <w:sz w:val="20"/>
                <w:szCs w:val="18"/>
                <w:lang w:val="lt-LT"/>
              </w:rPr>
              <w:t>5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5A287AB6" w14:textId="1CF93EB8" w:rsidR="00935ADD" w:rsidRPr="00E161D4" w:rsidRDefault="00935ADD" w:rsidP="00935ADD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20E7E6D9" w14:textId="77777777" w:rsidR="00935ADD" w:rsidRDefault="00935ADD" w:rsidP="00935ADD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 xml:space="preserve">Jeigu tiekėjo pasiūlymas neatitinka šio reikalavimo arba jį atitinka ne </w:t>
            </w:r>
            <w:r>
              <w:rPr>
                <w:bCs/>
                <w:sz w:val="20"/>
                <w:lang w:val="lt-LT" w:bidi="ta-IN"/>
              </w:rPr>
              <w:lastRenderedPageBreak/>
              <w:t>pilna apimtimi, tiekėjo pasiūlymui skiriama 0 balų.</w:t>
            </w:r>
          </w:p>
          <w:p w14:paraId="5DF8710E" w14:textId="507612D6" w:rsidR="00935ADD" w:rsidRDefault="00935ADD" w:rsidP="00935ADD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 w:rsidR="00064855"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935ADD" w:rsidRPr="00820914" w14:paraId="2584A5C3" w14:textId="77777777" w:rsidTr="00EC3880">
        <w:trPr>
          <w:trHeight w:val="299"/>
        </w:trPr>
        <w:tc>
          <w:tcPr>
            <w:tcW w:w="1307" w:type="dxa"/>
          </w:tcPr>
          <w:p w14:paraId="38AC2909" w14:textId="4D5546FB" w:rsidR="00935ADD" w:rsidRDefault="00935ADD" w:rsidP="00935ADD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9</w:t>
            </w:r>
          </w:p>
        </w:tc>
        <w:tc>
          <w:tcPr>
            <w:tcW w:w="2282" w:type="dxa"/>
          </w:tcPr>
          <w:p w14:paraId="3FAF1975" w14:textId="0E4B5D98" w:rsidR="00935ADD" w:rsidRPr="00935ADD" w:rsidRDefault="00935ADD" w:rsidP="00935ADD">
            <w:pPr>
              <w:spacing w:before="60" w:after="60"/>
              <w:rPr>
                <w:bCs/>
                <w:color w:val="000000" w:themeColor="text1"/>
                <w:sz w:val="20"/>
                <w:lang w:val="lt-LT" w:bidi="ta-IN"/>
              </w:rPr>
            </w:pPr>
            <w:r w:rsidRPr="006F303F">
              <w:rPr>
                <w:bCs/>
                <w:i/>
                <w:iCs/>
                <w:color w:val="000000" w:themeColor="text1"/>
                <w:sz w:val="20"/>
                <w:lang w:val="lt-LT" w:bidi="ta-IN"/>
              </w:rPr>
              <w:t>„Peer group“</w:t>
            </w:r>
            <w:r w:rsidRPr="00935ADD">
              <w:rPr>
                <w:bCs/>
                <w:color w:val="000000" w:themeColor="text1"/>
                <w:sz w:val="20"/>
                <w:lang w:val="lt-LT" w:bidi="ta-IN"/>
              </w:rPr>
              <w:t xml:space="preserve"> galimybė: identiškų vidaus kokybės kontrolės medžiagų tyrimo rezultatų tarplaboratoriniai palyginimai, pagal kuriuos įvertinami  laboratorijos rezultatai, lyginant su jungtiniais dalyvių, naudojančių tą pačią vidaus kokybės kontrolės medžiagą, rezultatais.</w:t>
            </w:r>
          </w:p>
        </w:tc>
        <w:tc>
          <w:tcPr>
            <w:tcW w:w="1332" w:type="dxa"/>
          </w:tcPr>
          <w:p w14:paraId="3B707984" w14:textId="6619E62D" w:rsidR="00935ADD" w:rsidRDefault="00935ADD" w:rsidP="00935ADD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64F298E3" w14:textId="0AA04669" w:rsidR="00935ADD" w:rsidRPr="00E161D4" w:rsidRDefault="00935ADD" w:rsidP="00935ADD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49E037CC" w14:textId="77234BEA" w:rsidR="00935ADD" w:rsidRPr="00E161D4" w:rsidRDefault="00573464" w:rsidP="00935ADD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5</w:t>
            </w:r>
          </w:p>
        </w:tc>
        <w:tc>
          <w:tcPr>
            <w:tcW w:w="4318" w:type="dxa"/>
          </w:tcPr>
          <w:p w14:paraId="11D9D58D" w14:textId="39D15A0E" w:rsidR="00935ADD" w:rsidRPr="00E161D4" w:rsidRDefault="00935ADD" w:rsidP="00935ADD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573464">
              <w:rPr>
                <w:rFonts w:eastAsia="Times New Roman"/>
                <w:iCs/>
                <w:sz w:val="20"/>
                <w:szCs w:val="18"/>
                <w:lang w:val="lt-LT"/>
              </w:rPr>
              <w:t>5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39C96633" w14:textId="6CE231BA" w:rsidR="00935ADD" w:rsidRPr="00E161D4" w:rsidRDefault="00935ADD" w:rsidP="00935ADD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3C9A8C8E" w14:textId="77777777" w:rsidR="00935ADD" w:rsidRDefault="00935ADD" w:rsidP="00935ADD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7E628B3D" w14:textId="41FFEDE8" w:rsidR="00935ADD" w:rsidRDefault="00935ADD" w:rsidP="00935ADD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 w:rsidR="00573464"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</w:tbl>
    <w:bookmarkEnd w:id="1"/>
    <w:p w14:paraId="0EEAAB59" w14:textId="38F2DF5A" w:rsidR="00C32B1E" w:rsidRPr="0032717B" w:rsidRDefault="00C92533" w:rsidP="0032717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ind w:left="720" w:firstLine="540"/>
        <w:jc w:val="center"/>
        <w:outlineLvl w:val="0"/>
        <w:rPr>
          <w:rFonts w:eastAsia="Arial Unicode MS" w:cs="Arial Unicode MS"/>
          <w:color w:val="000000"/>
          <w:sz w:val="22"/>
          <w:bdr w:val="nil"/>
          <w:lang w:val="lt-LT"/>
        </w:rPr>
      </w:pPr>
      <w:r>
        <w:rPr>
          <w:rFonts w:eastAsia="Arial Unicode MS" w:cs="Arial Unicode MS"/>
          <w:color w:val="000000"/>
          <w:sz w:val="22"/>
          <w:bdr w:val="nil"/>
          <w:lang w:val="lt-LT"/>
        </w:rPr>
        <w:t>_______________________</w:t>
      </w:r>
    </w:p>
    <w:sectPr w:rsidR="00C32B1E" w:rsidRPr="0032717B" w:rsidSect="0081621C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6C"/>
    <w:rsid w:val="00012A5D"/>
    <w:rsid w:val="00031854"/>
    <w:rsid w:val="00055259"/>
    <w:rsid w:val="00064855"/>
    <w:rsid w:val="00073AA3"/>
    <w:rsid w:val="000A4AE0"/>
    <w:rsid w:val="000B2DCD"/>
    <w:rsid w:val="000B51EC"/>
    <w:rsid w:val="000F5DE0"/>
    <w:rsid w:val="000F7B24"/>
    <w:rsid w:val="00110330"/>
    <w:rsid w:val="00121BB0"/>
    <w:rsid w:val="001909F3"/>
    <w:rsid w:val="001A094E"/>
    <w:rsid w:val="001C07C3"/>
    <w:rsid w:val="001D3541"/>
    <w:rsid w:val="001D6E27"/>
    <w:rsid w:val="001E50BB"/>
    <w:rsid w:val="00214E3E"/>
    <w:rsid w:val="00223EE7"/>
    <w:rsid w:val="002260B4"/>
    <w:rsid w:val="00233788"/>
    <w:rsid w:val="0029280A"/>
    <w:rsid w:val="002E5EDA"/>
    <w:rsid w:val="00315805"/>
    <w:rsid w:val="0032717B"/>
    <w:rsid w:val="003415DA"/>
    <w:rsid w:val="00351990"/>
    <w:rsid w:val="0036255E"/>
    <w:rsid w:val="0038767D"/>
    <w:rsid w:val="003C127B"/>
    <w:rsid w:val="003D475B"/>
    <w:rsid w:val="003E7CCF"/>
    <w:rsid w:val="00421F90"/>
    <w:rsid w:val="004237EB"/>
    <w:rsid w:val="00450A8F"/>
    <w:rsid w:val="00467F53"/>
    <w:rsid w:val="004957D2"/>
    <w:rsid w:val="004963D0"/>
    <w:rsid w:val="004B04EB"/>
    <w:rsid w:val="004B2456"/>
    <w:rsid w:val="004B2DD8"/>
    <w:rsid w:val="004C5016"/>
    <w:rsid w:val="004D0490"/>
    <w:rsid w:val="004E6F4A"/>
    <w:rsid w:val="004F6043"/>
    <w:rsid w:val="00505F24"/>
    <w:rsid w:val="00550415"/>
    <w:rsid w:val="00565ADA"/>
    <w:rsid w:val="00573464"/>
    <w:rsid w:val="00620097"/>
    <w:rsid w:val="00653632"/>
    <w:rsid w:val="00663F82"/>
    <w:rsid w:val="00684904"/>
    <w:rsid w:val="006C6E5C"/>
    <w:rsid w:val="006E2466"/>
    <w:rsid w:val="006F303F"/>
    <w:rsid w:val="007108B9"/>
    <w:rsid w:val="00711636"/>
    <w:rsid w:val="00743D35"/>
    <w:rsid w:val="00760572"/>
    <w:rsid w:val="007661E2"/>
    <w:rsid w:val="00784DA9"/>
    <w:rsid w:val="00787D23"/>
    <w:rsid w:val="007A39D1"/>
    <w:rsid w:val="007B6E56"/>
    <w:rsid w:val="007B74C8"/>
    <w:rsid w:val="007F55FA"/>
    <w:rsid w:val="0081621C"/>
    <w:rsid w:val="00871506"/>
    <w:rsid w:val="008923C1"/>
    <w:rsid w:val="008F63A8"/>
    <w:rsid w:val="009145E3"/>
    <w:rsid w:val="00915D3E"/>
    <w:rsid w:val="00917373"/>
    <w:rsid w:val="00920AFE"/>
    <w:rsid w:val="00922D5A"/>
    <w:rsid w:val="009359AC"/>
    <w:rsid w:val="00935ADD"/>
    <w:rsid w:val="00943957"/>
    <w:rsid w:val="00954905"/>
    <w:rsid w:val="00961C93"/>
    <w:rsid w:val="00967862"/>
    <w:rsid w:val="00972EEF"/>
    <w:rsid w:val="009858FA"/>
    <w:rsid w:val="00987600"/>
    <w:rsid w:val="009A60DE"/>
    <w:rsid w:val="009C11A3"/>
    <w:rsid w:val="009D525B"/>
    <w:rsid w:val="009E02EE"/>
    <w:rsid w:val="009E2B0C"/>
    <w:rsid w:val="00A000D0"/>
    <w:rsid w:val="00A5381F"/>
    <w:rsid w:val="00A74365"/>
    <w:rsid w:val="00A96C59"/>
    <w:rsid w:val="00AA1D28"/>
    <w:rsid w:val="00AB744A"/>
    <w:rsid w:val="00AC2887"/>
    <w:rsid w:val="00AD4F21"/>
    <w:rsid w:val="00AE4496"/>
    <w:rsid w:val="00AE49CA"/>
    <w:rsid w:val="00B03B8B"/>
    <w:rsid w:val="00B62D12"/>
    <w:rsid w:val="00B71E2B"/>
    <w:rsid w:val="00B74F4B"/>
    <w:rsid w:val="00BB2E19"/>
    <w:rsid w:val="00BB564E"/>
    <w:rsid w:val="00BD2E33"/>
    <w:rsid w:val="00C057F4"/>
    <w:rsid w:val="00C32B1E"/>
    <w:rsid w:val="00C37103"/>
    <w:rsid w:val="00C4143D"/>
    <w:rsid w:val="00C415CB"/>
    <w:rsid w:val="00C57389"/>
    <w:rsid w:val="00C92533"/>
    <w:rsid w:val="00CC656C"/>
    <w:rsid w:val="00CD3F48"/>
    <w:rsid w:val="00D0229B"/>
    <w:rsid w:val="00D16789"/>
    <w:rsid w:val="00D405C7"/>
    <w:rsid w:val="00D50715"/>
    <w:rsid w:val="00D55B65"/>
    <w:rsid w:val="00D6000F"/>
    <w:rsid w:val="00D66CF1"/>
    <w:rsid w:val="00D87B0B"/>
    <w:rsid w:val="00DC258A"/>
    <w:rsid w:val="00DD5DE0"/>
    <w:rsid w:val="00DE517A"/>
    <w:rsid w:val="00DF7139"/>
    <w:rsid w:val="00E04D84"/>
    <w:rsid w:val="00E161D4"/>
    <w:rsid w:val="00E270C9"/>
    <w:rsid w:val="00E30A80"/>
    <w:rsid w:val="00E7712A"/>
    <w:rsid w:val="00EA3A5A"/>
    <w:rsid w:val="00EC3880"/>
    <w:rsid w:val="00EE2641"/>
    <w:rsid w:val="00F15553"/>
    <w:rsid w:val="00F162E5"/>
    <w:rsid w:val="00F27860"/>
    <w:rsid w:val="00F41397"/>
    <w:rsid w:val="00F5013E"/>
    <w:rsid w:val="00F57736"/>
    <w:rsid w:val="00F94E11"/>
    <w:rsid w:val="00F95BF4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930E"/>
  <w15:chartTrackingRefBased/>
  <w15:docId w15:val="{F63D2E38-8241-4EBA-B1B8-6D845EB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D0"/>
    <w:pPr>
      <w:spacing w:after="20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,lp1"/>
    <w:basedOn w:val="Normal"/>
    <w:link w:val="ListParagraphChar"/>
    <w:uiPriority w:val="99"/>
    <w:qFormat/>
    <w:rsid w:val="00CC656C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CC656C"/>
    <w:rPr>
      <w:rFonts w:ascii="Times New Roman" w:hAnsi="Times New Roman"/>
      <w:kern w:val="0"/>
      <w:sz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CC65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CC65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CC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3B8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7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506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506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Akvilė Lodaitė</cp:lastModifiedBy>
  <cp:revision>161</cp:revision>
  <dcterms:created xsi:type="dcterms:W3CDTF">2024-04-23T14:45:00Z</dcterms:created>
  <dcterms:modified xsi:type="dcterms:W3CDTF">2025-08-06T09:16:00Z</dcterms:modified>
</cp:coreProperties>
</file>