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53D0"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0BA94116" w14:textId="77777777" w:rsidR="005C5445" w:rsidRPr="005C5445" w:rsidRDefault="005C5445" w:rsidP="005C5445">
      <w:pPr>
        <w:ind w:right="-178"/>
        <w:jc w:val="center"/>
        <w:rPr>
          <w:rFonts w:eastAsia="Times New Roman" w:cs="Times New Roman"/>
          <w:sz w:val="20"/>
          <w:szCs w:val="16"/>
          <w:lang w:eastAsia="lt-LT"/>
        </w:rPr>
      </w:pPr>
    </w:p>
    <w:p w14:paraId="7732997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6B367E70" w14:textId="77777777" w:rsidR="005C5445" w:rsidRPr="005C5445" w:rsidRDefault="005C5445" w:rsidP="005C5445">
      <w:pPr>
        <w:ind w:right="-178"/>
        <w:jc w:val="center"/>
        <w:rPr>
          <w:rFonts w:eastAsia="Times New Roman" w:cs="Times New Roman"/>
          <w:sz w:val="20"/>
          <w:szCs w:val="16"/>
          <w:lang w:eastAsia="lt-LT"/>
        </w:rPr>
      </w:pPr>
    </w:p>
    <w:p w14:paraId="249D739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476941A6" w14:textId="77777777" w:rsidR="005C5445" w:rsidRPr="005C5445" w:rsidRDefault="005C5445" w:rsidP="005C5445">
      <w:pPr>
        <w:ind w:right="-178"/>
        <w:jc w:val="center"/>
        <w:rPr>
          <w:rFonts w:eastAsia="Times New Roman" w:cs="Times New Roman"/>
          <w:szCs w:val="20"/>
          <w:lang w:eastAsia="lt-LT"/>
        </w:rPr>
      </w:pPr>
    </w:p>
    <w:p w14:paraId="2C08618F"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938623"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2E8DC8BA"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105A6383"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3A21DF08" w14:textId="77777777" w:rsidR="00DE7492" w:rsidRPr="009A703B" w:rsidRDefault="00DE7492" w:rsidP="00DE7492">
      <w:pPr>
        <w:pStyle w:val="Body"/>
        <w:spacing w:after="40" w:line="240" w:lineRule="auto"/>
        <w:jc w:val="center"/>
        <w:rPr>
          <w:rFonts w:ascii="Times New Roman" w:eastAsia="Times New Roman" w:hAnsi="Times New Roman" w:cs="Times New Roman"/>
          <w:b/>
          <w:color w:val="000000" w:themeColor="text1"/>
          <w:sz w:val="24"/>
          <w:szCs w:val="24"/>
        </w:rPr>
      </w:pPr>
      <w:r w:rsidRPr="006934A5">
        <w:rPr>
          <w:rFonts w:ascii="Times New Roman" w:hAnsi="Times New Roman" w:cs="Times New Roman"/>
          <w:b/>
          <w:bCs/>
          <w:sz w:val="24"/>
          <w:szCs w:val="24"/>
        </w:rPr>
        <w:t>VAISTŲ SKIEDIMO IZOLIATORIŲ GETINGE ISOTEST KVALIFIKAVIMO PASLAUGA</w:t>
      </w:r>
      <w:r>
        <w:rPr>
          <w:rFonts w:ascii="Times New Roman" w:eastAsia="Times New Roman" w:hAnsi="Times New Roman" w:cs="Times New Roman"/>
          <w:b/>
          <w:color w:val="auto"/>
          <w:sz w:val="24"/>
          <w:szCs w:val="24"/>
        </w:rPr>
        <w:t xml:space="preserve"> (10928)</w:t>
      </w:r>
    </w:p>
    <w:p w14:paraId="30C02241" w14:textId="77777777" w:rsidR="005C5445" w:rsidRPr="005C5445" w:rsidRDefault="005C5445" w:rsidP="00C55DD0">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5EEF067"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4A8982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1864FA7C"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4697"/>
      </w:tblGrid>
      <w:tr w:rsidR="005C5445" w:rsidRPr="005C5445" w14:paraId="5A7B3A48" w14:textId="77777777" w:rsidTr="001A7A02">
        <w:tc>
          <w:tcPr>
            <w:tcW w:w="4936" w:type="dxa"/>
            <w:tcBorders>
              <w:top w:val="single" w:sz="4" w:space="0" w:color="auto"/>
              <w:left w:val="single" w:sz="4" w:space="0" w:color="auto"/>
              <w:bottom w:val="single" w:sz="4" w:space="0" w:color="auto"/>
              <w:right w:val="single" w:sz="4" w:space="0" w:color="auto"/>
            </w:tcBorders>
            <w:hideMark/>
          </w:tcPr>
          <w:p w14:paraId="74EA300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5741533C"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697" w:type="dxa"/>
            <w:tcBorders>
              <w:top w:val="single" w:sz="4" w:space="0" w:color="auto"/>
              <w:left w:val="single" w:sz="4" w:space="0" w:color="auto"/>
              <w:bottom w:val="single" w:sz="4" w:space="0" w:color="auto"/>
              <w:right w:val="single" w:sz="4" w:space="0" w:color="auto"/>
            </w:tcBorders>
          </w:tcPr>
          <w:p w14:paraId="002304C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C1C3F3F" w14:textId="77777777" w:rsidTr="001A7A02">
        <w:tc>
          <w:tcPr>
            <w:tcW w:w="4936" w:type="dxa"/>
            <w:tcBorders>
              <w:top w:val="single" w:sz="4" w:space="0" w:color="auto"/>
              <w:left w:val="single" w:sz="4" w:space="0" w:color="auto"/>
              <w:bottom w:val="single" w:sz="4" w:space="0" w:color="auto"/>
              <w:right w:val="single" w:sz="4" w:space="0" w:color="auto"/>
            </w:tcBorders>
            <w:hideMark/>
          </w:tcPr>
          <w:p w14:paraId="4477BCE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40964BCC"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697" w:type="dxa"/>
            <w:tcBorders>
              <w:top w:val="single" w:sz="4" w:space="0" w:color="auto"/>
              <w:left w:val="single" w:sz="4" w:space="0" w:color="auto"/>
              <w:bottom w:val="single" w:sz="4" w:space="0" w:color="auto"/>
              <w:right w:val="single" w:sz="4" w:space="0" w:color="auto"/>
            </w:tcBorders>
          </w:tcPr>
          <w:p w14:paraId="60E6AA33" w14:textId="77777777" w:rsidR="005C5445" w:rsidRPr="005C5445" w:rsidRDefault="005C5445" w:rsidP="005C5445">
            <w:pPr>
              <w:rPr>
                <w:rFonts w:eastAsia="Times New Roman" w:cs="Times New Roman"/>
                <w:szCs w:val="20"/>
                <w:lang w:eastAsia="lt-LT"/>
              </w:rPr>
            </w:pPr>
          </w:p>
        </w:tc>
      </w:tr>
      <w:tr w:rsidR="005C5445" w:rsidRPr="005C5445" w14:paraId="69053A64" w14:textId="77777777" w:rsidTr="001A7A02">
        <w:tc>
          <w:tcPr>
            <w:tcW w:w="4936" w:type="dxa"/>
            <w:tcBorders>
              <w:top w:val="single" w:sz="4" w:space="0" w:color="auto"/>
              <w:left w:val="single" w:sz="4" w:space="0" w:color="auto"/>
              <w:bottom w:val="single" w:sz="4" w:space="0" w:color="auto"/>
              <w:right w:val="single" w:sz="4" w:space="0" w:color="auto"/>
            </w:tcBorders>
            <w:hideMark/>
          </w:tcPr>
          <w:p w14:paraId="32B309C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697" w:type="dxa"/>
            <w:tcBorders>
              <w:top w:val="single" w:sz="4" w:space="0" w:color="auto"/>
              <w:left w:val="single" w:sz="4" w:space="0" w:color="auto"/>
              <w:bottom w:val="single" w:sz="4" w:space="0" w:color="auto"/>
              <w:right w:val="single" w:sz="4" w:space="0" w:color="auto"/>
            </w:tcBorders>
          </w:tcPr>
          <w:p w14:paraId="198A485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71806F1B" w14:textId="77777777" w:rsidTr="001A7A02">
        <w:tc>
          <w:tcPr>
            <w:tcW w:w="4936" w:type="dxa"/>
            <w:tcBorders>
              <w:top w:val="single" w:sz="4" w:space="0" w:color="auto"/>
              <w:left w:val="single" w:sz="4" w:space="0" w:color="auto"/>
              <w:bottom w:val="single" w:sz="4" w:space="0" w:color="auto"/>
              <w:right w:val="single" w:sz="4" w:space="0" w:color="auto"/>
            </w:tcBorders>
            <w:hideMark/>
          </w:tcPr>
          <w:p w14:paraId="089E0EE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697" w:type="dxa"/>
            <w:tcBorders>
              <w:top w:val="single" w:sz="4" w:space="0" w:color="auto"/>
              <w:left w:val="single" w:sz="4" w:space="0" w:color="auto"/>
              <w:bottom w:val="single" w:sz="4" w:space="0" w:color="auto"/>
              <w:right w:val="single" w:sz="4" w:space="0" w:color="auto"/>
            </w:tcBorders>
          </w:tcPr>
          <w:p w14:paraId="32AEA86F"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3CCD7750" w14:textId="77777777" w:rsidTr="001A7A02">
        <w:tc>
          <w:tcPr>
            <w:tcW w:w="4936" w:type="dxa"/>
            <w:tcBorders>
              <w:top w:val="single" w:sz="4" w:space="0" w:color="auto"/>
              <w:left w:val="single" w:sz="4" w:space="0" w:color="auto"/>
              <w:bottom w:val="single" w:sz="4" w:space="0" w:color="auto"/>
              <w:right w:val="single" w:sz="4" w:space="0" w:color="auto"/>
            </w:tcBorders>
            <w:hideMark/>
          </w:tcPr>
          <w:p w14:paraId="67335545"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697" w:type="dxa"/>
            <w:tcBorders>
              <w:top w:val="single" w:sz="4" w:space="0" w:color="auto"/>
              <w:left w:val="single" w:sz="4" w:space="0" w:color="auto"/>
              <w:bottom w:val="single" w:sz="4" w:space="0" w:color="auto"/>
              <w:right w:val="single" w:sz="4" w:space="0" w:color="auto"/>
            </w:tcBorders>
          </w:tcPr>
          <w:p w14:paraId="375B18A6"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31671E31"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5BFE0761"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3B6DFC5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1) atviro konkurso skelbime, paskelbtame Viešųjų pirkimų įstatymo nustatyta tvarka,</w:t>
      </w:r>
    </w:p>
    <w:p w14:paraId="05756E5F"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0517D5CF"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7E72088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77BD912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3E75B5D2"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saugiu elektroniniu parašu,</w:t>
      </w:r>
      <w:r w:rsidR="00AF2595">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44CD057E"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858823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16"/>
        <w:gridCol w:w="4140"/>
        <w:gridCol w:w="3118"/>
      </w:tblGrid>
      <w:tr w:rsidR="005C5445" w:rsidRPr="005C5445" w14:paraId="0E9544FA" w14:textId="77777777" w:rsidTr="000F4143">
        <w:tc>
          <w:tcPr>
            <w:tcW w:w="560" w:type="dxa"/>
            <w:tcBorders>
              <w:top w:val="single" w:sz="4" w:space="0" w:color="auto"/>
              <w:left w:val="single" w:sz="4" w:space="0" w:color="auto"/>
              <w:bottom w:val="single" w:sz="4" w:space="0" w:color="auto"/>
              <w:right w:val="single" w:sz="4" w:space="0" w:color="auto"/>
            </w:tcBorders>
            <w:hideMark/>
          </w:tcPr>
          <w:p w14:paraId="4687A6AF"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1816" w:type="dxa"/>
            <w:tcBorders>
              <w:top w:val="single" w:sz="4" w:space="0" w:color="auto"/>
              <w:left w:val="single" w:sz="4" w:space="0" w:color="auto"/>
              <w:bottom w:val="single" w:sz="4" w:space="0" w:color="auto"/>
              <w:right w:val="single" w:sz="4" w:space="0" w:color="auto"/>
            </w:tcBorders>
            <w:hideMark/>
          </w:tcPr>
          <w:p w14:paraId="5D125E5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4140" w:type="dxa"/>
            <w:tcBorders>
              <w:top w:val="single" w:sz="4" w:space="0" w:color="auto"/>
              <w:left w:val="single" w:sz="4" w:space="0" w:color="auto"/>
              <w:bottom w:val="single" w:sz="4" w:space="0" w:color="auto"/>
              <w:right w:val="single" w:sz="4" w:space="0" w:color="auto"/>
            </w:tcBorders>
            <w:hideMark/>
          </w:tcPr>
          <w:p w14:paraId="24BA167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11FD559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EC91A5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4404FE1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515B9C10" w14:textId="77777777" w:rsidTr="000F4143">
        <w:tc>
          <w:tcPr>
            <w:tcW w:w="560" w:type="dxa"/>
            <w:tcBorders>
              <w:top w:val="single" w:sz="4" w:space="0" w:color="auto"/>
              <w:left w:val="single" w:sz="4" w:space="0" w:color="auto"/>
              <w:bottom w:val="single" w:sz="4" w:space="0" w:color="auto"/>
              <w:right w:val="single" w:sz="4" w:space="0" w:color="auto"/>
            </w:tcBorders>
          </w:tcPr>
          <w:p w14:paraId="0F83E54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1816" w:type="dxa"/>
            <w:tcBorders>
              <w:top w:val="single" w:sz="4" w:space="0" w:color="auto"/>
              <w:left w:val="single" w:sz="4" w:space="0" w:color="auto"/>
              <w:bottom w:val="single" w:sz="4" w:space="0" w:color="auto"/>
              <w:right w:val="single" w:sz="4" w:space="0" w:color="auto"/>
            </w:tcBorders>
          </w:tcPr>
          <w:p w14:paraId="51FF2F41"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4140" w:type="dxa"/>
            <w:tcBorders>
              <w:top w:val="single" w:sz="4" w:space="0" w:color="auto"/>
              <w:left w:val="single" w:sz="4" w:space="0" w:color="auto"/>
              <w:bottom w:val="single" w:sz="4" w:space="0" w:color="auto"/>
              <w:right w:val="single" w:sz="4" w:space="0" w:color="auto"/>
            </w:tcBorders>
          </w:tcPr>
          <w:p w14:paraId="45C4AA61"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24C915F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27EDFAA"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8574C09" w14:textId="77777777" w:rsidR="00E53859" w:rsidRDefault="005C5445" w:rsidP="00E53859">
      <w:pPr>
        <w:tabs>
          <w:tab w:val="left" w:pos="1800"/>
        </w:tabs>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sutarties vykdymui bus pasitelkti subtiekėjai</w:t>
      </w:r>
    </w:p>
    <w:p w14:paraId="680CAF7D" w14:textId="77777777" w:rsidR="007148D3"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p>
    <w:p w14:paraId="49B52D6B" w14:textId="77777777" w:rsidR="005C5445" w:rsidRPr="005C5445" w:rsidRDefault="007148D3"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600"/>
      </w:tblGrid>
      <w:tr w:rsidR="005C5445" w:rsidRPr="005C5445" w14:paraId="21C5F77C" w14:textId="77777777" w:rsidTr="00254D78">
        <w:tc>
          <w:tcPr>
            <w:tcW w:w="675" w:type="dxa"/>
            <w:tcBorders>
              <w:top w:val="single" w:sz="4" w:space="0" w:color="auto"/>
              <w:left w:val="single" w:sz="4" w:space="0" w:color="auto"/>
              <w:bottom w:val="single" w:sz="4" w:space="0" w:color="auto"/>
              <w:right w:val="single" w:sz="4" w:space="0" w:color="auto"/>
            </w:tcBorders>
            <w:hideMark/>
          </w:tcPr>
          <w:p w14:paraId="469C4800" w14:textId="77777777"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14:paraId="7482F194"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600" w:type="dxa"/>
            <w:tcBorders>
              <w:top w:val="single" w:sz="4" w:space="0" w:color="auto"/>
              <w:left w:val="single" w:sz="4" w:space="0" w:color="auto"/>
              <w:bottom w:val="single" w:sz="4" w:space="0" w:color="auto"/>
              <w:right w:val="single" w:sz="4" w:space="0" w:color="auto"/>
            </w:tcBorders>
            <w:hideMark/>
          </w:tcPr>
          <w:p w14:paraId="5E7AA2D7"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78D9DC17" w14:textId="77777777" w:rsidTr="00254D78">
        <w:trPr>
          <w:trHeight w:val="397"/>
        </w:trPr>
        <w:tc>
          <w:tcPr>
            <w:tcW w:w="675" w:type="dxa"/>
            <w:tcBorders>
              <w:top w:val="single" w:sz="4" w:space="0" w:color="auto"/>
              <w:left w:val="single" w:sz="4" w:space="0" w:color="auto"/>
              <w:bottom w:val="single" w:sz="4" w:space="0" w:color="auto"/>
              <w:right w:val="single" w:sz="4" w:space="0" w:color="auto"/>
            </w:tcBorders>
          </w:tcPr>
          <w:p w14:paraId="42B420A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3562B0C"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600" w:type="dxa"/>
            <w:tcBorders>
              <w:top w:val="single" w:sz="4" w:space="0" w:color="auto"/>
              <w:left w:val="single" w:sz="4" w:space="0" w:color="auto"/>
              <w:bottom w:val="single" w:sz="4" w:space="0" w:color="auto"/>
              <w:right w:val="single" w:sz="4" w:space="0" w:color="auto"/>
            </w:tcBorders>
          </w:tcPr>
          <w:p w14:paraId="6BBE268D"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58DD5BB6" w14:textId="77777777" w:rsidR="005C5445" w:rsidRPr="005C5445" w:rsidRDefault="005C5445" w:rsidP="005C5445">
      <w:pPr>
        <w:widowControl w:val="0"/>
        <w:jc w:val="both"/>
        <w:rPr>
          <w:rFonts w:eastAsia="Times New Roman" w:cs="Times New Roman"/>
          <w:bCs/>
          <w:i/>
          <w:sz w:val="10"/>
          <w:szCs w:val="10"/>
          <w:lang w:eastAsia="lt-LT"/>
        </w:rPr>
      </w:pPr>
    </w:p>
    <w:p w14:paraId="3F142A9C" w14:textId="77777777" w:rsidR="005C5445" w:rsidRP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lastRenderedPageBreak/>
        <w:t>*Pildyti tuomet, jei bus pateikta konfidenciali informacija. Tiekėjas negali nurodyti, kad konfidenciali yra pasiūlymo kaina arba kad visas pasiūlymas yra konfidencialus.</w:t>
      </w:r>
    </w:p>
    <w:p w14:paraId="03B3862E" w14:textId="77777777" w:rsidR="005C5445" w:rsidRPr="005C5445"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konfidenciali, sugrupuoti ir pateikti viename dokumente, pavadinime nurodant „Konfidencialu“. </w:t>
      </w:r>
    </w:p>
    <w:p w14:paraId="192F4E95" w14:textId="77777777"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E662A0" w14:textId="7777777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w:t>
      </w:r>
    </w:p>
    <w:tbl>
      <w:tblPr>
        <w:tblW w:w="1006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2835"/>
        <w:gridCol w:w="993"/>
        <w:gridCol w:w="1275"/>
        <w:gridCol w:w="1134"/>
        <w:gridCol w:w="1418"/>
        <w:gridCol w:w="1417"/>
      </w:tblGrid>
      <w:tr w:rsidR="00DE7492" w:rsidRPr="00E25080" w14:paraId="6FA01B16" w14:textId="0325C9F0" w:rsidTr="009A703B">
        <w:trPr>
          <w:trHeight w:val="654"/>
        </w:trPr>
        <w:tc>
          <w:tcPr>
            <w:tcW w:w="993" w:type="dxa"/>
            <w:shd w:val="clear" w:color="auto" w:fill="FFFFFF"/>
            <w:tcMar>
              <w:top w:w="0" w:type="dxa"/>
              <w:left w:w="108" w:type="dxa"/>
              <w:bottom w:w="0" w:type="dxa"/>
              <w:right w:w="108" w:type="dxa"/>
            </w:tcMar>
            <w:vAlign w:val="center"/>
            <w:hideMark/>
          </w:tcPr>
          <w:p w14:paraId="0F626C52" w14:textId="40CE0060" w:rsidR="00DE7492" w:rsidRPr="00E25080" w:rsidRDefault="00DE7492" w:rsidP="00DE7492">
            <w:pPr>
              <w:spacing w:line="233" w:lineRule="atLeast"/>
              <w:jc w:val="center"/>
              <w:rPr>
                <w:color w:val="201F1E"/>
                <w:sz w:val="22"/>
              </w:rPr>
            </w:pPr>
            <w:r w:rsidRPr="00E25080">
              <w:rPr>
                <w:color w:val="201F1E"/>
                <w:sz w:val="22"/>
                <w:bdr w:val="none" w:sz="0" w:space="0" w:color="auto" w:frame="1"/>
              </w:rPr>
              <w:t>Pirk</w:t>
            </w:r>
            <w:r w:rsidR="00E25080">
              <w:rPr>
                <w:color w:val="201F1E"/>
                <w:sz w:val="22"/>
                <w:bdr w:val="none" w:sz="0" w:space="0" w:color="auto" w:frame="1"/>
              </w:rPr>
              <w:t>imo</w:t>
            </w:r>
            <w:r w:rsidRPr="00E25080">
              <w:rPr>
                <w:color w:val="201F1E"/>
                <w:sz w:val="22"/>
                <w:bdr w:val="none" w:sz="0" w:space="0" w:color="auto" w:frame="1"/>
              </w:rPr>
              <w:t xml:space="preserve"> dalies</w:t>
            </w:r>
          </w:p>
          <w:p w14:paraId="4DE2313F" w14:textId="77777777" w:rsidR="00DE7492" w:rsidRPr="00E25080" w:rsidRDefault="00DE7492" w:rsidP="00DE7492">
            <w:pPr>
              <w:spacing w:line="233" w:lineRule="atLeast"/>
              <w:jc w:val="center"/>
              <w:rPr>
                <w:color w:val="201F1E"/>
                <w:sz w:val="22"/>
              </w:rPr>
            </w:pPr>
            <w:r w:rsidRPr="00E25080">
              <w:rPr>
                <w:color w:val="201F1E"/>
                <w:sz w:val="22"/>
                <w:bdr w:val="none" w:sz="0" w:space="0" w:color="auto" w:frame="1"/>
              </w:rPr>
              <w:t>Nr.</w:t>
            </w:r>
          </w:p>
        </w:tc>
        <w:tc>
          <w:tcPr>
            <w:tcW w:w="2835" w:type="dxa"/>
            <w:shd w:val="clear" w:color="auto" w:fill="FFFFFF"/>
            <w:tcMar>
              <w:top w:w="0" w:type="dxa"/>
              <w:left w:w="108" w:type="dxa"/>
              <w:bottom w:w="0" w:type="dxa"/>
              <w:right w:w="108" w:type="dxa"/>
            </w:tcMar>
            <w:vAlign w:val="center"/>
            <w:hideMark/>
          </w:tcPr>
          <w:p w14:paraId="79882536" w14:textId="11D45A8F" w:rsidR="00DE7492" w:rsidRPr="00E25080" w:rsidRDefault="00DE7492" w:rsidP="00DE7492">
            <w:pPr>
              <w:spacing w:line="233" w:lineRule="atLeast"/>
              <w:jc w:val="center"/>
              <w:rPr>
                <w:color w:val="201F1E"/>
                <w:sz w:val="22"/>
              </w:rPr>
            </w:pPr>
            <w:r w:rsidRPr="00E25080">
              <w:rPr>
                <w:color w:val="201F1E"/>
                <w:spacing w:val="-4"/>
                <w:sz w:val="22"/>
                <w:bdr w:val="none" w:sz="0" w:space="0" w:color="auto" w:frame="1"/>
              </w:rPr>
              <w:t>Paslaugos</w:t>
            </w:r>
            <w:r w:rsidRPr="00E25080">
              <w:rPr>
                <w:color w:val="201F1E"/>
                <w:sz w:val="22"/>
                <w:bdr w:val="none" w:sz="0" w:space="0" w:color="auto" w:frame="1"/>
              </w:rPr>
              <w:t> pavadinimas</w:t>
            </w:r>
          </w:p>
        </w:tc>
        <w:tc>
          <w:tcPr>
            <w:tcW w:w="993" w:type="dxa"/>
            <w:shd w:val="clear" w:color="auto" w:fill="FFFFFF"/>
            <w:tcMar>
              <w:top w:w="0" w:type="dxa"/>
              <w:left w:w="108" w:type="dxa"/>
              <w:bottom w:w="0" w:type="dxa"/>
              <w:right w:w="108" w:type="dxa"/>
            </w:tcMar>
            <w:vAlign w:val="center"/>
            <w:hideMark/>
          </w:tcPr>
          <w:p w14:paraId="770874F6" w14:textId="77777777" w:rsidR="00DE7492" w:rsidRPr="00E25080" w:rsidRDefault="00DE7492" w:rsidP="00DE7492">
            <w:pPr>
              <w:spacing w:line="233" w:lineRule="atLeast"/>
              <w:ind w:left="-108" w:right="-219"/>
              <w:jc w:val="center"/>
              <w:rPr>
                <w:color w:val="201F1E"/>
                <w:sz w:val="22"/>
              </w:rPr>
            </w:pPr>
            <w:r w:rsidRPr="00E25080">
              <w:rPr>
                <w:color w:val="201F1E"/>
                <w:sz w:val="22"/>
                <w:bdr w:val="none" w:sz="0" w:space="0" w:color="auto" w:frame="1"/>
              </w:rPr>
              <w:t>Mato</w:t>
            </w:r>
          </w:p>
          <w:p w14:paraId="1A7BF462" w14:textId="77777777" w:rsidR="00DE7492" w:rsidRPr="00E25080" w:rsidRDefault="00DE7492" w:rsidP="00DE7492">
            <w:pPr>
              <w:spacing w:line="233" w:lineRule="atLeast"/>
              <w:ind w:left="-108" w:right="-219"/>
              <w:jc w:val="center"/>
              <w:rPr>
                <w:color w:val="201F1E"/>
                <w:sz w:val="22"/>
              </w:rPr>
            </w:pPr>
            <w:r w:rsidRPr="00E25080">
              <w:rPr>
                <w:color w:val="201F1E"/>
                <w:sz w:val="22"/>
                <w:bdr w:val="none" w:sz="0" w:space="0" w:color="auto" w:frame="1"/>
              </w:rPr>
              <w:t>vnt.</w:t>
            </w:r>
          </w:p>
        </w:tc>
        <w:tc>
          <w:tcPr>
            <w:tcW w:w="1275" w:type="dxa"/>
            <w:shd w:val="clear" w:color="auto" w:fill="FFFFFF"/>
            <w:tcMar>
              <w:top w:w="0" w:type="dxa"/>
              <w:left w:w="108" w:type="dxa"/>
              <w:bottom w:w="0" w:type="dxa"/>
              <w:right w:w="108" w:type="dxa"/>
            </w:tcMar>
            <w:vAlign w:val="center"/>
            <w:hideMark/>
          </w:tcPr>
          <w:p w14:paraId="205B268D" w14:textId="77777777" w:rsidR="00DE7492" w:rsidRPr="00E25080" w:rsidRDefault="00DE7492" w:rsidP="00DE7492">
            <w:pPr>
              <w:spacing w:line="233" w:lineRule="atLeast"/>
              <w:ind w:left="-108" w:right="-219"/>
              <w:jc w:val="center"/>
              <w:rPr>
                <w:color w:val="201F1E"/>
                <w:sz w:val="22"/>
                <w:bdr w:val="none" w:sz="0" w:space="0" w:color="auto" w:frame="1"/>
              </w:rPr>
            </w:pPr>
            <w:r w:rsidRPr="00E25080">
              <w:rPr>
                <w:color w:val="201F1E"/>
                <w:sz w:val="22"/>
                <w:bdr w:val="none" w:sz="0" w:space="0" w:color="auto" w:frame="1"/>
              </w:rPr>
              <w:t xml:space="preserve">Perkamas </w:t>
            </w:r>
          </w:p>
          <w:p w14:paraId="63E2A59E" w14:textId="77777777" w:rsidR="00DE7492" w:rsidRPr="00E25080" w:rsidRDefault="00DE7492" w:rsidP="00DE7492">
            <w:pPr>
              <w:spacing w:line="233" w:lineRule="atLeast"/>
              <w:ind w:left="-108" w:right="-219"/>
              <w:jc w:val="center"/>
              <w:rPr>
                <w:color w:val="201F1E"/>
                <w:sz w:val="22"/>
              </w:rPr>
            </w:pPr>
            <w:r w:rsidRPr="00E25080">
              <w:rPr>
                <w:color w:val="201F1E"/>
                <w:sz w:val="22"/>
                <w:bdr w:val="none" w:sz="0" w:space="0" w:color="auto" w:frame="1"/>
              </w:rPr>
              <w:t>kiekis</w:t>
            </w:r>
          </w:p>
        </w:tc>
        <w:tc>
          <w:tcPr>
            <w:tcW w:w="1134" w:type="dxa"/>
            <w:shd w:val="clear" w:color="auto" w:fill="FFFFFF"/>
            <w:tcMar>
              <w:top w:w="0" w:type="dxa"/>
              <w:left w:w="108" w:type="dxa"/>
              <w:bottom w:w="0" w:type="dxa"/>
              <w:right w:w="108" w:type="dxa"/>
            </w:tcMar>
            <w:vAlign w:val="center"/>
            <w:hideMark/>
          </w:tcPr>
          <w:p w14:paraId="2EAAF1A4" w14:textId="77777777" w:rsidR="00E25080" w:rsidRPr="00E25080" w:rsidRDefault="00DE7492" w:rsidP="00E25080">
            <w:pPr>
              <w:spacing w:line="233" w:lineRule="atLeast"/>
              <w:ind w:left="-108" w:right="-219"/>
              <w:jc w:val="center"/>
              <w:rPr>
                <w:color w:val="201F1E"/>
                <w:sz w:val="22"/>
                <w:bdr w:val="none" w:sz="0" w:space="0" w:color="auto" w:frame="1"/>
              </w:rPr>
            </w:pPr>
            <w:proofErr w:type="spellStart"/>
            <w:r w:rsidRPr="00E25080">
              <w:rPr>
                <w:color w:val="201F1E"/>
                <w:sz w:val="22"/>
                <w:bdr w:val="none" w:sz="0" w:space="0" w:color="auto" w:frame="1"/>
              </w:rPr>
              <w:t>Numat</w:t>
            </w:r>
            <w:proofErr w:type="spellEnd"/>
            <w:r w:rsidRPr="00E25080">
              <w:rPr>
                <w:color w:val="201F1E"/>
                <w:sz w:val="22"/>
                <w:bdr w:val="none" w:sz="0" w:space="0" w:color="auto" w:frame="1"/>
              </w:rPr>
              <w:t xml:space="preserve">. </w:t>
            </w:r>
          </w:p>
          <w:p w14:paraId="7423A7A3" w14:textId="77777777" w:rsidR="00E25080" w:rsidRDefault="00DE7492" w:rsidP="00E25080">
            <w:pPr>
              <w:spacing w:line="233" w:lineRule="atLeast"/>
              <w:ind w:left="-108" w:right="-219"/>
              <w:jc w:val="center"/>
              <w:rPr>
                <w:color w:val="201F1E"/>
                <w:sz w:val="22"/>
                <w:bdr w:val="none" w:sz="0" w:space="0" w:color="auto" w:frame="1"/>
              </w:rPr>
            </w:pPr>
            <w:r w:rsidRPr="00E25080">
              <w:rPr>
                <w:color w:val="201F1E"/>
                <w:sz w:val="22"/>
                <w:bdr w:val="none" w:sz="0" w:space="0" w:color="auto" w:frame="1"/>
              </w:rPr>
              <w:t xml:space="preserve">PVM </w:t>
            </w:r>
          </w:p>
          <w:p w14:paraId="442B9427" w14:textId="7AF0F655" w:rsidR="00DE7492" w:rsidRPr="00E25080" w:rsidRDefault="00DE7492" w:rsidP="007E1BCF">
            <w:pPr>
              <w:spacing w:line="233" w:lineRule="atLeast"/>
              <w:ind w:left="-108" w:right="-219"/>
              <w:jc w:val="center"/>
              <w:rPr>
                <w:color w:val="201F1E"/>
                <w:sz w:val="22"/>
              </w:rPr>
            </w:pPr>
            <w:r w:rsidRPr="00E25080">
              <w:rPr>
                <w:color w:val="201F1E"/>
                <w:sz w:val="22"/>
                <w:bdr w:val="none" w:sz="0" w:space="0" w:color="auto" w:frame="1"/>
              </w:rPr>
              <w:t>tarifas</w:t>
            </w:r>
            <w:r w:rsidR="00E25080" w:rsidRPr="00E25080">
              <w:rPr>
                <w:color w:val="201F1E"/>
                <w:sz w:val="22"/>
                <w:bdr w:val="none" w:sz="0" w:space="0" w:color="auto" w:frame="1"/>
              </w:rPr>
              <w:t xml:space="preserve"> %</w:t>
            </w:r>
          </w:p>
        </w:tc>
        <w:tc>
          <w:tcPr>
            <w:tcW w:w="1418" w:type="dxa"/>
            <w:shd w:val="clear" w:color="auto" w:fill="FFFFFF"/>
            <w:tcMar>
              <w:top w:w="0" w:type="dxa"/>
              <w:left w:w="108" w:type="dxa"/>
              <w:bottom w:w="0" w:type="dxa"/>
              <w:right w:w="108" w:type="dxa"/>
            </w:tcMar>
            <w:hideMark/>
          </w:tcPr>
          <w:p w14:paraId="58DC61A5" w14:textId="77777777" w:rsidR="00E25080" w:rsidRDefault="00DE7492" w:rsidP="00DE7492">
            <w:pPr>
              <w:spacing w:line="233" w:lineRule="atLeast"/>
              <w:ind w:left="-108" w:right="-219"/>
              <w:jc w:val="center"/>
              <w:rPr>
                <w:color w:val="201F1E"/>
                <w:sz w:val="22"/>
                <w:bdr w:val="none" w:sz="0" w:space="0" w:color="auto" w:frame="1"/>
              </w:rPr>
            </w:pPr>
            <w:r w:rsidRPr="00E25080">
              <w:rPr>
                <w:color w:val="201F1E"/>
                <w:sz w:val="22"/>
                <w:bdr w:val="none" w:sz="0" w:space="0" w:color="auto" w:frame="1"/>
              </w:rPr>
              <w:t>Vnt. kaina</w:t>
            </w:r>
          </w:p>
          <w:p w14:paraId="7C4EA1BF" w14:textId="30D790D7" w:rsidR="00DE7492" w:rsidRPr="00E25080" w:rsidRDefault="00DE7492" w:rsidP="00DE7492">
            <w:pPr>
              <w:spacing w:line="233" w:lineRule="atLeast"/>
              <w:ind w:left="-108" w:right="-219"/>
              <w:jc w:val="center"/>
              <w:rPr>
                <w:color w:val="201F1E"/>
                <w:sz w:val="22"/>
              </w:rPr>
            </w:pPr>
            <w:r w:rsidRPr="00E25080">
              <w:rPr>
                <w:color w:val="201F1E"/>
                <w:sz w:val="22"/>
                <w:bdr w:val="none" w:sz="0" w:space="0" w:color="auto" w:frame="1"/>
              </w:rPr>
              <w:t xml:space="preserve"> Eur be PVM</w:t>
            </w:r>
          </w:p>
        </w:tc>
        <w:tc>
          <w:tcPr>
            <w:tcW w:w="1417" w:type="dxa"/>
            <w:shd w:val="clear" w:color="auto" w:fill="FFFFFF"/>
          </w:tcPr>
          <w:p w14:paraId="1E2FF505" w14:textId="77777777" w:rsidR="00E25080" w:rsidRDefault="00DE7492" w:rsidP="00DE7492">
            <w:pPr>
              <w:spacing w:line="233" w:lineRule="atLeast"/>
              <w:ind w:left="-108" w:right="-219"/>
              <w:jc w:val="center"/>
              <w:rPr>
                <w:color w:val="201F1E"/>
                <w:sz w:val="22"/>
                <w:bdr w:val="none" w:sz="0" w:space="0" w:color="auto" w:frame="1"/>
              </w:rPr>
            </w:pPr>
            <w:r w:rsidRPr="00E25080">
              <w:rPr>
                <w:color w:val="201F1E"/>
                <w:sz w:val="22"/>
                <w:bdr w:val="none" w:sz="0" w:space="0" w:color="auto" w:frame="1"/>
              </w:rPr>
              <w:t>Vnt. kaina</w:t>
            </w:r>
          </w:p>
          <w:p w14:paraId="5BC0ABEA" w14:textId="16E3047D" w:rsidR="00DE7492" w:rsidRPr="00E25080" w:rsidRDefault="00DE7492" w:rsidP="00DE7492">
            <w:pPr>
              <w:spacing w:line="233" w:lineRule="atLeast"/>
              <w:ind w:left="-108" w:right="-219"/>
              <w:jc w:val="center"/>
              <w:rPr>
                <w:color w:val="201F1E"/>
                <w:sz w:val="22"/>
                <w:bdr w:val="none" w:sz="0" w:space="0" w:color="auto" w:frame="1"/>
              </w:rPr>
            </w:pPr>
            <w:r w:rsidRPr="00E25080">
              <w:rPr>
                <w:color w:val="201F1E"/>
                <w:sz w:val="22"/>
                <w:bdr w:val="none" w:sz="0" w:space="0" w:color="auto" w:frame="1"/>
              </w:rPr>
              <w:t xml:space="preserve"> Eur su PVM</w:t>
            </w:r>
          </w:p>
        </w:tc>
      </w:tr>
      <w:tr w:rsidR="00BA6348" w:rsidRPr="00E25080" w14:paraId="2E1368F9" w14:textId="77777777" w:rsidTr="009A703B">
        <w:trPr>
          <w:trHeight w:val="425"/>
        </w:trPr>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2FC104" w14:textId="40F938ED" w:rsidR="00BA6348" w:rsidRPr="00E25080" w:rsidRDefault="00BA6348" w:rsidP="00BA6348">
            <w:pPr>
              <w:spacing w:line="233" w:lineRule="atLeast"/>
              <w:rPr>
                <w:rFonts w:cs="Times New Roman"/>
                <w:color w:val="000000"/>
                <w:sz w:val="22"/>
              </w:rPr>
            </w:pPr>
            <w:r w:rsidRPr="00E25080">
              <w:rPr>
                <w:sz w:val="22"/>
              </w:rPr>
              <w:t>1</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0CA5DE" w14:textId="72CF32C8" w:rsidR="00BA6348" w:rsidRPr="00E25080" w:rsidRDefault="00BA6348" w:rsidP="00BA6348">
            <w:pPr>
              <w:rPr>
                <w:rFonts w:cs="Times New Roman"/>
                <w:sz w:val="22"/>
              </w:rPr>
            </w:pPr>
            <w:r w:rsidRPr="00E25080">
              <w:rPr>
                <w:rFonts w:ascii="TimesNewRomanPSMT" w:hAnsi="TimesNewRomanPSMT" w:cs="TimesNewRomanPSMT"/>
                <w:sz w:val="22"/>
                <w:lang w:eastAsia="lt-LT"/>
              </w:rPr>
              <w:t>Vaistų skiedimo izoliatorių GETINGE ISOTEST kvalifikavimo paslauga</w:t>
            </w:r>
          </w:p>
        </w:tc>
        <w:tc>
          <w:tcPr>
            <w:tcW w:w="993" w:type="dxa"/>
            <w:tcMar>
              <w:top w:w="0" w:type="dxa"/>
              <w:left w:w="108" w:type="dxa"/>
              <w:bottom w:w="0" w:type="dxa"/>
              <w:right w:w="108" w:type="dxa"/>
            </w:tcMar>
          </w:tcPr>
          <w:p w14:paraId="014439AD" w14:textId="1F6878B4" w:rsidR="00BA6348" w:rsidRPr="00E25080" w:rsidRDefault="00DE7492" w:rsidP="00BA6348">
            <w:pPr>
              <w:jc w:val="center"/>
              <w:rPr>
                <w:rFonts w:cs="Times New Roman"/>
                <w:color w:val="000000" w:themeColor="text1"/>
                <w:sz w:val="22"/>
              </w:rPr>
            </w:pPr>
            <w:r w:rsidRPr="00E25080">
              <w:rPr>
                <w:rFonts w:cs="Times New Roman"/>
                <w:color w:val="000000" w:themeColor="text1"/>
                <w:sz w:val="22"/>
              </w:rPr>
              <w:t>Vnt.</w:t>
            </w:r>
          </w:p>
        </w:tc>
        <w:tc>
          <w:tcPr>
            <w:tcW w:w="1275" w:type="dxa"/>
            <w:tcMar>
              <w:top w:w="0" w:type="dxa"/>
              <w:left w:w="108" w:type="dxa"/>
              <w:bottom w:w="0" w:type="dxa"/>
              <w:right w:w="108" w:type="dxa"/>
            </w:tcMar>
            <w:vAlign w:val="center"/>
          </w:tcPr>
          <w:p w14:paraId="3165576C" w14:textId="05EB4445" w:rsidR="00BA6348" w:rsidRPr="00E25080" w:rsidRDefault="00DE7492" w:rsidP="00BA6348">
            <w:pPr>
              <w:jc w:val="center"/>
              <w:rPr>
                <w:rFonts w:cs="Times New Roman"/>
                <w:color w:val="000000" w:themeColor="text1"/>
                <w:sz w:val="22"/>
              </w:rPr>
            </w:pPr>
            <w:r w:rsidRPr="00E25080">
              <w:rPr>
                <w:rFonts w:cs="Times New Roman"/>
                <w:color w:val="000000" w:themeColor="text1"/>
                <w:sz w:val="22"/>
              </w:rPr>
              <w:t>1</w:t>
            </w:r>
          </w:p>
        </w:tc>
        <w:tc>
          <w:tcPr>
            <w:tcW w:w="1134" w:type="dxa"/>
            <w:shd w:val="clear" w:color="auto" w:fill="FFFFFF"/>
            <w:tcMar>
              <w:top w:w="0" w:type="dxa"/>
              <w:left w:w="108" w:type="dxa"/>
              <w:bottom w:w="0" w:type="dxa"/>
              <w:right w:w="108" w:type="dxa"/>
            </w:tcMar>
            <w:vAlign w:val="center"/>
          </w:tcPr>
          <w:p w14:paraId="17D79F35" w14:textId="3AF0B5B1" w:rsidR="00BA6348" w:rsidRPr="00E25080" w:rsidRDefault="007E1BCF" w:rsidP="00BA6348">
            <w:pPr>
              <w:spacing w:line="233" w:lineRule="atLeast"/>
              <w:jc w:val="center"/>
              <w:rPr>
                <w:sz w:val="22"/>
                <w:bdr w:val="none" w:sz="0" w:space="0" w:color="auto" w:frame="1"/>
              </w:rPr>
            </w:pPr>
            <w:r>
              <w:rPr>
                <w:sz w:val="22"/>
                <w:bdr w:val="none" w:sz="0" w:space="0" w:color="auto" w:frame="1"/>
              </w:rPr>
              <w:t>21</w:t>
            </w:r>
          </w:p>
        </w:tc>
        <w:tc>
          <w:tcPr>
            <w:tcW w:w="1418" w:type="dxa"/>
            <w:shd w:val="clear" w:color="auto" w:fill="FFFFFF"/>
            <w:tcMar>
              <w:top w:w="0" w:type="dxa"/>
              <w:left w:w="108" w:type="dxa"/>
              <w:bottom w:w="0" w:type="dxa"/>
              <w:right w:w="108" w:type="dxa"/>
            </w:tcMar>
            <w:vAlign w:val="center"/>
          </w:tcPr>
          <w:p w14:paraId="4603727B" w14:textId="77777777" w:rsidR="00BA6348" w:rsidRPr="00E25080" w:rsidRDefault="00BA6348" w:rsidP="00BA6348">
            <w:pPr>
              <w:spacing w:line="233" w:lineRule="atLeast"/>
              <w:jc w:val="center"/>
              <w:rPr>
                <w:sz w:val="22"/>
                <w:bdr w:val="none" w:sz="0" w:space="0" w:color="auto" w:frame="1"/>
              </w:rPr>
            </w:pPr>
          </w:p>
        </w:tc>
        <w:tc>
          <w:tcPr>
            <w:tcW w:w="1417" w:type="dxa"/>
            <w:shd w:val="clear" w:color="auto" w:fill="FFFFFF"/>
          </w:tcPr>
          <w:p w14:paraId="0D4BC00D" w14:textId="77777777" w:rsidR="00BA6348" w:rsidRPr="00E25080" w:rsidRDefault="00BA6348" w:rsidP="00BA6348">
            <w:pPr>
              <w:spacing w:line="233" w:lineRule="atLeast"/>
              <w:jc w:val="center"/>
              <w:rPr>
                <w:sz w:val="22"/>
                <w:bdr w:val="none" w:sz="0" w:space="0" w:color="auto" w:frame="1"/>
              </w:rPr>
            </w:pPr>
          </w:p>
        </w:tc>
      </w:tr>
      <w:tr w:rsidR="00BA6348" w:rsidRPr="00E25080" w14:paraId="213C83D3" w14:textId="099024E7" w:rsidTr="009A703B">
        <w:trPr>
          <w:trHeight w:val="425"/>
        </w:trPr>
        <w:tc>
          <w:tcPr>
            <w:tcW w:w="99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C2130" w14:textId="41BFAB4C" w:rsidR="00BA6348" w:rsidRPr="00E25080" w:rsidRDefault="00BA6348" w:rsidP="00BA6348">
            <w:pPr>
              <w:spacing w:line="233" w:lineRule="atLeast"/>
              <w:rPr>
                <w:sz w:val="22"/>
              </w:rPr>
            </w:pPr>
            <w:r w:rsidRPr="00E25080">
              <w:rPr>
                <w:sz w:val="22"/>
              </w:rPr>
              <w:t>2</w:t>
            </w:r>
          </w:p>
        </w:tc>
        <w:tc>
          <w:tcPr>
            <w:tcW w:w="2835"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hideMark/>
          </w:tcPr>
          <w:p w14:paraId="59D21490" w14:textId="41859BA6" w:rsidR="00BA6348" w:rsidRPr="00E25080" w:rsidRDefault="00BA6348" w:rsidP="00BA6348">
            <w:pPr>
              <w:rPr>
                <w:sz w:val="22"/>
              </w:rPr>
            </w:pPr>
            <w:r w:rsidRPr="00E25080">
              <w:rPr>
                <w:rFonts w:ascii="TimesNewRomanPSMT" w:hAnsi="TimesNewRomanPSMT" w:cs="TimesNewRomanPSMT"/>
                <w:sz w:val="22"/>
                <w:lang w:eastAsia="lt-LT"/>
              </w:rPr>
              <w:t>Vaistų skiedimo izoliatorių GETINGE ISOTEST kvalifikavimo paslauga</w:t>
            </w:r>
          </w:p>
        </w:tc>
        <w:tc>
          <w:tcPr>
            <w:tcW w:w="993" w:type="dxa"/>
            <w:tcMar>
              <w:top w:w="0" w:type="dxa"/>
              <w:left w:w="108" w:type="dxa"/>
              <w:bottom w:w="0" w:type="dxa"/>
              <w:right w:w="108" w:type="dxa"/>
            </w:tcMar>
            <w:hideMark/>
          </w:tcPr>
          <w:p w14:paraId="6B6BC854" w14:textId="3755CD52" w:rsidR="00BA6348" w:rsidRPr="00E25080" w:rsidRDefault="00BA6348" w:rsidP="00BA6348">
            <w:pPr>
              <w:jc w:val="center"/>
              <w:rPr>
                <w:sz w:val="22"/>
              </w:rPr>
            </w:pPr>
            <w:r w:rsidRPr="00E25080">
              <w:rPr>
                <w:rFonts w:cs="Times New Roman"/>
                <w:color w:val="000000" w:themeColor="text1"/>
                <w:sz w:val="22"/>
              </w:rPr>
              <w:t>vnt.</w:t>
            </w:r>
          </w:p>
        </w:tc>
        <w:tc>
          <w:tcPr>
            <w:tcW w:w="1275" w:type="dxa"/>
            <w:tcMar>
              <w:top w:w="0" w:type="dxa"/>
              <w:left w:w="108" w:type="dxa"/>
              <w:bottom w:w="0" w:type="dxa"/>
              <w:right w:w="108" w:type="dxa"/>
            </w:tcMar>
            <w:vAlign w:val="center"/>
            <w:hideMark/>
          </w:tcPr>
          <w:p w14:paraId="20F12D90" w14:textId="6CB997F3" w:rsidR="00BA6348" w:rsidRPr="00E25080" w:rsidRDefault="00BA6348" w:rsidP="00BA6348">
            <w:pPr>
              <w:jc w:val="center"/>
              <w:rPr>
                <w:sz w:val="22"/>
              </w:rPr>
            </w:pPr>
            <w:r w:rsidRPr="00E25080">
              <w:rPr>
                <w:rFonts w:cs="Times New Roman"/>
                <w:color w:val="000000" w:themeColor="text1"/>
                <w:sz w:val="22"/>
              </w:rPr>
              <w:t xml:space="preserve">1 </w:t>
            </w:r>
          </w:p>
        </w:tc>
        <w:tc>
          <w:tcPr>
            <w:tcW w:w="1134" w:type="dxa"/>
            <w:shd w:val="clear" w:color="auto" w:fill="FFFFFF"/>
            <w:tcMar>
              <w:top w:w="0" w:type="dxa"/>
              <w:left w:w="108" w:type="dxa"/>
              <w:bottom w:w="0" w:type="dxa"/>
              <w:right w:w="108" w:type="dxa"/>
            </w:tcMar>
            <w:vAlign w:val="center"/>
            <w:hideMark/>
          </w:tcPr>
          <w:p w14:paraId="5F6DA848" w14:textId="56EEE2E1" w:rsidR="00BA6348" w:rsidRPr="00E25080" w:rsidRDefault="007E1BCF" w:rsidP="00BA6348">
            <w:pPr>
              <w:spacing w:line="233" w:lineRule="atLeast"/>
              <w:jc w:val="center"/>
              <w:rPr>
                <w:sz w:val="22"/>
              </w:rPr>
            </w:pPr>
            <w:r>
              <w:rPr>
                <w:sz w:val="22"/>
                <w:bdr w:val="none" w:sz="0" w:space="0" w:color="auto" w:frame="1"/>
              </w:rPr>
              <w:t>21</w:t>
            </w:r>
            <w:r w:rsidR="00BA6348" w:rsidRPr="00E25080">
              <w:rPr>
                <w:sz w:val="22"/>
                <w:bdr w:val="none" w:sz="0" w:space="0" w:color="auto" w:frame="1"/>
              </w:rPr>
              <w:t> </w:t>
            </w:r>
          </w:p>
        </w:tc>
        <w:tc>
          <w:tcPr>
            <w:tcW w:w="1418" w:type="dxa"/>
            <w:shd w:val="clear" w:color="auto" w:fill="FFFFFF"/>
            <w:tcMar>
              <w:top w:w="0" w:type="dxa"/>
              <w:left w:w="108" w:type="dxa"/>
              <w:bottom w:w="0" w:type="dxa"/>
              <w:right w:w="108" w:type="dxa"/>
            </w:tcMar>
            <w:vAlign w:val="center"/>
            <w:hideMark/>
          </w:tcPr>
          <w:p w14:paraId="2ED44A8B" w14:textId="77777777" w:rsidR="00BA6348" w:rsidRPr="00E25080" w:rsidRDefault="00BA6348" w:rsidP="00BA6348">
            <w:pPr>
              <w:spacing w:line="233" w:lineRule="atLeast"/>
              <w:jc w:val="center"/>
              <w:rPr>
                <w:sz w:val="22"/>
              </w:rPr>
            </w:pPr>
            <w:r w:rsidRPr="00E25080">
              <w:rPr>
                <w:sz w:val="22"/>
                <w:bdr w:val="none" w:sz="0" w:space="0" w:color="auto" w:frame="1"/>
              </w:rPr>
              <w:t> </w:t>
            </w:r>
          </w:p>
        </w:tc>
        <w:tc>
          <w:tcPr>
            <w:tcW w:w="1417" w:type="dxa"/>
            <w:shd w:val="clear" w:color="auto" w:fill="FFFFFF"/>
          </w:tcPr>
          <w:p w14:paraId="79E463D1" w14:textId="77777777" w:rsidR="00BA6348" w:rsidRPr="00E25080" w:rsidRDefault="00BA6348" w:rsidP="00BA6348">
            <w:pPr>
              <w:spacing w:line="233" w:lineRule="atLeast"/>
              <w:jc w:val="center"/>
              <w:rPr>
                <w:sz w:val="22"/>
                <w:bdr w:val="none" w:sz="0" w:space="0" w:color="auto" w:frame="1"/>
              </w:rPr>
            </w:pPr>
          </w:p>
        </w:tc>
      </w:tr>
      <w:tr w:rsidR="00803C4E" w:rsidRPr="00E25080" w14:paraId="44617AFD" w14:textId="12D2D2AE" w:rsidTr="009A703B">
        <w:trPr>
          <w:trHeight w:val="425"/>
        </w:trPr>
        <w:tc>
          <w:tcPr>
            <w:tcW w:w="993" w:type="dxa"/>
            <w:shd w:val="clear" w:color="auto" w:fill="FFFFFF"/>
            <w:tcMar>
              <w:top w:w="0" w:type="dxa"/>
              <w:left w:w="108" w:type="dxa"/>
              <w:bottom w:w="0" w:type="dxa"/>
              <w:right w:w="108" w:type="dxa"/>
            </w:tcMar>
            <w:vAlign w:val="center"/>
          </w:tcPr>
          <w:p w14:paraId="142AB007" w14:textId="77777777" w:rsidR="00803C4E" w:rsidRPr="00E25080" w:rsidRDefault="00803C4E" w:rsidP="00C441CC">
            <w:pPr>
              <w:spacing w:line="233" w:lineRule="atLeast"/>
              <w:rPr>
                <w:color w:val="201F1E"/>
                <w:sz w:val="22"/>
                <w:bdr w:val="none" w:sz="0" w:space="0" w:color="auto" w:frame="1"/>
              </w:rPr>
            </w:pPr>
          </w:p>
        </w:tc>
        <w:tc>
          <w:tcPr>
            <w:tcW w:w="2835" w:type="dxa"/>
            <w:tcMar>
              <w:top w:w="0" w:type="dxa"/>
              <w:left w:w="108" w:type="dxa"/>
              <w:bottom w:w="0" w:type="dxa"/>
              <w:right w:w="108" w:type="dxa"/>
            </w:tcMar>
          </w:tcPr>
          <w:p w14:paraId="44AFA95A" w14:textId="77777777" w:rsidR="00803C4E" w:rsidRPr="00E25080" w:rsidRDefault="00803C4E" w:rsidP="00C441CC">
            <w:pPr>
              <w:rPr>
                <w:sz w:val="22"/>
              </w:rPr>
            </w:pPr>
          </w:p>
        </w:tc>
        <w:tc>
          <w:tcPr>
            <w:tcW w:w="993" w:type="dxa"/>
            <w:tcMar>
              <w:top w:w="0" w:type="dxa"/>
              <w:left w:w="108" w:type="dxa"/>
              <w:bottom w:w="0" w:type="dxa"/>
              <w:right w:w="108" w:type="dxa"/>
            </w:tcMar>
          </w:tcPr>
          <w:p w14:paraId="2200AD00" w14:textId="77777777" w:rsidR="00803C4E" w:rsidRPr="00E25080" w:rsidRDefault="00803C4E" w:rsidP="00C441CC">
            <w:pPr>
              <w:jc w:val="center"/>
              <w:rPr>
                <w:sz w:val="22"/>
              </w:rPr>
            </w:pPr>
          </w:p>
        </w:tc>
        <w:tc>
          <w:tcPr>
            <w:tcW w:w="1275" w:type="dxa"/>
            <w:tcMar>
              <w:top w:w="0" w:type="dxa"/>
              <w:left w:w="108" w:type="dxa"/>
              <w:bottom w:w="0" w:type="dxa"/>
              <w:right w:w="108" w:type="dxa"/>
            </w:tcMar>
          </w:tcPr>
          <w:p w14:paraId="0EF9A189" w14:textId="77777777" w:rsidR="00803C4E" w:rsidRPr="00E25080" w:rsidRDefault="00803C4E" w:rsidP="00C441CC">
            <w:pPr>
              <w:jc w:val="center"/>
              <w:rPr>
                <w:sz w:val="22"/>
              </w:rPr>
            </w:pPr>
          </w:p>
        </w:tc>
        <w:tc>
          <w:tcPr>
            <w:tcW w:w="1134" w:type="dxa"/>
            <w:shd w:val="clear" w:color="auto" w:fill="FFFFFF"/>
            <w:tcMar>
              <w:top w:w="0" w:type="dxa"/>
              <w:left w:w="108" w:type="dxa"/>
              <w:bottom w:w="0" w:type="dxa"/>
              <w:right w:w="108" w:type="dxa"/>
            </w:tcMar>
            <w:vAlign w:val="center"/>
          </w:tcPr>
          <w:p w14:paraId="19B6B1A7" w14:textId="4FB12FDD" w:rsidR="00803C4E" w:rsidRPr="00E25080" w:rsidRDefault="00803C4E" w:rsidP="00C441CC">
            <w:pPr>
              <w:spacing w:line="233" w:lineRule="atLeast"/>
              <w:jc w:val="center"/>
              <w:rPr>
                <w:color w:val="201F1E"/>
                <w:sz w:val="22"/>
                <w:bdr w:val="none" w:sz="0" w:space="0" w:color="auto" w:frame="1"/>
              </w:rPr>
            </w:pPr>
            <w:r w:rsidRPr="00E25080">
              <w:rPr>
                <w:color w:val="201F1E"/>
                <w:sz w:val="22"/>
                <w:bdr w:val="none" w:sz="0" w:space="0" w:color="auto" w:frame="1"/>
              </w:rPr>
              <w:t>Viso:</w:t>
            </w:r>
          </w:p>
        </w:tc>
        <w:tc>
          <w:tcPr>
            <w:tcW w:w="1418" w:type="dxa"/>
            <w:shd w:val="clear" w:color="auto" w:fill="FFFFFF"/>
            <w:tcMar>
              <w:top w:w="0" w:type="dxa"/>
              <w:left w:w="108" w:type="dxa"/>
              <w:bottom w:w="0" w:type="dxa"/>
              <w:right w:w="108" w:type="dxa"/>
            </w:tcMar>
            <w:vAlign w:val="center"/>
          </w:tcPr>
          <w:p w14:paraId="361E52F6" w14:textId="77777777" w:rsidR="00803C4E" w:rsidRPr="00E25080" w:rsidRDefault="00803C4E" w:rsidP="00C441CC">
            <w:pPr>
              <w:spacing w:line="233" w:lineRule="atLeast"/>
              <w:jc w:val="center"/>
              <w:rPr>
                <w:color w:val="201F1E"/>
                <w:sz w:val="22"/>
                <w:bdr w:val="none" w:sz="0" w:space="0" w:color="auto" w:frame="1"/>
              </w:rPr>
            </w:pPr>
          </w:p>
        </w:tc>
        <w:tc>
          <w:tcPr>
            <w:tcW w:w="1417" w:type="dxa"/>
            <w:shd w:val="clear" w:color="auto" w:fill="FFFFFF"/>
          </w:tcPr>
          <w:p w14:paraId="3CE9133C" w14:textId="77777777" w:rsidR="00803C4E" w:rsidRPr="00E25080" w:rsidRDefault="00803C4E" w:rsidP="00C441CC">
            <w:pPr>
              <w:spacing w:line="233" w:lineRule="atLeast"/>
              <w:jc w:val="center"/>
              <w:rPr>
                <w:color w:val="201F1E"/>
                <w:sz w:val="22"/>
                <w:bdr w:val="none" w:sz="0" w:space="0" w:color="auto" w:frame="1"/>
              </w:rPr>
            </w:pPr>
          </w:p>
        </w:tc>
      </w:tr>
    </w:tbl>
    <w:p w14:paraId="14337B47" w14:textId="77777777"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14:paraId="383299BA" w14:textId="77777777" w:rsidTr="005C5445">
        <w:tc>
          <w:tcPr>
            <w:tcW w:w="4788" w:type="dxa"/>
            <w:hideMark/>
          </w:tcPr>
          <w:p w14:paraId="160D1016" w14:textId="77777777" w:rsidR="005C5445" w:rsidRPr="005C5445" w:rsidRDefault="005C5445" w:rsidP="007148D3">
            <w:pPr>
              <w:jc w:val="both"/>
              <w:rPr>
                <w:rFonts w:eastAsia="Times New Roman" w:cs="Times New Roman"/>
                <w:szCs w:val="20"/>
                <w:lang w:eastAsia="lt-LT"/>
              </w:rPr>
            </w:pPr>
            <w:r w:rsidRPr="005C5445">
              <w:rPr>
                <w:rFonts w:eastAsia="Times New Roman" w:cs="Times New Roman"/>
                <w:szCs w:val="20"/>
                <w:lang w:eastAsia="lt-LT"/>
              </w:rPr>
              <w:t>Bendra pasiūlymo kaina su PVM –</w:t>
            </w:r>
          </w:p>
        </w:tc>
        <w:tc>
          <w:tcPr>
            <w:tcW w:w="5101" w:type="dxa"/>
            <w:tcBorders>
              <w:top w:val="nil"/>
              <w:left w:val="nil"/>
              <w:bottom w:val="single" w:sz="4" w:space="0" w:color="auto"/>
              <w:right w:val="nil"/>
            </w:tcBorders>
            <w:hideMark/>
          </w:tcPr>
          <w:p w14:paraId="0E2EE5CD"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Eur</w:t>
            </w:r>
          </w:p>
        </w:tc>
      </w:tr>
      <w:tr w:rsidR="005C5445" w:rsidRPr="005C5445" w14:paraId="2C3FABA1" w14:textId="77777777" w:rsidTr="005C5445">
        <w:tc>
          <w:tcPr>
            <w:tcW w:w="4788" w:type="dxa"/>
          </w:tcPr>
          <w:p w14:paraId="08404D84" w14:textId="77777777" w:rsidR="005C5445" w:rsidRPr="005C5445" w:rsidRDefault="005C5445" w:rsidP="005C5445">
            <w:pPr>
              <w:jc w:val="both"/>
              <w:rPr>
                <w:rFonts w:eastAsia="Times New Roman" w:cs="Times New Roman"/>
                <w:szCs w:val="20"/>
                <w:lang w:eastAsia="lt-LT"/>
              </w:rPr>
            </w:pPr>
          </w:p>
        </w:tc>
        <w:tc>
          <w:tcPr>
            <w:tcW w:w="5101" w:type="dxa"/>
            <w:tcBorders>
              <w:top w:val="single" w:sz="4" w:space="0" w:color="auto"/>
              <w:left w:val="nil"/>
              <w:bottom w:val="nil"/>
              <w:right w:val="nil"/>
            </w:tcBorders>
            <w:hideMark/>
          </w:tcPr>
          <w:p w14:paraId="25EA655F" w14:textId="77777777" w:rsidR="005C5445" w:rsidRPr="005C5445" w:rsidRDefault="005C5445" w:rsidP="005C5445">
            <w:pPr>
              <w:jc w:val="both"/>
              <w:rPr>
                <w:rFonts w:eastAsia="Times New Roman" w:cs="Times New Roman"/>
                <w:i/>
                <w:szCs w:val="20"/>
                <w:lang w:eastAsia="lt-LT"/>
              </w:rPr>
            </w:pPr>
            <w:r w:rsidRPr="005C5445">
              <w:rPr>
                <w:rFonts w:eastAsia="Times New Roman" w:cs="Times New Roman"/>
                <w:i/>
                <w:szCs w:val="20"/>
                <w:lang w:eastAsia="lt-LT"/>
              </w:rPr>
              <w:t>(skaičiais ir žodžiais)</w:t>
            </w:r>
          </w:p>
        </w:tc>
      </w:tr>
    </w:tbl>
    <w:p w14:paraId="21A80938" w14:textId="77777777" w:rsidR="00CB6439" w:rsidRDefault="00CB6439" w:rsidP="005C5445">
      <w:pPr>
        <w:jc w:val="both"/>
        <w:rPr>
          <w:rFonts w:eastAsia="Times New Roman" w:cs="Times New Roman"/>
          <w:szCs w:val="20"/>
          <w:lang w:eastAsia="lt-LT"/>
        </w:rPr>
      </w:pPr>
    </w:p>
    <w:p w14:paraId="467678FE" w14:textId="77777777" w:rsidR="005C5445" w:rsidRPr="005C5445" w:rsidRDefault="005C5445" w:rsidP="005C5445">
      <w:pPr>
        <w:jc w:val="both"/>
        <w:rPr>
          <w:rFonts w:eastAsia="Times New Roman" w:cs="Times New Roman"/>
          <w:szCs w:val="20"/>
          <w:lang w:eastAsia="lt-LT"/>
        </w:rPr>
      </w:pPr>
      <w:r w:rsidRPr="005C5445">
        <w:rPr>
          <w:rFonts w:eastAsia="Times New Roman" w:cs="Times New Roman"/>
          <w:szCs w:val="20"/>
          <w:lang w:eastAsia="lt-LT"/>
        </w:rPr>
        <w:t>Į šią sumą įeina visos išlaidos ir visi mokesčiai, taip pat ir PVM, kuris sudaro _____________ Eur.</w:t>
      </w:r>
    </w:p>
    <w:p w14:paraId="4A0C8556" w14:textId="77777777"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14:paraId="5D63FEA5" w14:textId="77777777" w:rsidR="00C0727B" w:rsidRPr="005C5445" w:rsidRDefault="005C5445" w:rsidP="00C0727B">
      <w:pPr>
        <w:pBdr>
          <w:top w:val="nil"/>
          <w:left w:val="nil"/>
          <w:bottom w:val="nil"/>
          <w:right w:val="nil"/>
          <w:between w:val="nil"/>
        </w:pBdr>
        <w:jc w:val="both"/>
        <w:rPr>
          <w:rFonts w:eastAsia="Calibri"/>
          <w:i/>
          <w:color w:val="000000"/>
          <w:sz w:val="22"/>
        </w:rPr>
      </w:pPr>
      <w:r w:rsidRPr="005C5445">
        <w:rPr>
          <w:rFonts w:eastAsia="Times New Roman" w:cs="Times New Roman"/>
          <w:b/>
          <w:color w:val="000000"/>
          <w:sz w:val="22"/>
          <w:lang w:eastAsia="lt-LT"/>
        </w:rPr>
        <w:t>Pastaba:</w:t>
      </w:r>
      <w:r w:rsidR="00C2340E">
        <w:rPr>
          <w:rFonts w:eastAsia="Times New Roman" w:cs="Times New Roman"/>
          <w:b/>
          <w:color w:val="000000"/>
          <w:sz w:val="22"/>
          <w:lang w:eastAsia="lt-LT"/>
        </w:rPr>
        <w:t xml:space="preserve"> </w:t>
      </w:r>
      <w:r w:rsidR="00C0727B" w:rsidRPr="00505AE2">
        <w:rPr>
          <w:rFonts w:eastAsia="Calibri"/>
          <w:i/>
          <w:color w:val="000000"/>
          <w:sz w:val="22"/>
        </w:rPr>
        <w:t>Tais atvejais, kai pagal galiojančius teisės aktus tiekėjui nereikia mokėti PVM, lentelių skilčių, kuriose</w:t>
      </w:r>
      <w:r w:rsidR="00C0727B" w:rsidRPr="005C5445">
        <w:rPr>
          <w:rFonts w:eastAsia="Calibri"/>
          <w:i/>
          <w:color w:val="000000"/>
          <w:sz w:val="22"/>
        </w:rPr>
        <w:t xml:space="preserve"> prašoma nurodyti kainą su PVM, nepildo ir nurodo priežastis ir teisinį pagrindą, dėl kurių PVM nemoka.</w:t>
      </w:r>
    </w:p>
    <w:p w14:paraId="602CE7F1" w14:textId="4FEC5BFA" w:rsidR="005C5445" w:rsidRPr="005C5445" w:rsidRDefault="005C5445" w:rsidP="00CB6439">
      <w:pPr>
        <w:widowControl w:val="0"/>
        <w:ind w:firstLine="851"/>
        <w:jc w:val="both"/>
        <w:rPr>
          <w:rFonts w:eastAsia="Times New Roman" w:cs="Times New Roman"/>
          <w:szCs w:val="20"/>
          <w:lang w:eastAsia="lt-LT"/>
        </w:rPr>
      </w:pPr>
      <w:r w:rsidRPr="005C5445">
        <w:rPr>
          <w:rFonts w:eastAsia="Times New Roman" w:cs="Times New Roman"/>
          <w:szCs w:val="20"/>
          <w:lang w:eastAsia="lt-LT"/>
        </w:rPr>
        <w:t>Siūlomos prekės visiškai atitinka pirkimo dokumentuose nurodytus reikalavimus (</w:t>
      </w:r>
      <w:r w:rsidR="00A8792B">
        <w:rPr>
          <w:rFonts w:eastAsia="Times New Roman" w:cs="Times New Roman"/>
          <w:szCs w:val="20"/>
          <w:lang w:eastAsia="lt-LT"/>
        </w:rPr>
        <w:t>S</w:t>
      </w:r>
      <w:r w:rsidR="00CB6439">
        <w:rPr>
          <w:rFonts w:eastAsia="Times New Roman" w:cs="Times New Roman"/>
          <w:szCs w:val="20"/>
          <w:lang w:eastAsia="lt-LT"/>
        </w:rPr>
        <w:t>PS pried</w:t>
      </w:r>
      <w:r w:rsidR="00A8792B">
        <w:rPr>
          <w:rFonts w:eastAsia="Times New Roman" w:cs="Times New Roman"/>
          <w:szCs w:val="20"/>
          <w:lang w:eastAsia="lt-LT"/>
        </w:rPr>
        <w:t>as</w:t>
      </w:r>
      <w:r w:rsidR="00CB6439">
        <w:rPr>
          <w:rFonts w:eastAsia="Times New Roman" w:cs="Times New Roman"/>
          <w:szCs w:val="20"/>
          <w:lang w:eastAsia="lt-LT"/>
        </w:rPr>
        <w:t xml:space="preserve"> Nr. 1</w:t>
      </w:r>
      <w:r w:rsidRPr="005C5445">
        <w:rPr>
          <w:rFonts w:eastAsia="Times New Roman" w:cs="Times New Roman"/>
          <w:szCs w:val="20"/>
          <w:lang w:eastAsia="lt-LT"/>
        </w:rPr>
        <w:t>).</w:t>
      </w:r>
    </w:p>
    <w:p w14:paraId="105010A8" w14:textId="77777777" w:rsidR="008D5502" w:rsidRPr="00F9594B" w:rsidRDefault="008D5502" w:rsidP="008D5502">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4D40C2F6" w14:textId="77777777" w:rsidR="008D5502" w:rsidRDefault="008D5502" w:rsidP="00CB6439">
      <w:pPr>
        <w:widowControl w:val="0"/>
        <w:spacing w:line="360" w:lineRule="auto"/>
        <w:ind w:firstLine="851"/>
        <w:jc w:val="both"/>
        <w:rPr>
          <w:rFonts w:eastAsia="Times New Roman" w:cs="Times New Roman"/>
          <w:szCs w:val="20"/>
          <w:lang w:eastAsia="lt-LT"/>
        </w:rPr>
      </w:pPr>
    </w:p>
    <w:p w14:paraId="35CAE6E3" w14:textId="7028187F"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438"/>
      </w:tblGrid>
      <w:tr w:rsidR="005C5445" w:rsidRPr="005C5445" w14:paraId="183FD87B" w14:textId="77777777" w:rsidTr="00C85AD5">
        <w:tc>
          <w:tcPr>
            <w:tcW w:w="960" w:type="dxa"/>
            <w:tcBorders>
              <w:top w:val="single" w:sz="4" w:space="0" w:color="auto"/>
              <w:left w:val="single" w:sz="4" w:space="0" w:color="auto"/>
              <w:bottom w:val="single" w:sz="4" w:space="0" w:color="auto"/>
              <w:right w:val="single" w:sz="4" w:space="0" w:color="auto"/>
            </w:tcBorders>
            <w:hideMark/>
          </w:tcPr>
          <w:p w14:paraId="4408603E"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1060F2D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725093B7"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B7DB176" w14:textId="77777777" w:rsidTr="00C85AD5">
        <w:tc>
          <w:tcPr>
            <w:tcW w:w="960" w:type="dxa"/>
            <w:tcBorders>
              <w:top w:val="single" w:sz="4" w:space="0" w:color="auto"/>
              <w:left w:val="single" w:sz="4" w:space="0" w:color="auto"/>
              <w:bottom w:val="single" w:sz="4" w:space="0" w:color="auto"/>
              <w:right w:val="single" w:sz="4" w:space="0" w:color="auto"/>
            </w:tcBorders>
          </w:tcPr>
          <w:p w14:paraId="6460AA0B"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6B684D26"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438" w:type="dxa"/>
            <w:tcBorders>
              <w:top w:val="single" w:sz="4" w:space="0" w:color="auto"/>
              <w:left w:val="single" w:sz="4" w:space="0" w:color="auto"/>
              <w:bottom w:val="single" w:sz="4" w:space="0" w:color="auto"/>
              <w:right w:val="single" w:sz="4" w:space="0" w:color="auto"/>
            </w:tcBorders>
          </w:tcPr>
          <w:p w14:paraId="1B648CE3"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A8B84D6" w14:textId="77777777" w:rsidTr="00C85AD5">
        <w:tc>
          <w:tcPr>
            <w:tcW w:w="960" w:type="dxa"/>
            <w:tcBorders>
              <w:top w:val="single" w:sz="4" w:space="0" w:color="auto"/>
              <w:left w:val="single" w:sz="4" w:space="0" w:color="auto"/>
              <w:bottom w:val="single" w:sz="4" w:space="0" w:color="auto"/>
              <w:right w:val="single" w:sz="4" w:space="0" w:color="auto"/>
            </w:tcBorders>
          </w:tcPr>
          <w:p w14:paraId="200DE34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FD49B04"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438" w:type="dxa"/>
            <w:tcBorders>
              <w:top w:val="single" w:sz="4" w:space="0" w:color="auto"/>
              <w:left w:val="single" w:sz="4" w:space="0" w:color="auto"/>
              <w:bottom w:val="single" w:sz="4" w:space="0" w:color="auto"/>
              <w:right w:val="single" w:sz="4" w:space="0" w:color="auto"/>
            </w:tcBorders>
          </w:tcPr>
          <w:p w14:paraId="2A4BD733"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1573E042" w14:textId="77777777" w:rsidR="00E53859" w:rsidRDefault="00E53859" w:rsidP="00E53859">
      <w:pPr>
        <w:widowControl w:val="0"/>
        <w:ind w:firstLine="1296"/>
        <w:jc w:val="both"/>
        <w:rPr>
          <w:rFonts w:eastAsia="Times New Roman" w:cs="Times New Roman"/>
          <w:szCs w:val="20"/>
          <w:lang w:val="en-US" w:eastAsia="lt-LT"/>
        </w:rPr>
      </w:pPr>
    </w:p>
    <w:p w14:paraId="196F07A4" w14:textId="77777777" w:rsidR="00CB6439" w:rsidRPr="00C0727B" w:rsidRDefault="00CB6439" w:rsidP="00E53859">
      <w:pPr>
        <w:widowControl w:val="0"/>
        <w:ind w:firstLine="851"/>
        <w:jc w:val="both"/>
        <w:rPr>
          <w:rFonts w:eastAsia="Times New Roman" w:cs="Times New Roman"/>
          <w:szCs w:val="20"/>
          <w:lang w:eastAsia="lt-LT"/>
        </w:rPr>
      </w:pPr>
      <w:r w:rsidRPr="00C0727B">
        <w:rPr>
          <w:rFonts w:eastAsia="Times New Roman" w:cs="Times New Roman"/>
          <w:szCs w:val="20"/>
          <w:lang w:eastAsia="lt-LT"/>
        </w:rPr>
        <w:t xml:space="preserve">Pasiūlymas galioja </w:t>
      </w:r>
      <w:r w:rsidR="00422A9F" w:rsidRPr="00C0727B">
        <w:rPr>
          <w:rFonts w:eastAsia="Times New Roman" w:cs="Times New Roman"/>
          <w:szCs w:val="20"/>
          <w:lang w:eastAsia="lt-LT"/>
        </w:rPr>
        <w:t>90 kalendorinių dienų</w:t>
      </w:r>
      <w:r w:rsidRPr="00C0727B">
        <w:rPr>
          <w:rFonts w:eastAsia="Times New Roman" w:cs="Times New Roman"/>
          <w:szCs w:val="20"/>
          <w:lang w:eastAsia="lt-LT"/>
        </w:rPr>
        <w:t>.</w:t>
      </w:r>
    </w:p>
    <w:p w14:paraId="5384D2E1" w14:textId="77777777" w:rsidR="00E53859" w:rsidRDefault="00E53859" w:rsidP="005C5445">
      <w:pPr>
        <w:widowControl w:val="0"/>
        <w:spacing w:line="360" w:lineRule="auto"/>
        <w:jc w:val="both"/>
        <w:rPr>
          <w:rFonts w:eastAsia="Times New Roman" w:cs="Times New Roman"/>
          <w:i/>
          <w:szCs w:val="20"/>
          <w:lang w:eastAsia="lt-LT"/>
        </w:rPr>
      </w:pPr>
    </w:p>
    <w:p w14:paraId="299AD356" w14:textId="77777777" w:rsid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4AAA8F01" w14:textId="77777777" w:rsidTr="00336DA1">
        <w:trPr>
          <w:trHeight w:val="285"/>
        </w:trPr>
        <w:tc>
          <w:tcPr>
            <w:tcW w:w="3284" w:type="dxa"/>
            <w:tcBorders>
              <w:top w:val="nil"/>
              <w:left w:val="nil"/>
              <w:bottom w:val="single" w:sz="4" w:space="0" w:color="auto"/>
              <w:right w:val="nil"/>
            </w:tcBorders>
          </w:tcPr>
          <w:p w14:paraId="33AA5CAA" w14:textId="77777777" w:rsidR="005C5445" w:rsidRPr="005C5445" w:rsidRDefault="005C5445" w:rsidP="005C5445">
            <w:pPr>
              <w:ind w:right="-1"/>
              <w:rPr>
                <w:rFonts w:eastAsia="Times New Roman" w:cs="Times New Roman"/>
                <w:sz w:val="22"/>
                <w:szCs w:val="20"/>
                <w:lang w:eastAsia="lt-LT"/>
              </w:rPr>
            </w:pPr>
          </w:p>
        </w:tc>
        <w:tc>
          <w:tcPr>
            <w:tcW w:w="604" w:type="dxa"/>
          </w:tcPr>
          <w:p w14:paraId="29B1B81B"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21F0AF30"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297D93F0"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51A12D50"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2F5428B6"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37E0A01D" w14:textId="77777777" w:rsidTr="00336DA1">
        <w:trPr>
          <w:trHeight w:val="186"/>
        </w:trPr>
        <w:tc>
          <w:tcPr>
            <w:tcW w:w="3284" w:type="dxa"/>
            <w:tcBorders>
              <w:top w:val="single" w:sz="4" w:space="0" w:color="auto"/>
              <w:left w:val="nil"/>
              <w:bottom w:val="nil"/>
              <w:right w:val="nil"/>
            </w:tcBorders>
            <w:hideMark/>
          </w:tcPr>
          <w:p w14:paraId="0C3CFEBF"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1B058FA6"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3F6497DD"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p>
        </w:tc>
        <w:tc>
          <w:tcPr>
            <w:tcW w:w="701" w:type="dxa"/>
          </w:tcPr>
          <w:p w14:paraId="1122DAD8"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013256FB"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p>
        </w:tc>
        <w:tc>
          <w:tcPr>
            <w:tcW w:w="648" w:type="dxa"/>
          </w:tcPr>
          <w:p w14:paraId="033F8BBE" w14:textId="77777777" w:rsidR="005C5445" w:rsidRPr="005C5445" w:rsidRDefault="005C5445" w:rsidP="005C5445">
            <w:pPr>
              <w:ind w:right="-1"/>
              <w:jc w:val="center"/>
              <w:rPr>
                <w:rFonts w:eastAsia="Times New Roman" w:cs="Times New Roman"/>
                <w:sz w:val="22"/>
                <w:szCs w:val="20"/>
                <w:lang w:eastAsia="lt-LT"/>
              </w:rPr>
            </w:pPr>
          </w:p>
        </w:tc>
      </w:tr>
    </w:tbl>
    <w:p w14:paraId="3F6B3E54" w14:textId="77777777" w:rsidR="00336DA1" w:rsidRDefault="00336DA1">
      <w:pPr>
        <w:rPr>
          <w:i/>
        </w:rPr>
      </w:pPr>
    </w:p>
    <w:sectPr w:rsidR="00336DA1" w:rsidSect="00DB5DE9">
      <w:footerReference w:type="default" r:id="rId6"/>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058F" w14:textId="77777777" w:rsidR="0067781D" w:rsidRDefault="0067781D" w:rsidP="00E9244D">
      <w:r>
        <w:separator/>
      </w:r>
    </w:p>
  </w:endnote>
  <w:endnote w:type="continuationSeparator" w:id="0">
    <w:p w14:paraId="0D298AA9" w14:textId="77777777" w:rsidR="0067781D" w:rsidRDefault="0067781D"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00000001"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304B1218" w14:textId="77777777" w:rsidR="00E9244D" w:rsidRDefault="00AB3D27">
        <w:pPr>
          <w:pStyle w:val="Footer"/>
          <w:jc w:val="center"/>
        </w:pPr>
        <w:r>
          <w:fldChar w:fldCharType="begin"/>
        </w:r>
        <w:r w:rsidR="00E9244D">
          <w:instrText xml:space="preserve"> PAGE   \* MERGEFORMAT </w:instrText>
        </w:r>
        <w:r>
          <w:fldChar w:fldCharType="separate"/>
        </w:r>
        <w:r w:rsidR="00302FF8">
          <w:rPr>
            <w:noProof/>
          </w:rPr>
          <w:t>2</w:t>
        </w:r>
        <w:r>
          <w:rPr>
            <w:noProof/>
          </w:rPr>
          <w:fldChar w:fldCharType="end"/>
        </w:r>
      </w:p>
    </w:sdtContent>
  </w:sdt>
  <w:p w14:paraId="4B01F849"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8756" w14:textId="77777777" w:rsidR="0067781D" w:rsidRDefault="0067781D" w:rsidP="00E9244D">
      <w:r>
        <w:separator/>
      </w:r>
    </w:p>
  </w:footnote>
  <w:footnote w:type="continuationSeparator" w:id="0">
    <w:p w14:paraId="44DCCF01" w14:textId="77777777" w:rsidR="0067781D" w:rsidRDefault="0067781D"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27969"/>
    <w:rsid w:val="0003102A"/>
    <w:rsid w:val="00054599"/>
    <w:rsid w:val="00071584"/>
    <w:rsid w:val="000A32E7"/>
    <w:rsid w:val="000C58F1"/>
    <w:rsid w:val="000E17A8"/>
    <w:rsid w:val="000F4143"/>
    <w:rsid w:val="00161C52"/>
    <w:rsid w:val="001A7A02"/>
    <w:rsid w:val="001C51CE"/>
    <w:rsid w:val="001E0DC9"/>
    <w:rsid w:val="00254D78"/>
    <w:rsid w:val="00281580"/>
    <w:rsid w:val="002B3598"/>
    <w:rsid w:val="002B45DE"/>
    <w:rsid w:val="00302FF8"/>
    <w:rsid w:val="00336DA1"/>
    <w:rsid w:val="00343F3D"/>
    <w:rsid w:val="00362851"/>
    <w:rsid w:val="003E72A4"/>
    <w:rsid w:val="00417592"/>
    <w:rsid w:val="00422A9F"/>
    <w:rsid w:val="004325BC"/>
    <w:rsid w:val="00466B18"/>
    <w:rsid w:val="00475A1C"/>
    <w:rsid w:val="004B0040"/>
    <w:rsid w:val="004B5020"/>
    <w:rsid w:val="004D07C4"/>
    <w:rsid w:val="004F04F5"/>
    <w:rsid w:val="0052385D"/>
    <w:rsid w:val="0056201F"/>
    <w:rsid w:val="005C5445"/>
    <w:rsid w:val="005C5702"/>
    <w:rsid w:val="005E1B3B"/>
    <w:rsid w:val="00617D5E"/>
    <w:rsid w:val="006211C9"/>
    <w:rsid w:val="0067781D"/>
    <w:rsid w:val="006B0FDE"/>
    <w:rsid w:val="006B1C8E"/>
    <w:rsid w:val="006E0483"/>
    <w:rsid w:val="006E7281"/>
    <w:rsid w:val="006F0CED"/>
    <w:rsid w:val="006F4F9F"/>
    <w:rsid w:val="007148D3"/>
    <w:rsid w:val="00717204"/>
    <w:rsid w:val="00727136"/>
    <w:rsid w:val="0074278A"/>
    <w:rsid w:val="00744443"/>
    <w:rsid w:val="007A6460"/>
    <w:rsid w:val="007C250C"/>
    <w:rsid w:val="007E1BCF"/>
    <w:rsid w:val="007E7B0D"/>
    <w:rsid w:val="00803C4E"/>
    <w:rsid w:val="00852021"/>
    <w:rsid w:val="0089113A"/>
    <w:rsid w:val="00892BAC"/>
    <w:rsid w:val="008A1B3F"/>
    <w:rsid w:val="008D5502"/>
    <w:rsid w:val="009307CC"/>
    <w:rsid w:val="00952DE8"/>
    <w:rsid w:val="009578E6"/>
    <w:rsid w:val="009678AE"/>
    <w:rsid w:val="009769B5"/>
    <w:rsid w:val="009A259E"/>
    <w:rsid w:val="009A703B"/>
    <w:rsid w:val="009E416C"/>
    <w:rsid w:val="009F3765"/>
    <w:rsid w:val="00A00ED1"/>
    <w:rsid w:val="00A30269"/>
    <w:rsid w:val="00A56F7D"/>
    <w:rsid w:val="00A61369"/>
    <w:rsid w:val="00A8792B"/>
    <w:rsid w:val="00AB3D27"/>
    <w:rsid w:val="00AB4B40"/>
    <w:rsid w:val="00AC2D12"/>
    <w:rsid w:val="00AF0ADE"/>
    <w:rsid w:val="00AF2595"/>
    <w:rsid w:val="00AF45C1"/>
    <w:rsid w:val="00B63725"/>
    <w:rsid w:val="00B668A0"/>
    <w:rsid w:val="00BA6348"/>
    <w:rsid w:val="00BC2768"/>
    <w:rsid w:val="00BC4754"/>
    <w:rsid w:val="00BD7493"/>
    <w:rsid w:val="00C03773"/>
    <w:rsid w:val="00C0727B"/>
    <w:rsid w:val="00C11548"/>
    <w:rsid w:val="00C21AC4"/>
    <w:rsid w:val="00C2340E"/>
    <w:rsid w:val="00C418A6"/>
    <w:rsid w:val="00C441CC"/>
    <w:rsid w:val="00C55DD0"/>
    <w:rsid w:val="00C85AD5"/>
    <w:rsid w:val="00C912FE"/>
    <w:rsid w:val="00CB6439"/>
    <w:rsid w:val="00D43E8E"/>
    <w:rsid w:val="00D768A9"/>
    <w:rsid w:val="00D935F7"/>
    <w:rsid w:val="00DB5DE9"/>
    <w:rsid w:val="00DE7492"/>
    <w:rsid w:val="00E25080"/>
    <w:rsid w:val="00E3377B"/>
    <w:rsid w:val="00E41B77"/>
    <w:rsid w:val="00E53859"/>
    <w:rsid w:val="00E77E96"/>
    <w:rsid w:val="00E9244D"/>
    <w:rsid w:val="00EB4BB8"/>
    <w:rsid w:val="00EE05FE"/>
    <w:rsid w:val="00F624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1469"/>
  <w15:docId w15:val="{8B42EA98-6338-4805-A792-9CE140DD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Heading">
    <w:name w:val="Heading"/>
    <w:next w:val="Normal"/>
    <w:rsid w:val="00C441CC"/>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paragraph" w:customStyle="1" w:styleId="Body">
    <w:name w:val="Body"/>
    <w:rsid w:val="00DE749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2703</Words>
  <Characters>1542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8</cp:revision>
  <dcterms:created xsi:type="dcterms:W3CDTF">2025-07-29T09:24:00Z</dcterms:created>
  <dcterms:modified xsi:type="dcterms:W3CDTF">2025-08-06T09:38:00Z</dcterms:modified>
</cp:coreProperties>
</file>