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76" w:before="0" w:after="80"/>
        <w:ind w:left="6804"/>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rPr/>
      </w:pPr>
      <w:r>
        <w:rPr/>
      </w:r>
    </w:p>
    <w:p>
      <w:pPr>
        <w:pStyle w:val="Normal"/>
        <w:spacing w:lineRule="auto" w:line="276"/>
        <w:jc w:val="center"/>
        <w:rPr>
          <w:rFonts w:eastAsia="Times New Roman" w:cs="Times New Roman"/>
          <w:szCs w:val="24"/>
        </w:rPr>
      </w:pPr>
      <w:r>
        <w:rPr>
          <w:rFonts w:eastAsia="Times New Roman" w:cs="Times New Roman"/>
          <w:b/>
          <w:bCs/>
          <w:color w:themeColor="text1" w:val="000000"/>
          <w:szCs w:val="24"/>
        </w:rPr>
        <w:t>TECHNINĖ SPECIFIKACIJA</w:t>
      </w:r>
    </w:p>
    <w:p>
      <w:pPr>
        <w:pStyle w:val="Normal"/>
        <w:spacing w:lineRule="auto" w:line="276"/>
        <w:jc w:val="center"/>
        <w:rPr>
          <w:rFonts w:eastAsia="Times New Roman" w:cs="Times New Roman"/>
          <w:b/>
          <w:bCs/>
          <w:color w:themeColor="text1" w:val="000000"/>
          <w:szCs w:val="24"/>
        </w:rPr>
      </w:pPr>
      <w:r>
        <w:rPr>
          <w:rFonts w:cs="Times New Roman"/>
          <w:b/>
          <w:bCs/>
          <w:color w:themeColor="text1" w:val="000000"/>
        </w:rPr>
        <w:t>MOKYMŲ PROGRAMOS IR</w:t>
      </w:r>
      <w:r>
        <w:rPr>
          <w:rFonts w:eastAsia="Times New Roman" w:cs="Times New Roman"/>
          <w:b/>
          <w:bCs/>
          <w:color w:themeColor="text1" w:val="000000"/>
          <w:szCs w:val="24"/>
        </w:rPr>
        <w:t xml:space="preserve"> MEDŽIAGOS PARENGIMAS „MOODLE” INFEKCIJŲ PREVENCIJOS IR VALDYMO TEMA</w:t>
      </w:r>
    </w:p>
    <w:p>
      <w:pPr>
        <w:pStyle w:val="ListParagraph"/>
        <w:spacing w:lineRule="auto" w:line="276"/>
        <w:ind w:firstLine="851" w:left="360"/>
        <w:jc w:val="center"/>
        <w:rPr>
          <w:rFonts w:cs="Times New Roman"/>
          <w:b/>
          <w:bCs/>
          <w:color w:val="000000"/>
          <w:szCs w:val="24"/>
        </w:rPr>
      </w:pPr>
      <w:r>
        <w:rPr>
          <w:rFonts w:cs="Times New Roman"/>
          <w:b/>
          <w:bCs/>
          <w:color w:val="000000"/>
          <w:szCs w:val="24"/>
        </w:rPr>
      </w:r>
    </w:p>
    <w:p>
      <w:pPr>
        <w:pStyle w:val="Prastasis1"/>
        <w:spacing w:before="0" w:after="0"/>
        <w:jc w:val="center"/>
        <w:rPr>
          <w:rFonts w:eastAsia="Times New Roman" w:cs="Times New Roman"/>
          <w:b/>
          <w:lang w:val="lt-LT"/>
        </w:rPr>
      </w:pPr>
      <w:r>
        <w:rPr>
          <w:rFonts w:eastAsia="Times New Roman" w:cs="Times New Roman"/>
          <w:b/>
          <w:lang w:val="lt-LT"/>
        </w:rPr>
        <w:t>I SKYRIUS</w:t>
      </w:r>
    </w:p>
    <w:p>
      <w:pPr>
        <w:pStyle w:val="Prastasis1"/>
        <w:spacing w:before="0" w:after="200"/>
        <w:contextualSpacing/>
        <w:jc w:val="center"/>
        <w:rPr>
          <w:rFonts w:eastAsia="Times New Roman" w:cs="Times New Roman"/>
          <w:b/>
          <w:color w:val="000000"/>
          <w:lang w:val="lt-LT"/>
        </w:rPr>
      </w:pPr>
      <w:r>
        <w:rPr>
          <w:rFonts w:eastAsia="Times New Roman" w:cs="Times New Roman"/>
          <w:b/>
          <w:color w:val="000000"/>
          <w:lang w:val="lt-LT"/>
        </w:rPr>
        <w:t>BENDRA INFORMACIJA APIE PIRKIMĄ</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numPr>
          <w:ilvl w:val="0"/>
          <w:numId w:val="1"/>
        </w:numPr>
        <w:tabs>
          <w:tab w:val="clear" w:pos="1296"/>
          <w:tab w:val="left" w:pos="810" w:leader="none"/>
        </w:tabs>
        <w:spacing w:lineRule="auto" w:line="276"/>
        <w:ind w:firstLine="1170" w:left="-360"/>
        <w:jc w:val="both"/>
        <w:rPr>
          <w:rFonts w:cs="Times New Roman"/>
          <w:szCs w:val="24"/>
        </w:rPr>
      </w:pPr>
      <w:r>
        <w:rPr>
          <w:rFonts w:cs="Times New Roman"/>
          <w:b/>
          <w:bCs/>
          <w:color w:themeColor="text1" w:val="000000"/>
        </w:rPr>
        <w:t>Perkančioji organizacija</w:t>
      </w:r>
      <w:r>
        <w:rPr>
          <w:rFonts w:cs="Times New Roman"/>
          <w:color w:themeColor="text1" w:val="000000"/>
        </w:rPr>
        <w:t xml:space="preserve"> – Higienos </w:t>
      </w:r>
      <w:r>
        <w:rPr>
          <w:rFonts w:cs="Times New Roman"/>
        </w:rPr>
        <w:t xml:space="preserve">institutas, valstybės biudžetinė įstaiga, adresas: Studentų g. 45A, 08107, Vilnius, tel. + 370 5 262 4583, el. p. institutas@hi.lt, įmonės kodas 111958286 (toliau - Perkančioji organizacija). </w:t>
      </w:r>
    </w:p>
    <w:p>
      <w:pPr>
        <w:pStyle w:val="ListParagraph"/>
        <w:numPr>
          <w:ilvl w:val="0"/>
          <w:numId w:val="1"/>
        </w:numPr>
        <w:tabs>
          <w:tab w:val="clear" w:pos="1296"/>
          <w:tab w:val="left" w:pos="810" w:leader="none"/>
        </w:tabs>
        <w:spacing w:lineRule="auto" w:line="276"/>
        <w:ind w:firstLine="810" w:left="0"/>
        <w:jc w:val="both"/>
        <w:rPr>
          <w:rFonts w:cs="Times New Roman"/>
          <w:szCs w:val="24"/>
        </w:rPr>
      </w:pPr>
      <w:r>
        <w:rPr>
          <w:rFonts w:cs="Times New Roman"/>
          <w:b/>
          <w:bCs/>
          <w:szCs w:val="24"/>
        </w:rPr>
        <w:t>Informacija apie vykdomą projektą</w:t>
      </w:r>
      <w:r>
        <w:rPr>
          <w:rFonts w:cs="Times New Roman"/>
          <w:szCs w:val="24"/>
        </w:rPr>
        <w:t xml:space="preserve"> – Paslaugos perkamos įgyvendinant Perkančiosios organizacijos koordinuojamą  Pažangos įgyvendinimo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 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  </w:t>
      </w:r>
    </w:p>
    <w:p>
      <w:pPr>
        <w:pStyle w:val="Normal"/>
        <w:numPr>
          <w:ilvl w:val="0"/>
          <w:numId w:val="1"/>
        </w:numPr>
        <w:tabs>
          <w:tab w:val="clear" w:pos="1296"/>
          <w:tab w:val="left" w:pos="1134" w:leader="none"/>
        </w:tabs>
        <w:spacing w:lineRule="auto" w:line="276"/>
        <w:ind w:firstLine="851" w:left="0"/>
        <w:jc w:val="both"/>
        <w:rPr>
          <w:rFonts w:cs="Times New Roman"/>
        </w:rPr>
      </w:pPr>
      <w:r>
        <w:rPr>
          <w:rFonts w:cs="Times New Roman"/>
          <w:b/>
          <w:bCs/>
        </w:rPr>
        <w:t>Pirkimo objektas</w:t>
      </w:r>
      <w:r>
        <w:rPr>
          <w:rFonts w:cs="Times New Roman"/>
        </w:rPr>
        <w:t xml:space="preserve"> – nuotolinių mokymų, tema „</w:t>
      </w:r>
      <w:r>
        <w:rPr>
          <w:rFonts w:eastAsia="Times New Roman" w:cs="Times New Roman"/>
          <w:szCs w:val="24"/>
        </w:rPr>
        <w:t>Multirezistentiškų mikroorganizmų (MDRO) plitimo prevencija</w:t>
      </w:r>
      <w:r>
        <w:rPr>
          <w:rFonts w:cs="Times New Roman"/>
        </w:rPr>
        <w:t>“, parengimo paslaugos (toliau – Paslaugos), kurios apima: mokymų programos, mokymų medžiagos turinio ir nuotolinių mokymų (toliau – e. mokymai), kūrimą.</w:t>
      </w:r>
    </w:p>
    <w:p>
      <w:pPr>
        <w:pStyle w:val="Normal"/>
        <w:numPr>
          <w:ilvl w:val="0"/>
          <w:numId w:val="1"/>
        </w:numPr>
        <w:tabs>
          <w:tab w:val="clear" w:pos="1296"/>
          <w:tab w:val="left" w:pos="1134" w:leader="none"/>
        </w:tabs>
        <w:spacing w:lineRule="auto" w:line="276"/>
        <w:ind w:firstLine="851" w:left="0"/>
        <w:jc w:val="both"/>
        <w:rPr>
          <w:rFonts w:eastAsia="Times New Roman" w:cs="Times New Roman"/>
          <w:szCs w:val="24"/>
        </w:rPr>
      </w:pPr>
      <w:r>
        <w:rPr>
          <w:rFonts w:cs="Times New Roman"/>
          <w:b/>
          <w:bCs/>
          <w:color w:themeColor="text1" w:val="000000"/>
        </w:rPr>
        <w:t>Nuotolinių mokymų tikslas</w:t>
      </w:r>
      <w:r>
        <w:rPr>
          <w:rFonts w:cs="Times New Roman"/>
          <w:color w:themeColor="text1" w:val="000000"/>
        </w:rPr>
        <w:t xml:space="preserve"> – s</w:t>
      </w:r>
      <w:r>
        <w:rPr>
          <w:rFonts w:eastAsia="Times New Roman" w:cs="Times New Roman"/>
          <w:szCs w:val="24"/>
        </w:rPr>
        <w:t>uteikti sveikatos priežiūros specialistams teorinių žinių ir praktinių įgūdžių apie multirezistentiškus mikroorganizmus (MDRO), jų plitimą, rizikos veiksnius ir prevenciją, tobulinti standartinių ir papildomų infekcijų kontrolės priemonių taikymą, suteikti reikalingų žinių apie elgsenos keitimo svarbą užkertant kelią MDRO plitimui sveikatos priežiūros įstaigose.</w:t>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b/>
          <w:bCs/>
          <w:color w:themeColor="text1" w:val="000000"/>
        </w:rPr>
        <w:t xml:space="preserve">Mokymų tikslinė grupė </w:t>
      </w:r>
      <w:r>
        <w:rPr>
          <w:rFonts w:cs="Times New Roman"/>
          <w:color w:themeColor="text1" w:val="000000"/>
        </w:rPr>
        <w:t>(toliau – tikslinė grupė): infekcijų kontrolės specialistai ir kiti sveikatos priežiūros specialistai (slaugytojai ir medicinos gydytojai), visuomenės sveikatos specialistai, vykdantys infekcijų kontrolės funkcijas sveikatos priežiūros įstaigose.</w:t>
      </w:r>
    </w:p>
    <w:p>
      <w:pPr>
        <w:pStyle w:val="Normal"/>
        <w:widowControl w:val="false"/>
        <w:numPr>
          <w:ilvl w:val="0"/>
          <w:numId w:val="1"/>
        </w:numPr>
        <w:tabs>
          <w:tab w:val="clear" w:pos="1296"/>
          <w:tab w:val="left" w:pos="142" w:leader="none"/>
          <w:tab w:val="left" w:pos="851" w:leader="none"/>
          <w:tab w:val="left" w:pos="1418" w:leader="none"/>
        </w:tabs>
        <w:spacing w:lineRule="auto" w:line="276" w:before="0" w:after="0"/>
        <w:ind w:firstLine="851" w:left="0"/>
        <w:contextualSpacing/>
        <w:jc w:val="both"/>
        <w:rPr>
          <w:rFonts w:cs="Times New Roman"/>
        </w:rPr>
      </w:pPr>
      <w:r>
        <w:rPr>
          <w:rFonts w:cs="Times New Roman"/>
        </w:rPr>
        <w:t xml:space="preserve">Pirkimas į dalis neskaidomas. </w:t>
      </w:r>
    </w:p>
    <w:p>
      <w:pPr>
        <w:pStyle w:val="ListParagraph"/>
        <w:widowControl w:val="false"/>
        <w:numPr>
          <w:ilvl w:val="0"/>
          <w:numId w:val="1"/>
        </w:numPr>
        <w:tabs>
          <w:tab w:val="clear" w:pos="1296"/>
          <w:tab w:val="left" w:pos="142" w:leader="none"/>
          <w:tab w:val="left" w:pos="1418" w:leader="none"/>
        </w:tabs>
        <w:spacing w:lineRule="auto" w:line="276"/>
        <w:ind w:firstLine="851" w:left="0"/>
        <w:jc w:val="both"/>
        <w:rPr>
          <w:rFonts w:cs="Times New Roman"/>
        </w:rPr>
      </w:pPr>
      <w:r>
        <w:rPr>
          <w:rFonts w:cs="Times New Roman"/>
          <w:b/>
          <w:bCs/>
        </w:rPr>
        <w:t>Paslaugų tiekėjas</w:t>
      </w:r>
      <w:r>
        <w:rPr>
          <w:rFonts w:cs="Times New Roman"/>
        </w:rPr>
        <w:t xml:space="preserve"> (toliau – Tiekėjas) turi įgyvendinti Techninėje specifikacijoje numatytus reikalavimus iki 2025 m. gruodžio 1 d.</w:t>
      </w:r>
    </w:p>
    <w:p>
      <w:pPr>
        <w:pStyle w:val="Normal"/>
        <w:widowControl w:val="false"/>
        <w:tabs>
          <w:tab w:val="clear" w:pos="1296"/>
          <w:tab w:val="left" w:pos="851" w:leader="none"/>
          <w:tab w:val="left" w:pos="993" w:leader="none"/>
          <w:tab w:val="left" w:pos="1276" w:leader="none"/>
        </w:tabs>
        <w:spacing w:lineRule="auto" w:line="276" w:before="0" w:after="0"/>
        <w:ind w:left="709"/>
        <w:contextualSpacing/>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bookmarkStart w:id="5" w:name="_Hlk77258429"/>
      <w:r>
        <w:rPr>
          <w:rFonts w:eastAsia="Times New Roman" w:cs="Times New Roman"/>
          <w:b/>
          <w:lang w:val="lt-LT"/>
        </w:rPr>
        <w:t>II SKYRIUS</w:t>
      </w:r>
    </w:p>
    <w:p>
      <w:pPr>
        <w:pStyle w:val="Prastasis1"/>
        <w:spacing w:before="0" w:after="0"/>
        <w:jc w:val="center"/>
        <w:rPr>
          <w:rFonts w:eastAsia="Times New Roman" w:cs="Times New Roman"/>
          <w:b/>
          <w:lang w:val="lt-LT"/>
        </w:rPr>
      </w:pPr>
      <w:r>
        <w:rPr>
          <w:rFonts w:eastAsia="Times New Roman" w:cs="Times New Roman"/>
          <w:b/>
          <w:lang w:val="lt-LT"/>
        </w:rPr>
        <w:t>BENDRIEJI REIKALAVIMAI NUOTOLINIŲ MOKYMŲ PROGRAMOS RENGIMUI</w:t>
      </w:r>
    </w:p>
    <w:p>
      <w:pPr>
        <w:pStyle w:val="Prastasis1"/>
        <w:spacing w:before="0" w:after="0"/>
        <w:jc w:val="center"/>
        <w:rPr>
          <w:rFonts w:eastAsia="Times New Roman" w:cs="Times New Roman"/>
          <w:b/>
          <w:lang w:val="lt-LT"/>
        </w:rPr>
      </w:pPr>
      <w:r>
        <w:rPr>
          <w:rFonts w:eastAsia="Times New Roman" w:cs="Times New Roman"/>
          <w:b/>
          <w:lang w:val="lt-LT"/>
        </w:rPr>
      </w:r>
    </w:p>
    <w:p>
      <w:pPr>
        <w:pStyle w:val="Normal"/>
        <w:numPr>
          <w:ilvl w:val="0"/>
          <w:numId w:val="1"/>
        </w:numPr>
        <w:tabs>
          <w:tab w:val="clear" w:pos="1296"/>
          <w:tab w:val="left" w:pos="1134" w:leader="none"/>
        </w:tabs>
        <w:spacing w:lineRule="auto" w:line="276"/>
        <w:ind w:firstLine="851" w:left="0"/>
        <w:jc w:val="both"/>
        <w:rPr>
          <w:rFonts w:cs="Times New Roman"/>
          <w:color w:val="000000"/>
        </w:rPr>
      </w:pPr>
      <w:r>
        <w:rPr>
          <w:rFonts w:cs="Times New Roman"/>
          <w:color w:themeColor="text1" w:val="000000"/>
        </w:rPr>
        <w:t>Reikalavimai mokymų programos turiniui:</w:t>
      </w:r>
    </w:p>
    <w:p>
      <w:pPr>
        <w:pStyle w:val="ListParagraph"/>
        <w:widowControl w:val="false"/>
        <w:numPr>
          <w:ilvl w:val="1"/>
          <w:numId w:val="1"/>
        </w:numPr>
        <w:shd w:val="clear" w:color="auto" w:fill="FFFFFF" w:themeFill="background1"/>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Mokymų programa turi būti parengta vadovaujantis Sveikatos priežiūros ir farmacijos specialistų profesinės kvalifikacijos tobulinimo programų ir vienkartinių profesinės kvalifikacijos tobulinimo renginių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r>
        <w:rPr>
          <w:rFonts w:cs="Times New Roman"/>
          <w:shd w:fill="FFFFFF" w:val="clear"/>
        </w:rPr>
        <w:t>;</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eastAsia="Times New Roman" w:cs="Times New Roman"/>
        </w:rPr>
        <w:t>Mokymo programos trukmė 20 ak. val.;</w:t>
      </w:r>
    </w:p>
    <w:p>
      <w:pPr>
        <w:pStyle w:val="ListParagraph"/>
        <w:numPr>
          <w:ilvl w:val="1"/>
          <w:numId w:val="1"/>
        </w:numPr>
        <w:tabs>
          <w:tab w:val="clear" w:pos="1296"/>
          <w:tab w:val="left" w:pos="426" w:leader="none"/>
          <w:tab w:val="left" w:pos="1418" w:leader="none"/>
        </w:tabs>
        <w:spacing w:lineRule="auto" w:line="276"/>
        <w:ind w:firstLine="851" w:left="0"/>
        <w:jc w:val="both"/>
        <w:rPr>
          <w:rFonts w:cs="Times New Roman"/>
          <w:color w:val="000000"/>
        </w:rPr>
      </w:pPr>
      <w:r>
        <w:rPr>
          <w:rFonts w:cs="Times New Roman"/>
          <w:color w:themeColor="text1" w:val="000000"/>
        </w:rPr>
        <w:t>Rekomenduojamos temos:</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Įvadas į antimikrobinį atsparumą ir multirezistentiškus mikroorganizmus. S</w:t>
      </w:r>
      <w:r>
        <w:rPr/>
        <w:t>upažindinimas su AMR sąvoka, pagrindiniais atsparumo mechanizmais, MDRO tipais (pvz., MRSA, VRE, CRE), epidemiologija Lietuvoje ir pasaulyje (rekomenduojama trukmė – 2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MDRO plitimo keliai ir rizikos veiksniai sveikatos priežiūros įstaigose. </w:t>
      </w:r>
      <w:r>
        <w:rPr/>
        <w:t>MDRO perdavimo keliai sveikatos priežiūros įstaigose, rizikos veiksniai, dažniausiai pasitaikančios situacijos, kurios sudaro sąlygas MDRO plitimui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 xml:space="preserve">Standartinės ir papildomos apsaugos priemonės MDRO prevencijai. </w:t>
      </w:r>
      <w:r>
        <w:rPr/>
        <w:t>Pagrindinės prevencinės priemonės – tinkama rankų higiena, tinkamas asmeninės apsaugos priemonių (AAP) naudojimas,  efektyvus patalpų valymas, atliekų ir skalbinių tvarkymas. Papildomos (kontaktinės) apsaugos priemonės, paciento izoliavimo kriterijai ir organizavimas, personalo paskirstymo principai.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MDRO protrūkių valdymas. </w:t>
      </w:r>
      <w:r>
        <w:rPr/>
        <w:t>Skryningas, tyrimų interpretavimas, pagrindiniai žingsniai kilus protrūkiui, informacijos teikimas darbuotojams ir pacientams (rekomenduojama trukmė - 2 val.).</w:t>
      </w:r>
    </w:p>
    <w:p>
      <w:pPr>
        <w:pStyle w:val="ListParagraph"/>
        <w:numPr>
          <w:ilvl w:val="2"/>
          <w:numId w:val="1"/>
        </w:numPr>
        <w:tabs>
          <w:tab w:val="clear" w:pos="1296"/>
          <w:tab w:val="left" w:pos="426" w:leader="none"/>
          <w:tab w:val="left" w:pos="1620" w:leader="none"/>
        </w:tabs>
        <w:spacing w:lineRule="auto" w:line="276"/>
        <w:ind w:firstLine="900" w:left="0"/>
        <w:jc w:val="both"/>
        <w:rPr/>
      </w:pPr>
      <w:r>
        <w:rPr>
          <w:b/>
          <w:bCs/>
        </w:rPr>
        <w:t>Elgsenos keitimo ir darbuotojų įsitraukimo svarba MDRO prevencijoje.</w:t>
      </w:r>
      <w:r>
        <w:rPr/>
        <w:t xml:space="preserve"> Elgsenos ir kultūrinių veiksnių įtaka MDRO prevencijai, darbuotojų motyvacijos stiprinimo būdai, komunikacijos svarba bei įrankiai, padedantys diegti ir palaikyti teigiamus elgsenos pokyčius kasdienėje praktikoje (rekomenduojama trukmė - 3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Gerosios praktikos pavyzdžiai ir atvejų analizė. </w:t>
      </w:r>
      <w:r>
        <w:rPr/>
        <w:t>Iliustratyvūs scenarijai, atvejų analizė, organizaciniai sprendimai (rekomenduojama trukmė - 4 ak. val.).</w:t>
      </w:r>
    </w:p>
    <w:p>
      <w:pPr>
        <w:pStyle w:val="ListParagraph"/>
        <w:numPr>
          <w:ilvl w:val="2"/>
          <w:numId w:val="1"/>
        </w:numPr>
        <w:tabs>
          <w:tab w:val="clear" w:pos="1296"/>
          <w:tab w:val="left" w:pos="426" w:leader="none"/>
          <w:tab w:val="left" w:pos="1620" w:leader="none"/>
        </w:tabs>
        <w:spacing w:lineRule="auto" w:line="276"/>
        <w:ind w:firstLine="900" w:left="0"/>
        <w:jc w:val="both"/>
        <w:rPr>
          <w:szCs w:val="24"/>
        </w:rPr>
      </w:pPr>
      <w:r>
        <w:rPr>
          <w:b/>
          <w:bCs/>
        </w:rPr>
        <w:t xml:space="preserve">Baigiamasis testas. </w:t>
      </w:r>
      <w:r>
        <w:rPr/>
        <w:t>Mokymų pabaigoje turi būti organizuojamas žinių patikrinimas – testas, sudarytas iš ne mažiau kaip 30 klausimų, apimančių visų temų teorinį turinį ir praktines situacijas (rekomenduojama trukmė - 1 ak. val.).</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programa turi pasižymėti aiškiai apibrėžtais ir pagrįstais uždaviniais, orientuotais į numatomus rezultatus;</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nurodytos mokymų dalyvių įgyjamos kompetencijos;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Mokymo programoje turi būti numatytos teorinė ir praktinė mokymo dalys;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cs="Times New Roman"/>
          <w:color w:val="000000"/>
        </w:rPr>
      </w:pPr>
      <w:r>
        <w:rPr>
          <w:rStyle w:val="Normaltextrun"/>
          <w:rFonts w:eastAsia="" w:eastAsiaTheme="majorEastAsia"/>
        </w:rPr>
        <w:t xml:space="preserve">Mokymo programoje turi būti nurodyti šiuolaikiniai ir inovatyvūs mokymo metodai ir priemonės, padedantys </w:t>
      </w:r>
      <w:r>
        <w:rPr>
          <w:rFonts w:eastAsia="Times New Roman"/>
        </w:rPr>
        <w:t>įgyti reikiamas kompetencijas</w:t>
      </w:r>
      <w:r>
        <w:rPr>
          <w:rStyle w:val="Normaltextrun"/>
          <w:rFonts w:eastAsia="" w:eastAsiaTheme="majorEastAsia"/>
        </w:rPr>
        <w:t>; mokymų metu pateikta medžiaga turi būti iliustruota praktinėmis užduotimis savarankiškam darbui bei pavyzdžiais (pritaikytais nuotoliniam mokymui);</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Style w:val="Eop"/>
          <w:rFonts w:eastAsia="" w:eastAsiaTheme="majorEastAsia"/>
        </w:rPr>
      </w:pPr>
      <w:r>
        <w:rPr>
          <w:rStyle w:val="Normaltextrun"/>
          <w:rFonts w:eastAsia="" w:eastAsiaTheme="majorEastAsia"/>
        </w:rPr>
        <w:t>Mokymo programoje turi būti nurodytas programai rengti naudotos literatūros ir kitų informacinių šaltinių sąrašas.</w:t>
      </w:r>
      <w:r>
        <w:rPr>
          <w:rStyle w:val="Eop"/>
          <w:rFonts w:eastAsia="" w:eastAsiaTheme="majorEastAsia"/>
        </w:rPr>
        <w:t> </w:t>
      </w:r>
    </w:p>
    <w:p>
      <w:pPr>
        <w:pStyle w:val="ListParagraph"/>
        <w:numPr>
          <w:ilvl w:val="1"/>
          <w:numId w:val="1"/>
        </w:numPr>
        <w:tabs>
          <w:tab w:val="clear" w:pos="1296"/>
          <w:tab w:val="left" w:pos="1418" w:leader="none"/>
        </w:tabs>
        <w:spacing w:lineRule="auto" w:line="276"/>
        <w:ind w:firstLine="851" w:left="0"/>
        <w:jc w:val="both"/>
        <w:rPr>
          <w:rFonts w:cs="Times New Roman"/>
          <w:color w:val="000000"/>
        </w:rPr>
      </w:pPr>
      <w:r>
        <w:rPr>
          <w:rFonts w:eastAsia="Times New Roman"/>
        </w:rPr>
        <w:t>Mokymo programoje turi būti aiškiai suplanuota užsiėmimų struktūra (tematika, trukmė, išdėstyta užsiėmimų medžiaga, pateikiama teorinio ir praktinio mokymo trukmė akademinėmis valandomis);</w:t>
      </w:r>
    </w:p>
    <w:p>
      <w:pPr>
        <w:pStyle w:val="Normal"/>
        <w:numPr>
          <w:ilvl w:val="0"/>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Mokymo programa turi būti parengta ir perduota Perkančiajai organizacijai. Paslaugos tiekėjas Perkančiajai organizacijai pateikia:</w:t>
      </w:r>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 xml:space="preserve"> </w:t>
      </w:r>
      <w:r>
        <w:rPr>
          <w:rFonts w:cs="Times New Roman"/>
          <w:color w:themeColor="text1" w:val="000000"/>
        </w:rPr>
        <w:t>Profesinės kvalifikacijos tobulinimo programos aprašą, parengtą pagal Taisyklių 2 priede pateiktą formą;</w:t>
      </w:r>
      <w:bookmarkStart w:id="6" w:name="part_39bc2eebaafa48cda81732a68d2579e3"/>
      <w:bookmarkEnd w:id="6"/>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Vertinimo rekomendacijas, parengtas pagal Taisyklių 3 priede pateiktą Profesinės kvalifikacijos tobulinimo programos vertinimo rekomendacijos formą;</w:t>
      </w:r>
      <w:bookmarkStart w:id="7" w:name="part_4469ce82a84647fdb191470318708313"/>
      <w:bookmarkEnd w:id="7"/>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Vertintojų užpildytą ir pasirašytą Vertintojo nešališkumo deklaraciją ir konfidencialumo pasižadėjimą (Taisyklių 4 priedas);</w:t>
      </w:r>
      <w:bookmarkStart w:id="8" w:name="part_03490e9540074a23a5b18ea3c7c8a89c"/>
      <w:bookmarkEnd w:id="8"/>
    </w:p>
    <w:p>
      <w:pPr>
        <w:pStyle w:val="ListParagraph"/>
        <w:numPr>
          <w:ilvl w:val="1"/>
          <w:numId w:val="1"/>
        </w:numPr>
        <w:tabs>
          <w:tab w:val="clear" w:pos="1296"/>
          <w:tab w:val="left" w:pos="1134" w:leader="none"/>
          <w:tab w:val="left" w:pos="1418" w:leader="none"/>
        </w:tabs>
        <w:spacing w:lineRule="auto" w:line="276"/>
        <w:ind w:firstLine="851" w:left="0"/>
        <w:jc w:val="both"/>
        <w:rPr>
          <w:rFonts w:cs="Times New Roman"/>
          <w:color w:val="000000"/>
        </w:rPr>
      </w:pPr>
      <w:r>
        <w:rPr>
          <w:rFonts w:cs="Times New Roman"/>
          <w:color w:themeColor="text1" w:val="000000"/>
        </w:rPr>
        <w:t>Dokumentus, patvirtinančius, kad vertintojai atitinka Taisyklių 13 ir (ar) 14 punktuose nustatytus kvalifikacinius reikalavimus (išsilavinimą, kvalifikaciją ir darbo patirtį patvirtinančių dokumentų kopijas).</w:t>
      </w:r>
    </w:p>
    <w:p>
      <w:pPr>
        <w:pStyle w:val="Normal"/>
        <w:tabs>
          <w:tab w:val="clear" w:pos="1296"/>
          <w:tab w:val="left" w:pos="426" w:leader="none"/>
        </w:tabs>
        <w:spacing w:lineRule="auto" w:line="276"/>
        <w:jc w:val="both"/>
        <w:rPr>
          <w:rFonts w:cs="Times New Roman"/>
          <w:color w:val="000000"/>
          <w:szCs w:val="24"/>
        </w:rPr>
      </w:pPr>
      <w:r>
        <w:rPr>
          <w:rFonts w:cs="Times New Roman"/>
          <w:color w:val="000000"/>
          <w:szCs w:val="24"/>
        </w:rPr>
      </w:r>
    </w:p>
    <w:p>
      <w:pPr>
        <w:pStyle w:val="Prastasis1"/>
        <w:spacing w:before="0" w:after="0"/>
        <w:jc w:val="center"/>
        <w:rPr>
          <w:rFonts w:eastAsia="Times New Roman" w:cs="Times New Roman"/>
          <w:b/>
          <w:lang w:val="lt-LT"/>
        </w:rPr>
      </w:pPr>
      <w:r>
        <w:rPr>
          <w:rFonts w:eastAsia="Times New Roman" w:cs="Times New Roman"/>
          <w:b/>
          <w:bCs/>
          <w:lang w:val="lt-LT"/>
        </w:rPr>
        <w:t>III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MOKYMŲ MEDŽIAGOS TURINIUI</w:t>
      </w:r>
    </w:p>
    <w:p>
      <w:pPr>
        <w:pStyle w:val="Prastasis1"/>
        <w:spacing w:before="0" w:after="0"/>
        <w:jc w:val="center"/>
        <w:rPr>
          <w:rFonts w:eastAsia="Times New Roman" w:cs="Times New Roman"/>
          <w:b/>
          <w:lang w:val="lt-LT"/>
        </w:rPr>
      </w:pPr>
      <w:r>
        <w:rPr>
          <w:rFonts w:eastAsia="Times New Roman" w:cs="Times New Roman"/>
          <w:b/>
          <w:lang w:val="lt-LT"/>
        </w:rPr>
      </w:r>
    </w:p>
    <w:p>
      <w:pPr>
        <w:pStyle w:val="Paragraph"/>
        <w:numPr>
          <w:ilvl w:val="0"/>
          <w:numId w:val="1"/>
        </w:numPr>
        <w:tabs>
          <w:tab w:val="clear" w:pos="1296"/>
          <w:tab w:val="left" w:pos="1276" w:leader="none"/>
        </w:tabs>
        <w:spacing w:lineRule="auto" w:line="276" w:beforeAutospacing="0" w:before="0" w:afterAutospacing="0" w:after="0"/>
        <w:ind w:firstLine="851" w:left="0"/>
        <w:jc w:val="both"/>
        <w:textAlignment w:val="baseline"/>
        <w:rPr/>
      </w:pPr>
      <w:r>
        <w:rPr>
          <w:rStyle w:val="Normaltextrun"/>
          <w:rFonts w:eastAsia="" w:eastAsiaTheme="majorEastAsia"/>
        </w:rPr>
        <w:t xml:space="preserve"> </w:t>
      </w:r>
      <w:r>
        <w:rPr>
          <w:rStyle w:val="Normaltextrun"/>
          <w:rFonts w:eastAsia="" w:eastAsiaTheme="majorEastAsia"/>
        </w:rPr>
        <w:t>Reikalavimai nuotolinių mokymų medžiagos turinio kūrimui: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turinys turi būti parengtas lietuvių kalba; išdėstytas nuosekliai, suprantamai ir aiškiai, esant poreikiui gali būti pateikiami vartojamų terminų paaiškinimai;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rStyle w:val="Normaltextrun"/>
          <w:rFonts w:eastAsia="" w:eastAsiaTheme="majorEastAsia"/>
        </w:rPr>
        <w:t>Mokymų turinyje turi būti nurodyti mokymų tikslai, siekiami mokymosi rezultatai;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Normaltextrun"/>
          <w:rFonts w:eastAsia="" w:eastAsiaTheme="majorEastAsia"/>
        </w:rPr>
      </w:pPr>
      <w:r>
        <w:rPr>
          <w:rStyle w:val="Normaltextrun"/>
          <w:rFonts w:eastAsia="" w:eastAsiaTheme="majorEastAsia"/>
        </w:rPr>
        <w:t xml:space="preserve">Mokymų turinys turi būti sukurtas taip, kad tikslinėje grupėje nurodyti specialistai įgytų </w:t>
      </w:r>
      <w:r>
        <w:rPr/>
        <w:t>teorinių žinių ir praktinių įgūdžių apie multirezistentiškus mikroorganizmus (MDRO), jų plitimą, rizikos veiksnius ir prevenciją, standartinių ir papildomų infekcijų kontrolės priemonių taikymą, elgsenos keitimo svarbą užkertant kelią MDRO plitimui sveikatos priežiūros įstaigose.</w:t>
      </w:r>
      <w:r>
        <w:rPr>
          <w:rStyle w:val="Normaltextrun"/>
          <w:rFonts w:eastAsia="" w:eastAsiaTheme="majorEastAsia"/>
        </w:rPr>
        <w:t xml:space="preserve">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Mokymų turinys turi būti paremtas šiuolaikiniais ir aktualiais literatūros šaltiniais, atitinkančiais tematiką;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turėti aiškią struktūrą (temos turi būti aiškiai atskirtos, identifikuojant, ką kiekvienoje temoje tikslinėje grupėje nurodyti specialistai turi išmokti);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Tobulinimo dalykai / temos turi būti išdėstyti nuosekliai, remiantis tobulinimo programos planu;</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pPr>
      <w:r>
        <w:rPr/>
        <w:t xml:space="preserve"> </w:t>
      </w:r>
      <w:r>
        <w:rPr/>
        <w:t>Parengtoje mokymų medžiagoje mokymų temos turi būti pristatytos naudojant tikslingai parinktus mokymo (-si) metodus (paskaita, paskaitos skaidrių demonstravimas, atvejų analizė, įgūdžių formavimo situacijos), orientuotus į siekiamą mokymų tikslą;</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būti išsamus, pakankamas savarankiškam mokymuisi, orientuotas į tobulinimo programoje nurodytus rezultatus (ką tikslinėje grupėje nurodyti specialistai turėtų žinoti ir gebėti pasibaigus mokymo procesui);</w:t>
      </w:r>
      <w:r>
        <w:rPr>
          <w:rStyle w:val="Eop"/>
          <w:rFonts w:eastAsia="" w:eastAsiaTheme="majorEastAsia"/>
        </w:rPr>
        <w:t> </w:t>
      </w:r>
    </w:p>
    <w:p>
      <w:pPr>
        <w:pStyle w:val="Paragraph"/>
        <w:numPr>
          <w:ilvl w:val="1"/>
          <w:numId w:val="1"/>
        </w:numPr>
        <w:tabs>
          <w:tab w:val="clear" w:pos="1296"/>
          <w:tab w:val="left" w:pos="1418"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Mokymų turinys turi apimti pasakojamąjį tekstą, skirtą e. mokymų naudotojams, pavyzdinių praktinių užduočių ir žinių patikrinimo testų, pritaikytų e. mokymams ir rekomenduojamų vizualinio turinio sprendimų aprašymą;</w:t>
      </w:r>
      <w:r>
        <w:rPr>
          <w:rStyle w:val="Eop"/>
          <w:rFonts w:eastAsia="" w:eastAsiaTheme="majorEastAsia"/>
        </w:rPr>
        <w:t> </w:t>
      </w:r>
    </w:p>
    <w:p>
      <w:pPr>
        <w:pStyle w:val="Paragraph"/>
        <w:numPr>
          <w:ilvl w:val="1"/>
          <w:numId w:val="1"/>
        </w:numPr>
        <w:spacing w:lineRule="auto" w:line="276" w:beforeAutospacing="0" w:before="0" w:afterAutospacing="0" w:after="0"/>
        <w:ind w:firstLine="630" w:left="0"/>
        <w:jc w:val="both"/>
        <w:textAlignment w:val="baseline"/>
        <w:rPr/>
      </w:pPr>
      <w:r>
        <w:rPr/>
        <w:t>Parengtoje mokymų medžiagoje naudojami metodiniai ištekliai (paruošti pranešimai (metodinė medžiaga), dalomoji medžiaga mokymo dalyviams (skaitmeniniu formatu), praktinių užduočių medžiaga, videopaskaita) turi būti pakankami atskleisti mokymų programos turinį pagal pateiktą valandų skaičiaus kriterijų;</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Eop"/>
        </w:rPr>
      </w:pPr>
      <w:r>
        <w:rPr>
          <w:rStyle w:val="Normaltextrun"/>
          <w:rFonts w:eastAsia="" w:eastAsiaTheme="majorEastAsia"/>
        </w:rPr>
        <w:t>Kiekvienos mokymo temos pabaigoje turi būti mokymų medžiagos santrauka PDF formatu (ne daugiau nei A4 5 puslapiai.), savikontrolės testas ir / ar užduotys žinių įvertinimui (su pateiktais teisingais atsaky</w:t>
      </w:r>
      <w:r>
        <w:rPr>
          <w:rStyle w:val="Normaltextrun"/>
          <w:rFonts w:eastAsia="" w:eastAsiaTheme="majorEastAsia"/>
          <w:color w:themeColor="text1" w:val="000000"/>
        </w:rPr>
        <w:t>mais).</w:t>
      </w:r>
      <w:r>
        <w:rPr>
          <w:rStyle w:val="Eop"/>
          <w:rFonts w:eastAsia="" w:eastAsiaTheme="majorEastAsia"/>
          <w:color w:themeColor="text1" w:val="000000"/>
        </w:rPr>
        <w:t> </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pPr>
      <w:r>
        <w:rPr>
          <w:rStyle w:val="Eop"/>
          <w:rFonts w:eastAsia="" w:eastAsiaTheme="majorEastAsia"/>
          <w:color w:themeColor="text1" w:val="000000"/>
        </w:rPr>
        <w:t xml:space="preserve">Mokymų pabaigoje turi būti baigiamasis žinių vertinimo testas </w:t>
      </w:r>
      <w:r>
        <w:rPr>
          <w:rStyle w:val="Normaltextrun"/>
          <w:rFonts w:eastAsia="" w:eastAsiaTheme="majorEastAsia"/>
        </w:rPr>
        <w:t>(ne daugiau nei 30 klausimų ir praktinių užduočių, su pateiktais teisingais atsaky</w:t>
      </w:r>
      <w:r>
        <w:rPr>
          <w:rStyle w:val="Normaltextrun"/>
          <w:rFonts w:eastAsia="" w:eastAsiaTheme="majorEastAsia"/>
          <w:color w:themeColor="text1" w:val="000000"/>
        </w:rPr>
        <w:t>mais);</w:t>
      </w:r>
    </w:p>
    <w:p>
      <w:pPr>
        <w:pStyle w:val="Paragraph"/>
        <w:numPr>
          <w:ilvl w:val="1"/>
          <w:numId w:val="1"/>
        </w:numPr>
        <w:tabs>
          <w:tab w:val="clear" w:pos="1296"/>
          <w:tab w:val="left" w:pos="1560" w:leader="none"/>
        </w:tabs>
        <w:spacing w:lineRule="auto" w:line="276" w:beforeAutospacing="0" w:before="0" w:afterAutospacing="0" w:after="0"/>
        <w:ind w:firstLine="851" w:left="0"/>
        <w:jc w:val="both"/>
        <w:textAlignment w:val="baseline"/>
        <w:rPr>
          <w:rStyle w:val="Normaltextrun"/>
        </w:rPr>
      </w:pPr>
      <w:r>
        <w:rPr>
          <w:rStyle w:val="Normaltextrun"/>
          <w:rFonts w:eastAsia="" w:eastAsiaTheme="majorEastAsia"/>
        </w:rPr>
        <w:t>Kiekvienos mokymo temos pabaigoje turi būti nurodytas literatūros sąrašas, rekomenduojami / papildomi literatūros šaltiniai, norintiems daugiau pasigilinti į temą (šaltiniai gali būti lietuvių ir anglų kalba).</w:t>
      </w:r>
    </w:p>
    <w:p>
      <w:pPr>
        <w:pStyle w:val="Paragraph"/>
        <w:numPr>
          <w:ilvl w:val="0"/>
          <w:numId w:val="1"/>
        </w:numPr>
        <w:tabs>
          <w:tab w:val="clear" w:pos="1296"/>
          <w:tab w:val="left" w:pos="1418" w:leader="none"/>
        </w:tabs>
        <w:spacing w:lineRule="auto" w:line="276" w:beforeAutospacing="0" w:before="0" w:afterAutospacing="0" w:after="0"/>
        <w:ind w:firstLine="851" w:left="0"/>
        <w:jc w:val="both"/>
        <w:rPr/>
      </w:pPr>
      <w:r>
        <w:rPr/>
        <w:t>Parengtos mokymų medžiagos turinyje pateikiama informacija neturi prieštarauti galiojantiems Lietuvos Respublikos teisėms aktams.</w:t>
      </w:r>
    </w:p>
    <w:p>
      <w:pPr>
        <w:pStyle w:val="Prastasis1"/>
        <w:spacing w:before="0" w:after="0"/>
        <w:jc w:val="both"/>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lang w:val="lt-LT"/>
        </w:rPr>
      </w:pPr>
      <w:r>
        <w:rPr>
          <w:rFonts w:eastAsia="Times New Roman" w:cs="Times New Roman"/>
          <w:b/>
          <w:bCs/>
          <w:lang w:val="lt-LT"/>
        </w:rPr>
        <w:t>IV SKYRIUS</w:t>
      </w:r>
    </w:p>
    <w:p>
      <w:pPr>
        <w:pStyle w:val="Prastasis1"/>
        <w:spacing w:before="0" w:after="0"/>
        <w:jc w:val="center"/>
        <w:rPr>
          <w:rFonts w:eastAsia="Times New Roman" w:cs="Times New Roman"/>
          <w:b/>
          <w:bCs/>
          <w:lang w:val="lt-LT"/>
        </w:rPr>
      </w:pPr>
      <w:r>
        <w:rPr>
          <w:rFonts w:eastAsia="Times New Roman" w:cs="Times New Roman"/>
          <w:b/>
          <w:bCs/>
          <w:lang w:val="lt-LT"/>
        </w:rPr>
        <w:t>REIKALAVIMAI NUOTOLINIŲ E. MOKYMŲ KŪRIMUI</w:t>
      </w:r>
    </w:p>
    <w:p>
      <w:pPr>
        <w:pStyle w:val="Prastasis1"/>
        <w:spacing w:before="0" w:after="0"/>
        <w:ind w:left="720"/>
        <w:contextualSpacing/>
        <w:jc w:val="center"/>
        <w:rPr>
          <w:rFonts w:eastAsia="Times New Roman" w:cs="Times New Roman"/>
          <w:b/>
          <w:color w:val="000000"/>
          <w:lang w:val="lt-LT"/>
        </w:rPr>
      </w:pPr>
      <w:r>
        <w:rPr>
          <w:rFonts w:eastAsia="Times New Roman" w:cs="Times New Roman"/>
          <w:b/>
          <w:color w:val="000000"/>
          <w:lang w:val="lt-LT"/>
        </w:rPr>
      </w:r>
    </w:p>
    <w:p>
      <w:pPr>
        <w:pStyle w:val="ListParagraph"/>
        <w:widowControl w:val="false"/>
        <w:numPr>
          <w:ilvl w:val="0"/>
          <w:numId w:val="1"/>
        </w:numPr>
        <w:tabs>
          <w:tab w:val="clear" w:pos="1296"/>
          <w:tab w:val="left" w:pos="142" w:leader="none"/>
          <w:tab w:val="left" w:pos="851" w:leader="none"/>
          <w:tab w:val="left" w:pos="1276" w:leader="none"/>
        </w:tabs>
        <w:spacing w:lineRule="auto" w:line="276"/>
        <w:ind w:firstLine="851" w:left="0"/>
        <w:jc w:val="both"/>
        <w:rPr>
          <w:rFonts w:eastAsia="Times New Roman" w:cs="Times New Roman"/>
        </w:rPr>
      </w:pPr>
      <w:r>
        <w:rPr>
          <w:rFonts w:cs="Times New Roman"/>
        </w:rPr>
        <w:t xml:space="preserve">Nuotolinių e. mokymų kūrimą apima: </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kūrimo planavimą (koncepcijos išgryninimą, e. mokymų kūrimo plano parengimą ir pan.);</w:t>
      </w:r>
    </w:p>
    <w:p>
      <w:pPr>
        <w:pStyle w:val="ListParagraph"/>
        <w:widowControl w:val="false"/>
        <w:numPr>
          <w:ilvl w:val="1"/>
          <w:numId w:val="1"/>
        </w:numPr>
        <w:tabs>
          <w:tab w:val="clear" w:pos="1296"/>
          <w:tab w:val="left" w:pos="142" w:leader="none"/>
          <w:tab w:val="left" w:pos="568" w:leader="none"/>
          <w:tab w:val="left" w:pos="709" w:leader="none"/>
          <w:tab w:val="left" w:pos="851" w:leader="none"/>
          <w:tab w:val="left" w:pos="1418" w:leader="none"/>
        </w:tabs>
        <w:spacing w:lineRule="auto" w:line="276"/>
        <w:ind w:firstLine="851" w:left="0"/>
        <w:jc w:val="both"/>
        <w:rPr>
          <w:rFonts w:cs="Times New Roman"/>
        </w:rPr>
      </w:pPr>
      <w:r>
        <w:rPr>
          <w:rFonts w:cs="Times New Roman"/>
        </w:rPr>
        <w:t>E. mokymų turinio kūrimą (scenarijaus rengimą, tekstų, testų, užduočių paruošimą ir pan.);</w:t>
      </w:r>
    </w:p>
    <w:p>
      <w:pPr>
        <w:pStyle w:val="Normal"/>
        <w:widowControl w:val="false"/>
        <w:numPr>
          <w:ilvl w:val="1"/>
          <w:numId w:val="1"/>
        </w:numPr>
        <w:tabs>
          <w:tab w:val="clear" w:pos="1296"/>
          <w:tab w:val="left" w:pos="142" w:leader="none"/>
          <w:tab w:val="left" w:pos="1418" w:leader="none"/>
        </w:tabs>
        <w:spacing w:lineRule="auto" w:line="276" w:before="0" w:after="0"/>
        <w:ind w:firstLine="851" w:left="0"/>
        <w:contextualSpacing/>
        <w:jc w:val="both"/>
        <w:rPr>
          <w:rFonts w:cs="Times New Roman"/>
        </w:rPr>
      </w:pPr>
      <w:r>
        <w:rPr>
          <w:rFonts w:cs="Times New Roman"/>
        </w:rPr>
        <w:t>E. mokymų gamybą (grafinių elementų parinkimą, įgarsinimo, maketavimo / montavimo darbus, video mokymų ir kitų elementų integravimą);</w:t>
      </w:r>
    </w:p>
    <w:p>
      <w:pPr>
        <w:pStyle w:val="ListParagraph"/>
        <w:widowControl w:val="false"/>
        <w:numPr>
          <w:ilvl w:val="1"/>
          <w:numId w:val="1"/>
        </w:numPr>
        <w:tabs>
          <w:tab w:val="clear" w:pos="1296"/>
          <w:tab w:val="left" w:pos="142" w:leader="none"/>
          <w:tab w:val="left" w:pos="1418" w:leader="none"/>
        </w:tabs>
        <w:spacing w:lineRule="auto" w:line="276"/>
        <w:ind w:firstLine="851" w:left="0"/>
        <w:rPr>
          <w:rFonts w:cs="Times New Roman"/>
        </w:rPr>
      </w:pPr>
      <w:r>
        <w:rPr>
          <w:rFonts w:cs="Times New Roman"/>
        </w:rPr>
        <w:t>E. mokymų testavimą.</w:t>
      </w:r>
    </w:p>
    <w:p>
      <w:pPr>
        <w:pStyle w:val="Normal"/>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val="C00000"/>
        </w:rPr>
      </w:pPr>
      <w:r>
        <w:rPr>
          <w:rFonts w:cs="Times New Roman"/>
        </w:rPr>
        <w:t xml:space="preserve">Parengtuose e. mokymuose turi būti: </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rPr>
          <w:rFonts w:cs="Times New Roman"/>
        </w:rPr>
      </w:pPr>
      <w:r>
        <w:rPr>
          <w:rFonts w:cs="Times New Roman"/>
        </w:rPr>
        <w:t>pateiktas grafinis apipavidalinimas (ikonos, nuotraukos, iliustracijos ir kt.), nepažeidžiant šios techninės specifikacijos 28 punkto reikalavimų;</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 xml:space="preserve">savikontrolės testai ir / ar užduotys, baigiamasis žinių vertinimo testas pritaikyti virtualiai mokymosi aplinkai Moodle </w:t>
      </w:r>
      <w:r>
        <w:rPr>
          <w:rFonts w:eastAsia="Times New Roman" w:cs="Times New Roman"/>
        </w:rPr>
        <w:t>arba lygiavertei šiai sistemai platformai, užtikrinančiai panašias funkcionalumo ir naudojimo galimybes</w:t>
      </w:r>
      <w:r>
        <w:rPr>
          <w:rFonts w:cs="Times New Roman"/>
        </w:rPr>
        <w:t>. Jei pasirinkami testo tipo klausimai, jie gali būti su vienu arba keliais atsakymo variantais, „True / False“, „Drag-and-drop” pratimai ir pan.;</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eastAsia="" w:eastAsiaTheme="minorEastAsia"/>
        </w:rPr>
        <w:t>naudojamas kokybiškas, be pašalinių garsų ar trikdžių vaizdo medžiagos įgarsinimas, užtikrinant sklandų mokymosi procesą. Vaizdo įraše matomas lektorius, pristatantis dėstomą temą;</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vaizdo įrašai ir kita e. mokymų medžiaga suglaudinta optimaliam kokybės ir failo dydžio santykiui;</w:t>
      </w:r>
    </w:p>
    <w:p>
      <w:pPr>
        <w:pStyle w:val="ListParagraph"/>
        <w:widowControl w:val="false"/>
        <w:numPr>
          <w:ilvl w:val="1"/>
          <w:numId w:val="1"/>
        </w:numPr>
        <w:tabs>
          <w:tab w:val="clear" w:pos="1296"/>
          <w:tab w:val="left" w:pos="1134" w:leader="none"/>
          <w:tab w:val="left" w:pos="1193" w:leader="none"/>
          <w:tab w:val="left" w:pos="1418" w:leader="none"/>
        </w:tabs>
        <w:spacing w:lineRule="auto" w:line="276"/>
        <w:ind w:firstLine="851" w:left="0"/>
        <w:jc w:val="both"/>
        <w:rPr>
          <w:rFonts w:cs="Times New Roman"/>
        </w:rPr>
      </w:pPr>
      <w:r>
        <w:rPr>
          <w:rFonts w:cs="Times New Roman"/>
        </w:rPr>
        <w:t>naudojama taisyklinga lietuvių kalba visam e. mokymų turiniui.</w:t>
      </w:r>
    </w:p>
    <w:p>
      <w:pPr>
        <w:pStyle w:val="ListParagraph"/>
        <w:widowControl w:val="false"/>
        <w:numPr>
          <w:ilvl w:val="0"/>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 w:eastAsiaTheme="minorEastAsia"/>
        </w:rPr>
        <w:t>Užtikrinti aktyvų įsitraukimą ir efektyvų mokymąsi e. mokymo turinys turi būti pateiktas šiomis formomis: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pPr>
      <w:r>
        <w:rPr>
          <w:rFonts w:eastAsia="Times New Roman" w:cs="Times New Roman"/>
        </w:rPr>
        <w:t>vaizdo medžiaga – išlaikyti dėmesį, paaiškinti sudėtingas temas vizualiai ir interaktyviai;</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 xml:space="preserve">skaidrės – struktūruotas turinys, aiškūs pagrindiniai punktai, lengvai peržiūrima informacija; </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tekstiniai failai – suteikti gilesnį supratimą ir papildomą informaciją, leidžia gilintis į specifines detales;</w:t>
      </w:r>
    </w:p>
    <w:p>
      <w:pPr>
        <w:pStyle w:val="ListParagraph"/>
        <w:widowControl w:val="false"/>
        <w:numPr>
          <w:ilvl w:val="1"/>
          <w:numId w:val="1"/>
        </w:numPr>
        <w:tabs>
          <w:tab w:val="clear" w:pos="1296"/>
          <w:tab w:val="left" w:pos="851" w:leader="none"/>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interaktyvus turinys – testai, atvejų analizės, užduotys, skatinantys aktyvų dalyvavimą, padedantys geriau įsisavinti informaciją ir įtvirtinti žinias.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eastAsia="" w:eastAsiaTheme="minorEastAsia"/>
        </w:rPr>
        <w:t xml:space="preserve">Galimi e. mokymų turinio pateikimo formatai (suderinami su </w:t>
      </w:r>
      <w:r>
        <w:rPr>
          <w:rFonts w:eastAsia="Times New Roman" w:cs="Times New Roman"/>
        </w:rPr>
        <w:t>virtualia mokymosi aplinka Moodle arba lygiaverte šiai sistemai platforma, užtikrinančia panašias funkcionalumo ir naudojimo galimybes)</w:t>
      </w:r>
      <w:r>
        <w:rPr>
          <w:rFonts w:eastAsia="" w:eastAsiaTheme="minorEastAsia"/>
        </w:rPr>
        <w:t>:</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 w:eastAsiaTheme="minorEastAsia"/>
        </w:rPr>
        <w:t>PDF – mokymo medžiaga, infografikai ar vizualizuoti teoriniai aspektai, papildoma informacija;</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rPr>
        <w:t>MP4 – vaizdo paskaitos, animuoti vaizdo įrašai, demonstracijos, praktiniai pavyzdžiai;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pPr>
      <w:r>
        <w:rPr>
          <w:rFonts w:eastAsia="Times New Roman" w:cs="Times New Roman"/>
        </w:rPr>
        <w:t>PPTX – skaidrių rinkinys interaktyviems pristatymams;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JPEG, PNG, GIF, SVG – paveikslėliai, infografikai;</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H5P – interaktyvūs turinio elementai, papildantys mokymų turinį (užduotys, interaktyvūs vaizdo įrašai ir prezentacijos);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eastAsia="Times New Roman" w:cs="Times New Roman"/>
        </w:rPr>
      </w:pPr>
      <w:r>
        <w:rPr>
          <w:rFonts w:eastAsia="Times New Roman" w:cs="Times New Roman"/>
        </w:rPr>
        <w:t>SCORM – standartizuotas mokymo turinio formatas, leidžiantis integruoti mokymo medžiagą į mokymosi valdymo sistemas;</w:t>
      </w:r>
    </w:p>
    <w:p>
      <w:pPr>
        <w:pStyle w:val="ListParagraph"/>
        <w:widowControl w:val="false"/>
        <w:numPr>
          <w:ilvl w:val="1"/>
          <w:numId w:val="1"/>
        </w:numPr>
        <w:tabs>
          <w:tab w:val="clear" w:pos="1296"/>
          <w:tab w:val="left" w:pos="1193" w:leader="none"/>
          <w:tab w:val="left" w:pos="1418" w:leader="none"/>
        </w:tabs>
        <w:spacing w:lineRule="auto" w:line="276"/>
        <w:ind w:firstLine="851" w:left="0"/>
        <w:jc w:val="both"/>
        <w:rPr>
          <w:rFonts w:cs="Times New Roman"/>
        </w:rPr>
      </w:pPr>
      <w:r>
        <w:rPr>
          <w:rFonts w:eastAsia="Times New Roman" w:cs="Times New Roman"/>
        </w:rPr>
        <w:t>Kiti interaktyvūs e. mokymų kūrimo formatai, kurie suderinami su virtualia mokymosi aplinka Moodle arba lygiaverte šiai sistemai platforma, užtikrinančia panašias funkcionalumo ir naudojimo galimybes.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Visose mokymų medžiagos temose / dalyse turi būti naudojamos tokios pačios technologijos, kurios tarpusavyje turi derėti technologiškai ir funkciškai.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E. mokymų turinys turi būti estetiškas ir atitikti Perkančiosios organizacijos vizualinį identitetą: derėti fonas, iliustracijos ir tekstas, harmoningai išdėstyti elementai, pasižymėti vientisa, stilinga grafika, šriftu, spalvomis, vaizdais ir kitais daugialypės terpės elementais.</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E. mokymai turi būti tinkamai atvaizduojami n</w:t>
      </w:r>
      <w:r>
        <w:rPr>
          <w:rFonts w:eastAsia="Times New Roman" w:cs="Times New Roman"/>
        </w:rPr>
        <w:t>epriklausomai nuo įrenginio (kompiuterio, mobilaus įrenginio, planšetinio kompiuterio)</w:t>
      </w:r>
      <w:r>
        <w:rPr>
          <w:rFonts w:cs="Times New Roman"/>
        </w:rPr>
        <w:t xml:space="preserve">. </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Tiekėjas kurdamas mokymų programą, turinį, dizainą, mokymų funkcionalumą privalo juos suderinti su Perkančiąja organizacija.</w:t>
      </w:r>
    </w:p>
    <w:p>
      <w:pPr>
        <w:pStyle w:val="Normal"/>
        <w:widowControl w:val="false"/>
        <w:tabs>
          <w:tab w:val="clear" w:pos="1296"/>
          <w:tab w:val="left" w:pos="851" w:leader="none"/>
          <w:tab w:val="left" w:pos="993" w:leader="none"/>
          <w:tab w:val="left" w:pos="1193" w:leader="none"/>
        </w:tabs>
        <w:spacing w:lineRule="auto" w:line="276"/>
        <w:ind w:firstLine="851"/>
        <w:jc w:val="both"/>
        <w:rPr>
          <w:rFonts w:cs="Times New Roman"/>
          <w:szCs w:val="24"/>
        </w:rPr>
      </w:pPr>
      <w:r>
        <w:rPr>
          <w:rFonts w:cs="Times New Roman"/>
          <w:szCs w:val="24"/>
        </w:rPr>
      </w:r>
    </w:p>
    <w:p>
      <w:pPr>
        <w:pStyle w:val="Prastasis1"/>
        <w:spacing w:before="0" w:after="0"/>
        <w:jc w:val="center"/>
        <w:rPr>
          <w:rFonts w:eastAsia="Times New Roman" w:cs="Times New Roman"/>
          <w:b/>
          <w:bCs/>
          <w:lang w:val="lt-LT"/>
        </w:rPr>
      </w:pPr>
      <w:r>
        <w:rPr>
          <w:rFonts w:eastAsia="Times New Roman" w:cs="Times New Roman"/>
          <w:b/>
          <w:bCs/>
          <w:lang w:val="lt-LT"/>
        </w:rPr>
        <w:t>V SKYRIUS</w:t>
      </w:r>
    </w:p>
    <w:p>
      <w:pPr>
        <w:pStyle w:val="ListParagraph"/>
        <w:widowControl w:val="false"/>
        <w:tabs>
          <w:tab w:val="clear" w:pos="1296"/>
          <w:tab w:val="left" w:pos="851" w:leader="none"/>
          <w:tab w:val="left" w:pos="993" w:leader="none"/>
          <w:tab w:val="left" w:pos="1193" w:leader="none"/>
        </w:tabs>
        <w:spacing w:lineRule="auto" w:line="276"/>
        <w:ind w:left="0"/>
        <w:jc w:val="center"/>
        <w:rPr>
          <w:rFonts w:eastAsia="Times New Roman" w:cs="Times New Roman"/>
          <w:b/>
          <w:bCs/>
        </w:rPr>
      </w:pPr>
      <w:r>
        <w:rPr>
          <w:rFonts w:cs="Times New Roman"/>
          <w:b/>
          <w:bCs/>
        </w:rPr>
        <w:t>MOKYMŲ PROGRAMOS, MOKYMŲ MEDŽIAGOS IR E. MOKYMŲ RENGIMO TVARKA</w:t>
      </w:r>
    </w:p>
    <w:p>
      <w:pPr>
        <w:pStyle w:val="ListParagraph"/>
        <w:widowControl w:val="false"/>
        <w:tabs>
          <w:tab w:val="clear" w:pos="1296"/>
          <w:tab w:val="left" w:pos="851" w:leader="none"/>
          <w:tab w:val="left" w:pos="993" w:leader="none"/>
          <w:tab w:val="left" w:pos="1193" w:leader="none"/>
        </w:tabs>
        <w:spacing w:lineRule="auto" w:line="276"/>
        <w:ind w:left="491"/>
        <w:jc w:val="both"/>
        <w:rPr>
          <w:rFonts w:cs="Times New Roman"/>
        </w:rPr>
      </w:pPr>
      <w:r>
        <w:rPr>
          <w:rFonts w:cs="Times New Roman"/>
        </w:rPr>
      </w:r>
    </w:p>
    <w:p>
      <w:pPr>
        <w:pStyle w:val="ListParagraph"/>
        <w:numPr>
          <w:ilvl w:val="0"/>
          <w:numId w:val="1"/>
        </w:numPr>
        <w:tabs>
          <w:tab w:val="clear" w:pos="1296"/>
          <w:tab w:val="left" w:pos="851" w:leader="none"/>
        </w:tabs>
        <w:spacing w:lineRule="auto" w:line="276"/>
        <w:ind w:firstLine="851" w:left="0"/>
        <w:jc w:val="both"/>
        <w:rPr>
          <w:rFonts w:cs="Times New Roman"/>
        </w:rPr>
      </w:pPr>
      <w:r>
        <w:rPr>
          <w:rFonts w:cs="Times New Roman"/>
        </w:rPr>
        <w:t>Pasirašius paslaugų teikimo sutartį Tiekėjas ne vėliau kaip per 5 darbo dienas turi pateikti Perkančiajai organizacijai derinti paslaugų vykdymo planą, kuriame turi būti nurodytas planuojamas galutinis paslaugų suteikimo terminas, atskiri Paslaugų teikimo etapai, jų apimtys bei kita Tiekėjui ir Perkančiajai organizacijai svarbi informacija.</w:t>
      </w:r>
    </w:p>
    <w:p>
      <w:pPr>
        <w:pStyle w:val="ListParagraph"/>
        <w:numPr>
          <w:ilvl w:val="0"/>
          <w:numId w:val="1"/>
        </w:numPr>
        <w:tabs>
          <w:tab w:val="clear" w:pos="1296"/>
          <w:tab w:val="left" w:pos="1134" w:leader="none"/>
        </w:tabs>
        <w:spacing w:lineRule="auto" w:line="276"/>
        <w:ind w:firstLine="851" w:left="0"/>
        <w:jc w:val="both"/>
        <w:rPr>
          <w:rFonts w:cs="Times New Roman"/>
        </w:rPr>
      </w:pPr>
      <w:r>
        <w:rPr>
          <w:rFonts w:cs="Times New Roman"/>
        </w:rPr>
        <w:t>Paslaugų vykdymo planą turi sudaryti šie mokymų kūrimo etapai:</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paslaugų vykdymo koncepcijos parengimas (detalus Perkančiosios organizacijos poreikio išsiaiškinimas, išgryninant mokymo tikslą, siektinus rezultatus, tikslinę auditoriją, mokymų temas);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programos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mokymų medžiagos scenarijaus sukūrimas pagal patvirtintą mokymų programą (turinio struktūros parengimas, mokymų medžiagos pateikimo būdų (taip pat suderinant kokia forma (tekstinė, vaizdo ar kt.) medžiaga bus pateikiama) bei testų ir / ar užduočių ir baigiamojo vertinimo priemonių nustatymas);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grafinio dizaino parengimas;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techninis išpildymas;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testavimas ir klaidų šalinimas;</w:t>
      </w:r>
    </w:p>
    <w:p>
      <w:pPr>
        <w:pStyle w:val="ListParagraph"/>
        <w:widowControl w:val="false"/>
        <w:numPr>
          <w:ilvl w:val="1"/>
          <w:numId w:val="1"/>
        </w:numPr>
        <w:tabs>
          <w:tab w:val="clear" w:pos="1296"/>
          <w:tab w:val="left" w:pos="567" w:leader="none"/>
          <w:tab w:val="left" w:pos="1134" w:leader="none"/>
          <w:tab w:val="left" w:pos="1418" w:leader="none"/>
        </w:tabs>
        <w:spacing w:lineRule="auto" w:line="276"/>
        <w:ind w:firstLine="851" w:left="0"/>
        <w:jc w:val="both"/>
        <w:rPr>
          <w:rFonts w:cs="Times New Roman"/>
        </w:rPr>
      </w:pPr>
      <w:r>
        <w:rPr>
          <w:rFonts w:cs="Times New Roman"/>
        </w:rPr>
        <w:t>E. mokymų perdavimas Perkančiajai organizacijai.</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 xml:space="preserve">Tiekėjas pradeda teikti </w:t>
      </w:r>
      <w:r>
        <w:rPr>
          <w:rFonts w:cs="Times New Roman"/>
        </w:rPr>
        <w:t>paslaugą gavęs Perkančiosios organizacijos pritarimą raštu</w:t>
      </w:r>
      <w:r>
        <w:rPr>
          <w:rFonts w:cs="Times New Roman"/>
          <w:color w:themeColor="text1" w:val="000000"/>
        </w:rPr>
        <w:t>.</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color w:themeColor="text1" w:val="000000"/>
        </w:rPr>
      </w:pPr>
      <w:r>
        <w:rPr>
          <w:rFonts w:cs="Times New Roman"/>
          <w:color w:themeColor="text1" w:val="000000"/>
        </w:rPr>
        <w:t>Tiekėjas atsakingas už visą nuotolinių mokymų parengimo paslaugos proceso valdymą, darbų organizavimą ir atlikimą.</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Teikėjas korekcijas pagal Perkančiosios organizacijos pateiktas pastabas </w:t>
      </w:r>
      <w:r>
        <w:rPr>
          <w:rFonts w:cs="Times New Roman"/>
          <w:color w:themeColor="text1" w:val="000000"/>
        </w:rPr>
        <w:t>viso nuotolinių mokymų parengimo paslaugos proceso metu</w:t>
      </w:r>
      <w:r>
        <w:rPr>
          <w:rFonts w:cs="Times New Roman"/>
        </w:rPr>
        <w:t xml:space="preserve"> turi atlikti ne vėliau kaip per 5 darbo dienas nuo pastabų pateikimo.</w:t>
      </w:r>
    </w:p>
    <w:p>
      <w:pPr>
        <w:pStyle w:val="ListParagraph"/>
        <w:widowControl w:val="false"/>
        <w:numPr>
          <w:ilvl w:val="0"/>
          <w:numId w:val="1"/>
        </w:numPr>
        <w:tabs>
          <w:tab w:val="clear" w:pos="1296"/>
          <w:tab w:val="left" w:pos="851" w:leader="none"/>
          <w:tab w:val="left" w:pos="993" w:leader="none"/>
          <w:tab w:val="left" w:pos="1193" w:leader="none"/>
        </w:tabs>
        <w:spacing w:lineRule="auto" w:line="276"/>
        <w:ind w:firstLine="851" w:left="0"/>
        <w:jc w:val="both"/>
        <w:rPr>
          <w:rFonts w:cs="Times New Roman"/>
        </w:rPr>
      </w:pPr>
      <w:r>
        <w:rPr>
          <w:rFonts w:cs="Times New Roman"/>
        </w:rPr>
        <w:t xml:space="preserve"> </w:t>
      </w:r>
      <w:r>
        <w:rPr>
          <w:rFonts w:cs="Times New Roman"/>
        </w:rPr>
        <w:t xml:space="preserve">Sukurtiems e. mokymams turi būti suteikiama garantija </w:t>
      </w:r>
      <w:r>
        <w:rPr>
          <w:rFonts w:cs="Times New Roman"/>
          <w:color w:themeColor="text1" w:val="000000"/>
        </w:rPr>
        <w:t>techniniams nesklandumams ir trūkumams šalinti – neribotai per 12 mėnesių nuo</w:t>
      </w:r>
      <w:r>
        <w:rPr>
          <w:rFonts w:cs="Times New Roman"/>
          <w:color w:val="FF0000"/>
        </w:rPr>
        <w:t xml:space="preserve"> </w:t>
      </w:r>
      <w:r>
        <w:rPr>
          <w:rFonts w:eastAsia="Times New Roman" w:cs="Times New Roman"/>
        </w:rPr>
        <w:t xml:space="preserve">Paslaugų priėmimo–perdavimo akto </w:t>
      </w:r>
      <w:r>
        <w:rPr>
          <w:rFonts w:cs="Times New Roman"/>
        </w:rPr>
        <w:t xml:space="preserve">pasirašymo dienos, </w:t>
      </w:r>
      <w:r>
        <w:rPr>
          <w:rFonts w:cs="Times New Roman"/>
          <w:color w:themeColor="text1" w:val="000000"/>
        </w:rPr>
        <w:t xml:space="preserve">jei tai </w:t>
      </w:r>
      <w:r>
        <w:rPr>
          <w:rFonts w:cs="Times New Roman"/>
        </w:rPr>
        <w:t>susiję su Tiekėjo technine klaida.</w:t>
      </w:r>
      <w:bookmarkEnd w:id="5"/>
    </w:p>
    <w:p>
      <w:pPr>
        <w:pStyle w:val="Prastasis1"/>
        <w:spacing w:before="0" w:after="0"/>
        <w:jc w:val="center"/>
        <w:rPr>
          <w:rFonts w:eastAsia="Times New Roman" w:cs="Times New Roman"/>
          <w:b/>
          <w:bCs/>
          <w:lang w:val="lt-LT"/>
        </w:rPr>
      </w:pPr>
      <w:r>
        <w:rPr>
          <w:rFonts w:eastAsia="Times New Roman" w:cs="Times New Roman"/>
          <w:b/>
          <w:bCs/>
          <w:lang w:val="lt-LT"/>
        </w:rPr>
      </w:r>
    </w:p>
    <w:p>
      <w:pPr>
        <w:pStyle w:val="Prastasis1"/>
        <w:spacing w:before="0" w:after="0"/>
        <w:jc w:val="center"/>
        <w:rPr>
          <w:rFonts w:eastAsia="Times New Roman" w:cs="Times New Roman"/>
          <w:b/>
          <w:bCs/>
          <w:lang w:val="lt-LT"/>
        </w:rPr>
      </w:pPr>
      <w:r>
        <w:rPr>
          <w:rFonts w:eastAsia="Times New Roman" w:cs="Times New Roman"/>
          <w:b/>
          <w:bCs/>
          <w:lang w:val="lt-LT"/>
        </w:rPr>
        <w:t>VI SKYRIUS</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t>BENDRI REIKALAVIMAI PIRKIMUI</w:t>
      </w:r>
    </w:p>
    <w:p>
      <w:pPr>
        <w:pStyle w:val="Prastasis1"/>
        <w:tabs>
          <w:tab w:val="clear" w:pos="1296"/>
          <w:tab w:val="left" w:pos="851" w:leader="none"/>
          <w:tab w:val="left" w:pos="993" w:leader="none"/>
          <w:tab w:val="left" w:pos="1276" w:leader="none"/>
        </w:tabs>
        <w:spacing w:before="0" w:after="0"/>
        <w:jc w:val="center"/>
        <w:rPr>
          <w:rFonts w:eastAsia="Times New Roman" w:cs="Times New Roman"/>
          <w:b/>
          <w:bCs/>
          <w:color w:themeColor="text1" w:val="000000"/>
          <w:lang w:val="lt-LT"/>
        </w:rPr>
      </w:pPr>
      <w:r>
        <w:rPr>
          <w:rFonts w:eastAsia="Times New Roman" w:cs="Times New Roman"/>
          <w:b/>
          <w:bCs/>
          <w:color w:themeColor="text1" w:val="000000"/>
          <w:lang w:val="lt-LT"/>
        </w:rPr>
      </w:r>
    </w:p>
    <w:p>
      <w:pPr>
        <w:pStyle w:val="Standard"/>
        <w:widowControl w:val="false"/>
        <w:numPr>
          <w:ilvl w:val="0"/>
          <w:numId w:val="1"/>
        </w:numPr>
        <w:tabs>
          <w:tab w:val="clear" w:pos="1296"/>
          <w:tab w:val="left" w:pos="270" w:leader="none"/>
          <w:tab w:val="left" w:pos="540" w:leader="none"/>
          <w:tab w:val="left" w:pos="851" w:leader="none"/>
          <w:tab w:val="left" w:pos="993" w:leader="none"/>
        </w:tabs>
        <w:spacing w:lineRule="auto" w:line="276"/>
        <w:ind w:firstLine="851" w:left="0"/>
        <w:jc w:val="both"/>
        <w:rPr>
          <w:color w:themeColor="text1" w:val="000000"/>
        </w:rPr>
      </w:pPr>
      <w:r>
        <w:rPr>
          <w:color w:themeColor="text1" w:val="000000"/>
        </w:rPr>
        <w:t>Tiekėjas turi paskirti atsakingą asmenį, į kurį Perkančioji organizacija galėtų kreiptis dėl teikiamos Paslaugos.</w:t>
      </w:r>
      <w:r>
        <w:rPr/>
        <w:t xml:space="preserve"> </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color w:val="auto"/>
          <w:lang w:val="lt-LT"/>
        </w:rPr>
      </w:pPr>
      <w:r>
        <w:rPr>
          <w:rFonts w:eastAsia="Times New Roman" w:cs="Times New Roman"/>
          <w:color w:val="auto"/>
          <w:lang w:val="lt-LT"/>
        </w:rPr>
        <w:t xml:space="preserve">Jeigu tiekėjas, teikdamas Paslaugą, pasinaudoja trečiųjų asmenų intelektine nuosavybe, įskaitant, bet </w:t>
      </w:r>
      <w:r>
        <w:rPr>
          <w:rFonts w:eastAsia="Times New Roman" w:cs="Times New Roman"/>
          <w:lang w:val="lt-LT"/>
        </w:rPr>
        <w:t>tuo neapsiribojant, autorių teises, licencijas, patentus, brėžinius, modelius, prekių ženklus, kuri integruojama ar kitaip susiejama su Paslaugų rezultatu, tai teikėjas užtikrina ir garantuoja savo sąskaita, kad nebus pažeistos šių trečiųjų asmenų teisės.</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Tiekėjas užtikrina ir atsako, kad jo suteiktos Paslaugos ir jų rezultatas nepažeis trečiųjų asmenų intelektinės nuosavybės teisių ir, kad Perkančioji organizacija nepatirs jokių teisinių išlaidų ar nuostolių dėl reikalavimų arba įsipareigojimų, susijusių su intelektinės nuosavybės teisėmis į Sutarties dalyką.</w:t>
      </w:r>
    </w:p>
    <w:p>
      <w:pPr>
        <w:pStyle w:val="Prastasis1"/>
        <w:widowControl/>
        <w:numPr>
          <w:ilvl w:val="0"/>
          <w:numId w:val="1"/>
        </w:numPr>
        <w:tabs>
          <w:tab w:val="clear" w:pos="1296"/>
          <w:tab w:val="left" w:pos="851" w:leader="none"/>
          <w:tab w:val="left" w:pos="993" w:leader="none"/>
          <w:tab w:val="left" w:pos="1134" w:leader="none"/>
        </w:tabs>
        <w:suppressAutoHyphens w:val="false"/>
        <w:spacing w:before="0" w:after="0"/>
        <w:ind w:firstLine="851" w:left="0"/>
        <w:contextualSpacing/>
        <w:jc w:val="both"/>
        <w:rPr>
          <w:rFonts w:eastAsia="Times New Roman" w:cs="Times New Roman"/>
          <w:lang w:val="lt-LT"/>
        </w:rPr>
      </w:pPr>
      <w:r>
        <w:rPr>
          <w:rFonts w:eastAsia="Times New Roman" w:cs="Times New Roman"/>
          <w:lang w:val="lt-LT"/>
        </w:rPr>
        <w:t>Paslauga bus laikoma suteikta tinkamai Perkančiajai organizacijai pasirašius Paslaugų priėmimo–perdavimo aktą.</w:t>
      </w:r>
    </w:p>
    <w:p>
      <w:pPr>
        <w:pStyle w:val="Standard"/>
        <w:widowControl w:val="false"/>
        <w:numPr>
          <w:ilvl w:val="0"/>
          <w:numId w:val="1"/>
        </w:numPr>
        <w:tabs>
          <w:tab w:val="clear" w:pos="1296"/>
          <w:tab w:val="left" w:pos="540" w:leader="none"/>
          <w:tab w:val="left" w:pos="851" w:leader="none"/>
          <w:tab w:val="left" w:pos="993" w:leader="none"/>
        </w:tabs>
        <w:spacing w:lineRule="auto" w:line="276"/>
        <w:ind w:firstLine="851" w:left="0"/>
        <w:jc w:val="both"/>
        <w:rPr>
          <w:color w:themeColor="text1" w:val="000000"/>
        </w:rPr>
      </w:pPr>
      <w:r>
        <w:rPr/>
        <w:t xml:space="preserve">Nuo Perkančiosios organizacijos galutinio atsiskaitymo su Tiekėju dienos sukurtos Paslaugos intelektinė nuosavybė perduodama Perkančiajai organizacijai neterminuotai ir su galimybe jomis naudotis be apribojimų. Perkančiajai organizacijai suteikiama teisė naudotis minėtais rezultatais bet kokia forma, daryti kopijas, platinti, daryti pakeitimus ar kitaip disponuoti. Tiekėjas patvirtina, kad perduotos autorių turtinės teisės į jo sukurtus paslaugų rezultatus yra įskaičiuotos į pateikto pasiūlymo kainą už suteiktas paslaugas. </w:t>
      </w:r>
    </w:p>
    <w:p>
      <w:pPr>
        <w:pStyle w:val="ListParagraph"/>
        <w:numPr>
          <w:ilvl w:val="0"/>
          <w:numId w:val="1"/>
        </w:numPr>
        <w:tabs>
          <w:tab w:val="clear" w:pos="1296"/>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left="0"/>
        <w:jc w:val="both"/>
        <w:textAlignment w:val="baseline"/>
        <w:rPr>
          <w:rFonts w:cs="Times New Roman"/>
        </w:rPr>
      </w:pPr>
      <w:r>
        <w:rPr>
          <w:rFonts w:cs="Times New Roman"/>
        </w:rPr>
        <w:t xml:space="preserve">Minimalūs aplinkos apsaugos kriterijai, kurie taikomi paslaugoms - vadovaujantis Aplinkos apsaugos kriterijų taikymo, vykdant žaliuosius pirkimus, tvarkos </w:t>
      </w:r>
      <w:r>
        <w:rPr>
          <w:rFonts w:cs="Times New Roman"/>
          <w:color w:themeColor="text1" w:val="000000"/>
        </w:rPr>
        <w:t>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tabs>
          <w:tab w:val="clear" w:pos="1296"/>
          <w:tab w:val="left" w:pos="0" w:leader="none"/>
          <w:tab w:val="left" w:pos="180" w:leader="none"/>
          <w:tab w:val="left" w:pos="426" w:leader="none"/>
          <w:tab w:val="left" w:pos="567" w:leader="none"/>
          <w:tab w:val="left" w:pos="993" w:leader="none"/>
          <w:tab w:val="left" w:pos="1134" w:leader="none"/>
          <w:tab w:val="left" w:pos="1418" w:leader="none"/>
          <w:tab w:val="left" w:pos="2410" w:leader="none"/>
          <w:tab w:val="left" w:pos="3402" w:leader="none"/>
          <w:tab w:val="left" w:pos="3969" w:leader="none"/>
          <w:tab w:val="center" w:pos="4819" w:leader="none"/>
          <w:tab w:val="right" w:pos="9638" w:leader="none"/>
        </w:tabs>
        <w:suppressAutoHyphens w:val="true"/>
        <w:spacing w:lineRule="auto" w:line="276"/>
        <w:ind w:firstLine="851"/>
        <w:jc w:val="both"/>
        <w:textAlignment w:val="baseline"/>
        <w:rPr>
          <w:rFonts w:cs="Times New Roman"/>
          <w:szCs w:val="24"/>
        </w:rPr>
      </w:pPr>
      <w:r>
        <w:rPr>
          <w:rFonts w:cs="Times New Roman"/>
          <w:szCs w:val="24"/>
        </w:rPr>
      </w:r>
    </w:p>
    <w:p>
      <w:pPr>
        <w:pStyle w:val="Normal"/>
        <w:spacing w:lineRule="auto" w:line="276"/>
        <w:jc w:val="center"/>
        <w:rPr>
          <w:rFonts w:cs="Times New Roman"/>
          <w:b/>
          <w:bCs/>
          <w:szCs w:val="24"/>
        </w:rPr>
      </w:pPr>
      <w:r>
        <w:rPr>
          <w:rFonts w:cs="Times New Roman"/>
          <w:b/>
          <w:bCs/>
          <w:szCs w:val="24"/>
        </w:rPr>
        <w:t>VII SKYRIUS</w:t>
      </w:r>
    </w:p>
    <w:p>
      <w:pPr>
        <w:pStyle w:val="Normal"/>
        <w:spacing w:lineRule="auto" w:line="276"/>
        <w:jc w:val="center"/>
        <w:rPr>
          <w:rFonts w:cs="Times New Roman"/>
          <w:b/>
          <w:bCs/>
          <w:szCs w:val="24"/>
        </w:rPr>
      </w:pPr>
      <w:r>
        <w:rPr>
          <w:rFonts w:cs="Times New Roman"/>
          <w:b/>
          <w:bCs/>
          <w:szCs w:val="24"/>
        </w:rPr>
        <w:t>ASMENS DUOMENŲ TVARKYMAS</w:t>
      </w:r>
    </w:p>
    <w:p>
      <w:pPr>
        <w:pStyle w:val="Normal"/>
        <w:spacing w:lineRule="auto" w:line="276"/>
        <w:ind w:firstLine="851"/>
        <w:jc w:val="center"/>
        <w:rPr>
          <w:rFonts w:cs="Times New Roman"/>
          <w:b/>
          <w:bCs/>
          <w:sz w:val="20"/>
          <w:szCs w:val="20"/>
        </w:rPr>
      </w:pPr>
      <w:r>
        <w:rPr>
          <w:rFonts w:cs="Times New Roman"/>
          <w:b/>
          <w:bCs/>
          <w:sz w:val="20"/>
          <w:szCs w:val="20"/>
        </w:rPr>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rPr>
      </w:pPr>
      <w:r>
        <w:rPr>
          <w:rFonts w:cs="Times New Roman"/>
        </w:rPr>
        <w:t>Perkančioji organizacija, kaip duomenų valdytojas, tvarkys pasiūlyme nurodytus bei pirkimo procedūrų metu iš Tiekėjo gautus duomenų subjektų – fizinių asmenų –Tiekėjo arba jo įgaliotų asmenų, darbuotojų, subtiekėjų, partnerių, kitų asmenų duomenis (vardas, pavardė, pareigos, telefono ryšio numeris, elektroninio pašto adresas, atitiktį kvalifikaciniams reikalavimams patvirtinantys duomenys, kiti Perkančiajai organizacijai Tiekėjo pateikti būtini duomenys)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bei 10 metų pirkimo procedūroms pasibaigus.</w:t>
      </w:r>
    </w:p>
    <w:p>
      <w:pPr>
        <w:pStyle w:val="ListParagraph"/>
        <w:numPr>
          <w:ilvl w:val="0"/>
          <w:numId w:val="1"/>
        </w:numPr>
        <w:tabs>
          <w:tab w:val="clear" w:pos="1296"/>
          <w:tab w:val="left" w:pos="284" w:leader="none"/>
          <w:tab w:val="left" w:pos="426" w:leader="none"/>
          <w:tab w:val="left" w:pos="993" w:leader="none"/>
        </w:tabs>
        <w:spacing w:lineRule="auto" w:line="276"/>
        <w:ind w:firstLine="851" w:left="0"/>
        <w:jc w:val="both"/>
        <w:rPr>
          <w:rFonts w:cs="Times New Roman"/>
        </w:rPr>
      </w:pPr>
      <w:r>
        <w:rPr>
          <w:rFonts w:cs="Times New Roman"/>
        </w:rPr>
        <w:t>Perkančioji organizacija tvarkys Tiekėjo, kurio pasiūlymas bus pripažintas laimėjusiu ir su kuriuo bus sudaryta Sutartis, pateiktus fizinių asmenų – Tiekėjo arba jo įgaliotų asmenų, darbuotojų,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Kilus ginčams dėl viešųjų pirkimų organizavimo ar Sutarties vykdymo, Perkančioji organizacija gali tvarkyti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Tuo atveju, kai nurodytų asmenų duomenys bus pateikiami finansiniuose dokumentuose, Perkančioji organizacija juos tvarkys finansinės apskaitos tikslu  vadovaudamasi Reglamento (ES) 2016/679 6 straipsnio 1 dalies c punktu, įgyvendindama pareigas, įtvirtintas Lietuvos Respublikos finansinės apskaitos įstatyme, kituose teisės aktuose.</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Asmens duomenų pateikimas yra privalomas. Nepateikus asmens duomenų Tiekėjo pasiūlymas negalės būti vertinamas bei nebus galima sudaryti ir vykdyti Sutarties.</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851" w:left="0"/>
        <w:jc w:val="both"/>
        <w:rPr>
          <w:rFonts w:cs="Times New Roman"/>
        </w:rPr>
      </w:pPr>
      <w:r>
        <w:rPr>
          <w:rFonts w:cs="Times New Roman"/>
        </w:rPr>
        <w:t xml:space="preserve">Asmens duomenis Perkančioji organizacija gali teikti Viešųjų pirkimų tarnybai, teismams, kitoms ginčus nagrinėjančioms institucijoms, bankams ar kitoms mokėjimo įstaigoms (atliekant mokėjimus už paslaugas), paslaugų teikėjams, teikiantiems Perkančiajai organizacijai informacinių technologijų infrastruktūros, programinės įrangos ir jų priežiūros bei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Duomenų subjektai – fiziniai asmenys – Tiekėjas arba jo įgalioti asmenys, darbuotojai, subtiekėjai, partneriai, kiti asmenys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Perkančiosios organizacijos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cs="Times New Roman"/>
            <w:u w:val="none"/>
          </w:rPr>
          <w:t>https://vdai.lrv.lt/</w:t>
        </w:r>
      </w:hyperlink>
      <w:r>
        <w:rPr>
          <w:rFonts w:cs="Times New Roman"/>
        </w:rPr>
        <w:t xml:space="preserve">.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Duomenų subjektai prašymus dėl aukščiau nurodytų savo teisių įgyvendinimo, taip pat kitus skundus/prašymus dėl asmens duomenų tvarkymo gali pateikti Perkančiajai organizacijai paštu adresu Studentų g. 45A, Vilnius, el. paštu </w:t>
      </w:r>
      <w:hyperlink r:id="rId3">
        <w:r>
          <w:rPr>
            <w:rStyle w:val="Hyperlink"/>
            <w:rFonts w:cs="Times New Roman"/>
            <w:u w:val="none"/>
          </w:rPr>
          <w:t>institutas@hi.lt</w:t>
        </w:r>
      </w:hyperlink>
      <w:r>
        <w:rPr>
          <w:rFonts w:cs="Times New Roman"/>
        </w:rPr>
        <w:t xml:space="preserve"> arba jos duomenų apsaugos pareigūnui el. paštu info@adaekspertai.lt. </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Daugiau informacijos apie Perkančiosios organizacijos atliekamą asmens duomenų tvarkymą galima rasti jos interneto svetainėje adresu https://www.hi.lt/asmens-duomenu-apsauga/.</w:t>
      </w:r>
    </w:p>
    <w:p>
      <w:pPr>
        <w:pStyle w:val="ListParagraph"/>
        <w:numPr>
          <w:ilvl w:val="0"/>
          <w:numId w:val="1"/>
        </w:numPr>
        <w:tabs>
          <w:tab w:val="clear" w:pos="1296"/>
          <w:tab w:val="left" w:pos="284" w:leader="none"/>
          <w:tab w:val="left" w:pos="426" w:leader="none"/>
          <w:tab w:val="left" w:pos="993" w:leader="none"/>
          <w:tab w:val="left" w:pos="1134" w:leader="none"/>
        </w:tabs>
        <w:spacing w:lineRule="auto" w:line="276"/>
        <w:ind w:firstLine="709" w:left="0"/>
        <w:jc w:val="both"/>
        <w:rPr>
          <w:rFonts w:cs="Times New Roman"/>
        </w:rPr>
      </w:pPr>
      <w:r>
        <w:rPr>
          <w:rFonts w:cs="Times New Roman"/>
        </w:rPr>
        <w:t xml:space="preserve">Tiekėjas, prieš teikdamas pasiūlymą ir prieš sudarydamas Sutartį, nurodytus fizinius asmenis privalo supažindinti su 32-41 punktuose pateikta informacija apie Perkančiosios organizacijos vykdomą asmens duomenų tvarkymą. </w:t>
      </w:r>
    </w:p>
    <w:p>
      <w:pPr>
        <w:pStyle w:val="Normal"/>
        <w:spacing w:lineRule="auto" w:line="276"/>
        <w:jc w:val="center"/>
        <w:rPr>
          <w:szCs w:val="24"/>
        </w:rPr>
      </w:pPr>
      <w:r>
        <w:rPr>
          <w:szCs w:val="24"/>
        </w:rPr>
        <w:t>___________________</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color w:val="auto"/>
      </w:rPr>
    </w:lvl>
    <w:lvl w:ilvl="1">
      <w:start w:val="1"/>
      <w:numFmt w:val="decimal"/>
      <w:lvlText w:val="%1.%2."/>
      <w:lvlJc w:val="left"/>
      <w:pPr>
        <w:tabs>
          <w:tab w:val="num" w:pos="0"/>
        </w:tabs>
        <w:ind w:left="1931" w:hanging="360"/>
      </w:pPr>
      <w:rPr/>
    </w:lvl>
    <w:lvl w:ilvl="2">
      <w:start w:val="1"/>
      <w:numFmt w:val="decimal"/>
      <w:lvlText w:val="%1.%2.%3."/>
      <w:lvlJc w:val="left"/>
      <w:pPr>
        <w:tabs>
          <w:tab w:val="num" w:pos="0"/>
        </w:tabs>
        <w:ind w:left="2651" w:hanging="180"/>
      </w:pPr>
      <w:rPr/>
    </w:lvl>
    <w:lvl w:ilvl="3">
      <w:start w:val="1"/>
      <w:numFmt w:val="decimal"/>
      <w:lvlText w:val="%1.%2.%3.%4."/>
      <w:lvlJc w:val="left"/>
      <w:pPr>
        <w:tabs>
          <w:tab w:val="num" w:pos="0"/>
        </w:tabs>
        <w:ind w:left="3371" w:hanging="360"/>
      </w:pPr>
      <w:rPr/>
    </w:lvl>
    <w:lvl w:ilvl="4">
      <w:start w:val="1"/>
      <w:numFmt w:val="decimal"/>
      <w:lvlText w:val="%1.%2.%3.%4.%5."/>
      <w:lvlJc w:val="left"/>
      <w:pPr>
        <w:tabs>
          <w:tab w:val="num" w:pos="0"/>
        </w:tabs>
        <w:ind w:left="4091" w:hanging="360"/>
      </w:pPr>
      <w:rPr/>
    </w:lvl>
    <w:lvl w:ilvl="5">
      <w:start w:val="1"/>
      <w:numFmt w:val="decimal"/>
      <w:lvlText w:val="%1.%2.%3.%4.%5.%6."/>
      <w:lvlJc w:val="left"/>
      <w:pPr>
        <w:tabs>
          <w:tab w:val="num" w:pos="0"/>
        </w:tabs>
        <w:ind w:left="4811" w:hanging="180"/>
      </w:pPr>
      <w:rPr/>
    </w:lvl>
    <w:lvl w:ilvl="6">
      <w:start w:val="1"/>
      <w:numFmt w:val="decimal"/>
      <w:lvlText w:val="%1.%2.%3.%4.%5.%6.%7."/>
      <w:lvlJc w:val="left"/>
      <w:pPr>
        <w:tabs>
          <w:tab w:val="num" w:pos="0"/>
        </w:tabs>
        <w:ind w:left="5531" w:hanging="360"/>
      </w:pPr>
      <w:rPr/>
    </w:lvl>
    <w:lvl w:ilvl="7">
      <w:start w:val="1"/>
      <w:numFmt w:val="decimal"/>
      <w:lvlText w:val="%1.%2.%3.%4.%5.%6.%7.%8."/>
      <w:lvlJc w:val="left"/>
      <w:pPr>
        <w:tabs>
          <w:tab w:val="num" w:pos="0"/>
        </w:tabs>
        <w:ind w:left="6251" w:hanging="360"/>
      </w:pPr>
      <w:rPr/>
    </w:lvl>
    <w:lvl w:ilvl="8">
      <w:start w:val="1"/>
      <w:numFmt w:val="decimal"/>
      <w:lvlText w:val="%1.%2.%3.%4.%5.%6.%7.%8.%9."/>
      <w:lvlJc w:val="left"/>
      <w:pPr>
        <w:tabs>
          <w:tab w:val="num" w:pos="0"/>
        </w:tabs>
        <w:ind w:left="6971" w:hanging="18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59de"/>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Heading1">
    <w:name w:val="Heading 1"/>
    <w:basedOn w:val="Normal"/>
    <w:next w:val="Normal"/>
    <w:link w:val="Heading1Char"/>
    <w:uiPriority w:val="9"/>
    <w:qFormat/>
    <w:rsid w:val="00a61ba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61ba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a61bac"/>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Heading4Char"/>
    <w:uiPriority w:val="9"/>
    <w:semiHidden/>
    <w:unhideWhenUsed/>
    <w:qFormat/>
    <w:rsid w:val="00a61bac"/>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Heading5Char"/>
    <w:uiPriority w:val="9"/>
    <w:semiHidden/>
    <w:unhideWhenUsed/>
    <w:qFormat/>
    <w:rsid w:val="00a61bac"/>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Heading6Char"/>
    <w:uiPriority w:val="9"/>
    <w:semiHidden/>
    <w:unhideWhenUsed/>
    <w:qFormat/>
    <w:rsid w:val="00a61bac"/>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a61bac"/>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a61bac"/>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a61bac"/>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61bac"/>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61bac"/>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a61bac"/>
    <w:rPr>
      <w:rFonts w:ascii="Calibri" w:hAnsi="Calibri" w:eastAsia="" w:cs="" w:asciiTheme="minorHAnsi" w:cstheme="majorBidi" w:eastAsiaTheme="majorEastAsia" w:hAnsiTheme="minorHAnsi"/>
      <w:color w:themeColor="accent1" w:themeShade="bf" w:val="2F5496"/>
      <w:sz w:val="28"/>
      <w:szCs w:val="28"/>
    </w:rPr>
  </w:style>
  <w:style w:type="character" w:styleId="Heading4Char" w:customStyle="1">
    <w:name w:val="Heading 4 Char"/>
    <w:basedOn w:val="DefaultParagraphFont"/>
    <w:link w:val="Heading4"/>
    <w:uiPriority w:val="9"/>
    <w:semiHidden/>
    <w:qFormat/>
    <w:rsid w:val="00a61bac"/>
    <w:rPr>
      <w:rFonts w:ascii="Calibri" w:hAnsi="Calibri" w:eastAsia="" w:cs="" w:asciiTheme="minorHAnsi" w:cstheme="majorBidi" w:eastAsiaTheme="majorEastAsia" w:hAnsiTheme="minorHAnsi"/>
      <w:i/>
      <w:iCs/>
      <w:color w:themeColor="accent1" w:themeShade="bf" w:val="2F5496"/>
    </w:rPr>
  </w:style>
  <w:style w:type="character" w:styleId="Heading5Char" w:customStyle="1">
    <w:name w:val="Heading 5 Char"/>
    <w:basedOn w:val="DefaultParagraphFont"/>
    <w:link w:val="Heading5"/>
    <w:uiPriority w:val="9"/>
    <w:semiHidden/>
    <w:qFormat/>
    <w:rsid w:val="00a61bac"/>
    <w:rPr>
      <w:rFonts w:ascii="Calibri" w:hAnsi="Calibri" w:eastAsia="" w:cs="" w:asciiTheme="minorHAnsi" w:cstheme="majorBidi" w:eastAsiaTheme="majorEastAsia" w:hAnsiTheme="minorHAnsi"/>
      <w:color w:themeColor="accent1" w:themeShade="bf" w:val="2F5496"/>
    </w:rPr>
  </w:style>
  <w:style w:type="character" w:styleId="Heading6Char" w:customStyle="1">
    <w:name w:val="Heading 6 Char"/>
    <w:basedOn w:val="DefaultParagraphFont"/>
    <w:link w:val="Heading6"/>
    <w:uiPriority w:val="9"/>
    <w:semiHidden/>
    <w:qFormat/>
    <w:rsid w:val="00a61bac"/>
    <w:rPr>
      <w:rFonts w:ascii="Calibri" w:hAnsi="Calibri"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a61bac"/>
    <w:rPr>
      <w:rFonts w:ascii="Calibri" w:hAnsi="Calibri"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a61bac"/>
    <w:rPr>
      <w:rFonts w:ascii="Calibri" w:hAnsi="Calibri"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a61bac"/>
    <w:rPr>
      <w:rFonts w:ascii="Calibri" w:hAnsi="Calibri"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a61bac"/>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61bac"/>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a61bac"/>
    <w:rPr>
      <w:i/>
      <w:iCs/>
      <w:color w:themeColor="text1" w:themeTint="bf" w:val="404040"/>
    </w:rPr>
  </w:style>
  <w:style w:type="character" w:styleId="IntenseEmphasis">
    <w:name w:val="Intense Emphasis"/>
    <w:basedOn w:val="DefaultParagraphFont"/>
    <w:uiPriority w:val="21"/>
    <w:qFormat/>
    <w:rsid w:val="00a61bac"/>
    <w:rPr>
      <w:i/>
      <w:iCs/>
      <w:color w:themeColor="accent1" w:themeShade="bf" w:val="2F5496"/>
    </w:rPr>
  </w:style>
  <w:style w:type="character" w:styleId="IntenseQuoteChar" w:customStyle="1">
    <w:name w:val="Intense Quote Char"/>
    <w:basedOn w:val="DefaultParagraphFont"/>
    <w:link w:val="IntenseQuote"/>
    <w:uiPriority w:val="30"/>
    <w:qFormat/>
    <w:rsid w:val="00a61bac"/>
    <w:rPr>
      <w:i/>
      <w:iCs/>
      <w:color w:themeColor="accent1" w:themeShade="bf" w:val="2F5496"/>
    </w:rPr>
  </w:style>
  <w:style w:type="character" w:styleId="IntenseReference">
    <w:name w:val="Intense Reference"/>
    <w:basedOn w:val="DefaultParagraphFont"/>
    <w:uiPriority w:val="32"/>
    <w:qFormat/>
    <w:rsid w:val="00a61bac"/>
    <w:rPr>
      <w:b/>
      <w:bCs/>
      <w:smallCaps/>
      <w:color w:themeColor="accent1" w:themeShade="bf" w:val="2F5496"/>
      <w:spacing w:val="5"/>
    </w:rPr>
  </w:style>
  <w:style w:type="character" w:styleId="Hyperlink">
    <w:name w:val="Hyperlink"/>
    <w:rsid w:val="00ea2e5f"/>
    <w:rPr>
      <w:u w:val="single"/>
    </w:rPr>
  </w:style>
  <w:style w:type="character" w:styleId="ListParagraphChar" w:customStyle="1">
    <w:name w:val="List Paragraph Char"/>
    <w:link w:val="ListParagraph"/>
    <w:uiPriority w:val="34"/>
    <w:qFormat/>
    <w:locked/>
    <w:rsid w:val="00ea2e5f"/>
    <w:rPr/>
  </w:style>
  <w:style w:type="character" w:styleId="Eop" w:customStyle="1">
    <w:name w:val="eop"/>
    <w:basedOn w:val="DefaultParagraphFont"/>
    <w:qFormat/>
    <w:rsid w:val="00ea2e5f"/>
    <w:rPr/>
  </w:style>
  <w:style w:type="character" w:styleId="CommentTextChar" w:customStyle="1">
    <w:name w:val="Comment Text Char"/>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a205bb"/>
    <w:rPr>
      <w:b/>
      <w:bCs/>
      <w:sz w:val="20"/>
      <w:szCs w:val="20"/>
    </w:rPr>
  </w:style>
  <w:style w:type="character" w:styleId="Normaltextrun" w:customStyle="1">
    <w:name w:val="normaltextrun"/>
    <w:basedOn w:val="DefaultParagraphFont"/>
    <w:qFormat/>
    <w:rsid w:val="002d23c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a61bac"/>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61bac"/>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a61bac"/>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a61bac"/>
    <w:pPr>
      <w:spacing w:before="0" w:after="0"/>
      <w:ind w:left="720"/>
      <w:contextualSpacing/>
    </w:pPr>
    <w:rPr/>
  </w:style>
  <w:style w:type="paragraph" w:styleId="IntenseQuote">
    <w:name w:val="Intense Quote"/>
    <w:basedOn w:val="Normal"/>
    <w:next w:val="Normal"/>
    <w:link w:val="IntenseQuoteChar"/>
    <w:uiPriority w:val="30"/>
    <w:qFormat/>
    <w:rsid w:val="00a61ba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Standard" w:customStyle="1">
    <w:name w:val="Standard"/>
    <w:qFormat/>
    <w:rsid w:val="00ea2e5f"/>
    <w:pPr>
      <w:widowControl/>
      <w:suppressAutoHyphens w:val="true"/>
      <w:bidi w:val="0"/>
      <w:spacing w:before="0" w:after="0"/>
      <w:jc w:val="left"/>
    </w:pPr>
    <w:rPr>
      <w:rFonts w:eastAsia="Times New Roman" w:cs="Times New Roman" w:ascii="Times New Roman" w:hAnsi="Times New Roman"/>
      <w:color w:val="auto"/>
      <w:kern w:val="2"/>
      <w:sz w:val="24"/>
      <w:szCs w:val="24"/>
      <w:lang w:eastAsia="lt-LT" w:val="lt-LT" w:bidi="ar-SA"/>
      <w14:ligatures w14:val="none"/>
    </w:rPr>
  </w:style>
  <w:style w:type="paragraph" w:styleId="Prastasis1" w:customStyle="1">
    <w:name w:val="Įprastasis1"/>
    <w:qFormat/>
    <w:rsid w:val="00ea2e5f"/>
    <w:pPr>
      <w:widowControl w:val="false"/>
      <w:suppressAutoHyphens w:val="true"/>
      <w:bidi w:val="0"/>
      <w:spacing w:lineRule="auto" w:line="276" w:before="0" w:after="200"/>
      <w:jc w:val="left"/>
    </w:pPr>
    <w:rPr>
      <w:rFonts w:eastAsia="Calibri" w:cs="Calibri" w:ascii="Times New Roman" w:hAnsi="Times New Roman"/>
      <w:color w:val="00000A"/>
      <w:kern w:val="2"/>
      <w:sz w:val="24"/>
      <w:szCs w:val="24"/>
      <w:lang w:val="en-US" w:eastAsia="en-US" w:bidi="ar-SA"/>
      <w14:ligatures w14:val="none"/>
    </w:rPr>
  </w:style>
  <w:style w:type="paragraph" w:styleId="NoSpacing">
    <w:name w:val="No Spacing"/>
    <w:uiPriority w:val="1"/>
    <w:qFormat/>
    <w:rsid w:val="00ef5dec"/>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Annotationtext">
    <w:name w:val="annotation text"/>
    <w:basedOn w:val="Normal"/>
    <w:link w:val="CommentTextChar"/>
    <w:uiPriority w:val="99"/>
    <w:unhideWhenUsed/>
    <w:qFormat/>
    <w:pPr/>
    <w:rPr>
      <w:sz w:val="20"/>
      <w:szCs w:val="20"/>
    </w:rPr>
  </w:style>
  <w:style w:type="paragraph" w:styleId="Revision">
    <w:name w:val="Revision"/>
    <w:uiPriority w:val="99"/>
    <w:semiHidden/>
    <w:qFormat/>
    <w:rsid w:val="005724a6"/>
    <w:pPr>
      <w:widowControl/>
      <w:bidi w:val="0"/>
      <w:spacing w:before="0" w:after="0"/>
      <w:jc w:val="left"/>
    </w:pPr>
    <w:rPr>
      <w:rFonts w:ascii="Times New Roman" w:hAnsi="Times New Roman" w:eastAsia="Calibri" w:cs="" w:cstheme="minorBidi" w:eastAsiaTheme="minorHAnsi"/>
      <w:color w:val="auto"/>
      <w:kern w:val="2"/>
      <w:sz w:val="24"/>
      <w:szCs w:val="22"/>
      <w:lang w:val="lt-LT" w:eastAsia="en-US" w:bidi="ar-SA"/>
      <w14:ligatures w14:val="standardContextual"/>
    </w:rPr>
  </w:style>
  <w:style w:type="paragraph" w:styleId="Annotationsubject">
    <w:name w:val="annotation subject"/>
    <w:basedOn w:val="Annotationtext"/>
    <w:next w:val="Annotationtext"/>
    <w:link w:val="CommentSubjectChar"/>
    <w:uiPriority w:val="99"/>
    <w:semiHidden/>
    <w:unhideWhenUsed/>
    <w:qFormat/>
    <w:rsid w:val="00a205bb"/>
    <w:pPr/>
    <w:rPr>
      <w:b/>
      <w:bCs/>
    </w:rPr>
  </w:style>
  <w:style w:type="paragraph" w:styleId="S1lygis" w:customStyle="1">
    <w:name w:val="_S 1 lygis"/>
    <w:basedOn w:val="Normal"/>
    <w:qFormat/>
    <w:rsid w:val="00d55398"/>
    <w:pPr>
      <w:numPr>
        <w:ilvl w:val="0"/>
        <w:numId w:val="2"/>
      </w:numPr>
      <w:spacing w:before="240" w:after="240"/>
    </w:pPr>
    <w:rPr>
      <w:rFonts w:eastAsia="Times New Roman" w:cs="Times New Roman"/>
      <w:b/>
      <w:kern w:val="0"/>
      <w:szCs w:val="24"/>
      <w:lang w:eastAsia="lt-LT"/>
      <w14:ligatures w14:val="none"/>
    </w:rPr>
  </w:style>
  <w:style w:type="paragraph" w:styleId="S2lygis" w:customStyle="1">
    <w:name w:val="_S 2 lygis"/>
    <w:basedOn w:val="Normal"/>
    <w:qFormat/>
    <w:rsid w:val="00d55398"/>
    <w:pPr>
      <w:numPr>
        <w:ilvl w:val="1"/>
        <w:numId w:val="2"/>
      </w:numPr>
      <w:spacing w:before="120" w:after="120"/>
      <w:jc w:val="both"/>
    </w:pPr>
    <w:rPr>
      <w:rFonts w:eastAsia="Times New Roman" w:cs="Times New Roman"/>
      <w:kern w:val="0"/>
      <w:szCs w:val="24"/>
      <w:lang w:eastAsia="lt-LT"/>
      <w14:ligatures w14:val="none"/>
    </w:rPr>
  </w:style>
  <w:style w:type="paragraph" w:styleId="S3lygis" w:customStyle="1">
    <w:name w:val="_S 3 lygis"/>
    <w:basedOn w:val="S2lygis"/>
    <w:qFormat/>
    <w:rsid w:val="00d55398"/>
    <w:pPr/>
    <w:rPr/>
  </w:style>
  <w:style w:type="paragraph" w:styleId="Paragraph" w:customStyle="1">
    <w:name w:val="paragraph"/>
    <w:basedOn w:val="Normal"/>
    <w:qFormat/>
    <w:rsid w:val="002d23c8"/>
    <w:pPr>
      <w:spacing w:beforeAutospacing="1" w:afterAutospacing="1"/>
    </w:pPr>
    <w:rPr>
      <w:rFonts w:eastAsia="Times New Roman" w:cs="Times New Roman"/>
      <w:kern w:val="0"/>
      <w:szCs w:val="24"/>
      <w:lang w:eastAsia="lt-LT"/>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f5de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FDA2C65D6224D9439375ECE311475" ma:contentTypeVersion="14" ma:contentTypeDescription="Create a new document." ma:contentTypeScope="" ma:versionID="4ebc0bf0f3bf90f6f89a8847b6b49266">
  <xsd:schema xmlns:xsd="http://www.w3.org/2001/XMLSchema" xmlns:xs="http://www.w3.org/2001/XMLSchema" xmlns:p="http://schemas.microsoft.com/office/2006/metadata/properties" xmlns:ns2="e23d28df-e5a5-4504-bbfa-78b0ca6e2848" xmlns:ns3="9ac06ba8-6033-48ed-bbfb-9112f795015f" targetNamespace="http://schemas.microsoft.com/office/2006/metadata/properties" ma:root="true" ma:fieldsID="305131a50188d1f945b0cb8f0f35587f" ns2:_="" ns3:_="">
    <xsd:import namespace="e23d28df-e5a5-4504-bbfa-78b0ca6e2848"/>
    <xsd:import namespace="9ac06ba8-6033-48ed-bbfb-9112f7950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28df-e5a5-4504-bbfa-78b0ca6e2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06ba8-6033-48ed-bbfb-9112f79501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71b37-2883-4fd2-b14a-e42ed70351a0}" ma:internalName="TaxCatchAll" ma:showField="CatchAllData" ma:web="9ac06ba8-6033-48ed-bbfb-9112f7950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28df-e5a5-4504-bbfa-78b0ca6e2848">
      <Terms xmlns="http://schemas.microsoft.com/office/infopath/2007/PartnerControls"/>
    </lcf76f155ced4ddcb4097134ff3c332f>
    <TaxCatchAll xmlns="9ac06ba8-6033-48ed-bbfb-9112f79501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2D80-732F-4CA9-8D1B-EB7D5DBB7A7F}">
  <ds:schemaRefs>
    <ds:schemaRef ds:uri="http://schemas.microsoft.com/sharepoint/v3/contenttype/forms"/>
  </ds:schemaRefs>
</ds:datastoreItem>
</file>

<file path=customXml/itemProps2.xml><?xml version="1.0" encoding="utf-8"?>
<ds:datastoreItem xmlns:ds="http://schemas.openxmlformats.org/officeDocument/2006/customXml" ds:itemID="{8047A7C5-C5D0-4F59-B9C6-F3294A59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28df-e5a5-4504-bbfa-78b0ca6e2848"/>
    <ds:schemaRef ds:uri="9ac06ba8-6033-48ed-bbfb-9112f7950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F53D9-AACD-4B2A-AB3E-F75EEDD52B35}">
  <ds:schemaRefs>
    <ds:schemaRef ds:uri="http://schemas.microsoft.com/office/2006/metadata/properties"/>
    <ds:schemaRef ds:uri="http://schemas.microsoft.com/office/infopath/2007/PartnerControls"/>
    <ds:schemaRef ds:uri="e23d28df-e5a5-4504-bbfa-78b0ca6e2848"/>
    <ds:schemaRef ds:uri="9ac06ba8-6033-48ed-bbfb-9112f795015f"/>
  </ds:schemaRefs>
</ds:datastoreItem>
</file>

<file path=customXml/itemProps4.xml><?xml version="1.0" encoding="utf-8"?>
<ds:datastoreItem xmlns:ds="http://schemas.openxmlformats.org/officeDocument/2006/customXml" ds:itemID="{6C89EDB2-C81C-44E0-BE41-6CEF5ECE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Application>LibreOffice/7.6.4.1$Windows_X86_64 LibreOffice_project/e19e193f88cd6c0525a17fb7a176ed8e6a3e2aa1</Application>
  <AppVersion>15.0000</AppVersion>
  <Pages>7</Pages>
  <Words>2822</Words>
  <Characters>20683</Characters>
  <CharactersWithSpaces>23353</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2025-08-01T07:03:00Z</dcterms:created>
  <dc:creator>Jūratė Šilgalytė</dc:creator>
  <dc:description/>
  <dc:language>en-US</dc:language>
  <cp:lastModifiedBy>Augustė Šalnaitė</cp:lastModifiedBy>
  <dcterms:modified xsi:type="dcterms:W3CDTF">2025-08-07T10:35:00Z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0x01010046EFDA2C65D6224D9439375ECE311475</vt:lpwstr>
  </property>
  <property fmtid="{D5CDD505-2E9C-101B-9397-08002B2CF9AE}" pid="3" name="MediaServiceImageTags">
    <vt:lpwstr/>
  </property>
</Properties>
</file>