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93A" w14:textId="77777777" w:rsidR="00C653B4" w:rsidRPr="00965614" w:rsidRDefault="1F9B407E" w:rsidP="1F9B407E">
      <w:pPr>
        <w:tabs>
          <w:tab w:val="left" w:pos="8137"/>
        </w:tabs>
        <w:spacing w:before="60" w:after="60"/>
        <w:ind w:firstLine="0"/>
        <w:jc w:val="center"/>
        <w:rPr>
          <w:rFonts w:eastAsia="Arial" w:cs="Arial"/>
          <w:b/>
          <w:bCs/>
          <w:sz w:val="20"/>
          <w:szCs w:val="20"/>
        </w:rPr>
      </w:pPr>
      <w:r w:rsidRPr="1F9B407E">
        <w:rPr>
          <w:rFonts w:eastAsia="Arial" w:cs="Arial"/>
          <w:b/>
          <w:bCs/>
          <w:sz w:val="20"/>
          <w:szCs w:val="20"/>
        </w:rPr>
        <w:t>TECHNINĖ SPECIFIKACIJA</w:t>
      </w:r>
    </w:p>
    <w:p w14:paraId="7211C93B" w14:textId="77777777" w:rsidR="00C653B4" w:rsidRPr="00965614" w:rsidRDefault="00C653B4" w:rsidP="00C653B4">
      <w:pPr>
        <w:pStyle w:val="ListParagraph"/>
        <w:tabs>
          <w:tab w:val="left" w:pos="284"/>
        </w:tabs>
        <w:spacing w:before="60" w:after="60"/>
        <w:ind w:left="0" w:firstLine="0"/>
        <w:contextualSpacing w:val="0"/>
        <w:jc w:val="center"/>
        <w:rPr>
          <w:rFonts w:cs="Arial"/>
          <w:b/>
          <w:bCs/>
          <w:sz w:val="20"/>
          <w:szCs w:val="20"/>
        </w:rPr>
      </w:pPr>
    </w:p>
    <w:p w14:paraId="7211C93C" w14:textId="77777777" w:rsidR="00C653B4" w:rsidRPr="006F58D9" w:rsidRDefault="1F9B407E" w:rsidP="1F9B407E">
      <w:pPr>
        <w:pStyle w:val="ListParagraph"/>
        <w:numPr>
          <w:ilvl w:val="0"/>
          <w:numId w:val="2"/>
        </w:numPr>
        <w:pBdr>
          <w:top w:val="single" w:sz="8" w:space="1" w:color="auto"/>
          <w:bottom w:val="single" w:sz="8" w:space="1" w:color="auto"/>
        </w:pBdr>
        <w:tabs>
          <w:tab w:val="left" w:pos="567"/>
        </w:tabs>
        <w:spacing w:before="60" w:after="60"/>
        <w:ind w:left="0" w:firstLine="0"/>
        <w:contextualSpacing w:val="0"/>
        <w:rPr>
          <w:rFonts w:eastAsia="Arial" w:cs="Arial"/>
          <w:b/>
          <w:bCs/>
          <w:sz w:val="20"/>
          <w:szCs w:val="20"/>
        </w:rPr>
      </w:pPr>
      <w:r w:rsidRPr="1F9B407E">
        <w:rPr>
          <w:rFonts w:eastAsia="Arial" w:cs="Arial"/>
          <w:b/>
          <w:bCs/>
          <w:sz w:val="20"/>
          <w:szCs w:val="20"/>
        </w:rPr>
        <w:t>SĄVOKOS IR SUTRUMPINIMAI</w:t>
      </w:r>
    </w:p>
    <w:p w14:paraId="7211C93D" w14:textId="77777777" w:rsidR="00C653B4" w:rsidRPr="006F58D9" w:rsidRDefault="00C653B4" w:rsidP="1F9B407E">
      <w:pPr>
        <w:pStyle w:val="ListParagraph"/>
        <w:numPr>
          <w:ilvl w:val="1"/>
          <w:numId w:val="1"/>
        </w:numPr>
        <w:tabs>
          <w:tab w:val="left" w:pos="567"/>
        </w:tabs>
        <w:spacing w:before="60" w:after="60"/>
        <w:ind w:left="0" w:firstLine="0"/>
        <w:contextualSpacing w:val="0"/>
        <w:jc w:val="both"/>
        <w:rPr>
          <w:rFonts w:eastAsia="Arial" w:cs="Arial"/>
          <w:sz w:val="20"/>
          <w:szCs w:val="20"/>
        </w:rPr>
      </w:pPr>
      <w:r w:rsidRPr="1F9B407E">
        <w:rPr>
          <w:rFonts w:eastAsia="Arial" w:cs="Arial"/>
          <w:b/>
          <w:bCs/>
          <w:sz w:val="20"/>
          <w:szCs w:val="20"/>
        </w:rPr>
        <w:t xml:space="preserve">Klientas </w:t>
      </w:r>
      <w:r w:rsidRPr="1F9B407E">
        <w:rPr>
          <w:rFonts w:eastAsia="Arial" w:cs="Arial"/>
          <w:sz w:val="20"/>
          <w:szCs w:val="20"/>
        </w:rPr>
        <w:t xml:space="preserve">– </w:t>
      </w:r>
      <w:sdt>
        <w:sdtPr>
          <w:rPr>
            <w:rFonts w:cs="Arial"/>
            <w:sz w:val="20"/>
            <w:szCs w:val="20"/>
          </w:rPr>
          <w:id w:val="-1495879423"/>
          <w:placeholder>
            <w:docPart w:val="965816161E194E75AEAEFE083C0D28F2"/>
          </w:placeholder>
          <w:dataBinding w:prefixMappings="xmlns:ns0='http://amidus.lt/document-generator' " w:xpath="/ns0:GeneratedDocument[1]/ns0:Imone[1]" w:storeItemID="{0CA558BF-F941-4334-A5C6-4013C0845D24}"/>
          <w:text/>
        </w:sdtPr>
        <w:sdtEndPr/>
        <w:sdtContent>
          <w:r w:rsidRPr="006F58D9">
            <w:rPr>
              <w:rFonts w:cs="Arial"/>
              <w:sz w:val="20"/>
              <w:szCs w:val="20"/>
            </w:rPr>
            <w:t>AB “Energijos skirstymo operatorius“</w:t>
          </w:r>
        </w:sdtContent>
      </w:sdt>
      <w:r w:rsidRPr="1F9B407E">
        <w:rPr>
          <w:rFonts w:eastAsia="Arial" w:cs="Arial"/>
          <w:sz w:val="20"/>
          <w:szCs w:val="20"/>
        </w:rPr>
        <w:t>.</w:t>
      </w:r>
    </w:p>
    <w:p w14:paraId="7211C93E" w14:textId="77777777" w:rsidR="00C653B4" w:rsidRPr="006F58D9" w:rsidRDefault="1F9B407E" w:rsidP="1F9B407E">
      <w:pPr>
        <w:pStyle w:val="ListParagraph"/>
        <w:numPr>
          <w:ilvl w:val="1"/>
          <w:numId w:val="1"/>
        </w:numPr>
        <w:tabs>
          <w:tab w:val="left" w:pos="567"/>
        </w:tabs>
        <w:spacing w:before="60" w:after="60"/>
        <w:ind w:left="0" w:firstLine="0"/>
        <w:contextualSpacing w:val="0"/>
        <w:jc w:val="both"/>
        <w:rPr>
          <w:rFonts w:eastAsia="Arial" w:cs="Arial"/>
          <w:sz w:val="20"/>
          <w:szCs w:val="20"/>
        </w:rPr>
      </w:pPr>
      <w:r w:rsidRPr="1F9B407E">
        <w:rPr>
          <w:rFonts w:eastAsia="Arial" w:cs="Arial"/>
          <w:b/>
          <w:bCs/>
          <w:sz w:val="20"/>
          <w:szCs w:val="20"/>
        </w:rPr>
        <w:t xml:space="preserve">Paslaugų teikėjas </w:t>
      </w:r>
      <w:r w:rsidRPr="1F9B407E">
        <w:rPr>
          <w:rFonts w:eastAsia="Arial" w:cs="Arial"/>
          <w:sz w:val="20"/>
          <w:szCs w:val="20"/>
        </w:rPr>
        <w:t>– ūkio subjektas – fizinis asmuo, privatusis juridinis asmuo, viešasis juridinis asmuo, kitos organizacijos ir jų padaliniai ar tokių asmenų grupė, su kuriuo Pirkėjas sudaro Sutartį.</w:t>
      </w:r>
    </w:p>
    <w:p w14:paraId="7211C93F" w14:textId="72CCEE13" w:rsidR="00C653B4" w:rsidRPr="006F58D9" w:rsidRDefault="1F9B407E" w:rsidP="1F9B407E">
      <w:pPr>
        <w:pStyle w:val="ListParagraph"/>
        <w:numPr>
          <w:ilvl w:val="1"/>
          <w:numId w:val="1"/>
        </w:numPr>
        <w:tabs>
          <w:tab w:val="left" w:pos="567"/>
        </w:tabs>
        <w:spacing w:before="60" w:after="60"/>
        <w:ind w:left="0" w:firstLine="0"/>
        <w:contextualSpacing w:val="0"/>
        <w:jc w:val="both"/>
        <w:rPr>
          <w:rFonts w:eastAsia="Arial" w:cs="Arial"/>
          <w:sz w:val="20"/>
          <w:szCs w:val="20"/>
        </w:rPr>
      </w:pPr>
      <w:r w:rsidRPr="1F9B407E">
        <w:rPr>
          <w:rFonts w:eastAsia="Arial" w:cs="Arial"/>
          <w:b/>
          <w:bCs/>
          <w:sz w:val="20"/>
          <w:szCs w:val="20"/>
        </w:rPr>
        <w:t>Sutartis</w:t>
      </w:r>
      <w:r w:rsidRPr="1F9B407E">
        <w:rPr>
          <w:rFonts w:eastAsia="Arial" w:cs="Arial"/>
          <w:sz w:val="20"/>
          <w:szCs w:val="20"/>
        </w:rPr>
        <w:t xml:space="preserve"> – </w:t>
      </w:r>
      <w:r w:rsidR="003809C9">
        <w:rPr>
          <w:rFonts w:eastAsia="Arial" w:cs="Arial"/>
          <w:sz w:val="20"/>
          <w:szCs w:val="20"/>
        </w:rPr>
        <w:t>s</w:t>
      </w:r>
      <w:r w:rsidRPr="1F9B407E">
        <w:rPr>
          <w:rFonts w:eastAsia="Arial" w:cs="Arial"/>
          <w:sz w:val="20"/>
          <w:szCs w:val="20"/>
        </w:rPr>
        <w:t>utartis, sudaroma tarp Kliento ir  Paslaugų teikėjo dėl Pirkimo objekto.</w:t>
      </w:r>
    </w:p>
    <w:p w14:paraId="7211C940" w14:textId="5F459E6B" w:rsidR="00C653B4" w:rsidRPr="006F58D9" w:rsidRDefault="00C653B4" w:rsidP="1F9B407E">
      <w:pPr>
        <w:pStyle w:val="ListParagraph"/>
        <w:numPr>
          <w:ilvl w:val="1"/>
          <w:numId w:val="1"/>
        </w:numPr>
        <w:tabs>
          <w:tab w:val="left" w:pos="567"/>
        </w:tabs>
        <w:spacing w:before="60" w:after="60"/>
        <w:ind w:left="0" w:firstLine="0"/>
        <w:contextualSpacing w:val="0"/>
        <w:jc w:val="both"/>
        <w:rPr>
          <w:rFonts w:eastAsia="Arial" w:cs="Arial"/>
          <w:sz w:val="20"/>
          <w:szCs w:val="20"/>
        </w:rPr>
      </w:pPr>
      <w:r w:rsidRPr="1F9B407E">
        <w:rPr>
          <w:rFonts w:eastAsia="Arial" w:cs="Arial"/>
          <w:b/>
          <w:bCs/>
          <w:sz w:val="20"/>
          <w:szCs w:val="20"/>
        </w:rPr>
        <w:t xml:space="preserve">Paslaugos </w:t>
      </w:r>
      <w:r w:rsidRPr="1F9B407E">
        <w:rPr>
          <w:rFonts w:eastAsia="Arial" w:cs="Arial"/>
          <w:sz w:val="20"/>
          <w:szCs w:val="20"/>
        </w:rPr>
        <w:t xml:space="preserve">– </w:t>
      </w:r>
      <w:bookmarkStart w:id="0" w:name="_Hlk72419945"/>
      <w:sdt>
        <w:sdtPr>
          <w:rPr>
            <w:rFonts w:cs="Arial"/>
            <w:sz w:val="20"/>
            <w:szCs w:val="20"/>
          </w:rPr>
          <w:id w:val="1383365360"/>
          <w:placeholder>
            <w:docPart w:val="48745DE37C6F4A22BACA191FB12EE1B1"/>
          </w:placeholder>
          <w:dataBinding w:prefixMappings="xmlns:ns0='http://amidus.lt/document-generator' " w:xpath="/ns0:GeneratedDocument[1]/ns0:PirkimoObjektas[1]" w:storeItemID="{0CA558BF-F941-4334-A5C6-4013C0845D24}"/>
          <w:text/>
        </w:sdtPr>
        <w:sdtEndPr/>
        <w:sdtContent>
          <w:r w:rsidR="00E46A4A">
            <w:rPr>
              <w:rFonts w:cs="Arial"/>
              <w:sz w:val="20"/>
              <w:szCs w:val="20"/>
            </w:rPr>
            <w:t>s</w:t>
          </w:r>
          <w:r w:rsidR="008104F4" w:rsidRPr="008104F4">
            <w:rPr>
              <w:rFonts w:cs="Arial"/>
              <w:sz w:val="20"/>
              <w:szCs w:val="20"/>
            </w:rPr>
            <w:t>kaičiuojamųjų elektros apkrovų metodikos punktų audit</w:t>
          </w:r>
          <w:r w:rsidR="00AD15D2">
            <w:rPr>
              <w:rFonts w:cs="Arial"/>
              <w:sz w:val="20"/>
              <w:szCs w:val="20"/>
            </w:rPr>
            <w:t>as</w:t>
          </w:r>
          <w:r w:rsidR="00E64D5F">
            <w:rPr>
              <w:rFonts w:cs="Arial"/>
              <w:sz w:val="20"/>
              <w:szCs w:val="20"/>
            </w:rPr>
            <w:t xml:space="preserve"> ir atnaujinimas</w:t>
          </w:r>
        </w:sdtContent>
      </w:sdt>
      <w:bookmarkEnd w:id="0"/>
      <w:r w:rsidRPr="1F9B407E">
        <w:rPr>
          <w:rFonts w:eastAsia="Arial" w:cs="Arial"/>
          <w:sz w:val="20"/>
          <w:szCs w:val="20"/>
        </w:rPr>
        <w:t>.</w:t>
      </w:r>
    </w:p>
    <w:p w14:paraId="7211C941" w14:textId="77777777" w:rsidR="00C653B4" w:rsidRPr="006F58D9" w:rsidRDefault="00C653B4" w:rsidP="00C653B4">
      <w:pPr>
        <w:pStyle w:val="ListParagraph"/>
        <w:tabs>
          <w:tab w:val="left" w:pos="284"/>
        </w:tabs>
        <w:spacing w:before="60" w:after="60"/>
        <w:ind w:left="0" w:firstLine="0"/>
        <w:contextualSpacing w:val="0"/>
        <w:jc w:val="center"/>
        <w:rPr>
          <w:rFonts w:cs="Arial"/>
          <w:b/>
          <w:bCs/>
          <w:sz w:val="20"/>
          <w:szCs w:val="20"/>
        </w:rPr>
      </w:pPr>
    </w:p>
    <w:p w14:paraId="7211C942" w14:textId="77777777" w:rsidR="00C653B4" w:rsidRPr="006F58D9" w:rsidRDefault="1F9B407E" w:rsidP="1F9B407E">
      <w:pPr>
        <w:pStyle w:val="ListParagraph"/>
        <w:numPr>
          <w:ilvl w:val="0"/>
          <w:numId w:val="2"/>
        </w:numPr>
        <w:pBdr>
          <w:top w:val="single" w:sz="8" w:space="1" w:color="auto"/>
          <w:bottom w:val="single" w:sz="8" w:space="1" w:color="auto"/>
        </w:pBdr>
        <w:tabs>
          <w:tab w:val="left" w:pos="567"/>
        </w:tabs>
        <w:spacing w:before="60" w:after="60"/>
        <w:ind w:left="0" w:firstLine="0"/>
        <w:contextualSpacing w:val="0"/>
        <w:rPr>
          <w:rFonts w:eastAsia="Arial" w:cs="Arial"/>
          <w:b/>
          <w:bCs/>
          <w:sz w:val="20"/>
          <w:szCs w:val="20"/>
        </w:rPr>
      </w:pPr>
      <w:r w:rsidRPr="1F9B407E">
        <w:rPr>
          <w:rFonts w:eastAsia="Arial" w:cs="Arial"/>
          <w:b/>
          <w:bCs/>
          <w:sz w:val="20"/>
          <w:szCs w:val="20"/>
        </w:rPr>
        <w:t>PIRKIMO OBJEKTAS</w:t>
      </w:r>
    </w:p>
    <w:p w14:paraId="7211C943" w14:textId="75579270" w:rsidR="00C653B4" w:rsidRPr="006F58D9" w:rsidRDefault="1F9B407E" w:rsidP="1F9B407E">
      <w:pPr>
        <w:pStyle w:val="ListParagraph"/>
        <w:numPr>
          <w:ilvl w:val="1"/>
          <w:numId w:val="2"/>
        </w:numPr>
        <w:tabs>
          <w:tab w:val="left" w:pos="567"/>
        </w:tabs>
        <w:spacing w:before="60" w:after="60"/>
        <w:ind w:left="0" w:firstLine="0"/>
        <w:jc w:val="both"/>
        <w:rPr>
          <w:rFonts w:eastAsia="Arial" w:cs="Arial"/>
          <w:sz w:val="20"/>
          <w:szCs w:val="20"/>
        </w:rPr>
      </w:pPr>
      <w:r w:rsidRPr="1F9B407E">
        <w:rPr>
          <w:rFonts w:eastAsia="Arial" w:cs="Arial"/>
          <w:sz w:val="20"/>
          <w:szCs w:val="20"/>
        </w:rPr>
        <w:t>Skaičiuojamųjų elektros apkrovų metodikos punktų auditas ir atnaujinimas.</w:t>
      </w:r>
    </w:p>
    <w:p w14:paraId="7211C944" w14:textId="77777777" w:rsidR="00C653B4" w:rsidRPr="006F58D9" w:rsidRDefault="00C653B4" w:rsidP="00C653B4">
      <w:pPr>
        <w:spacing w:before="60" w:after="60"/>
        <w:ind w:firstLine="0"/>
        <w:jc w:val="both"/>
        <w:rPr>
          <w:rFonts w:cs="Arial"/>
          <w:sz w:val="20"/>
          <w:szCs w:val="20"/>
        </w:rPr>
      </w:pPr>
    </w:p>
    <w:p w14:paraId="7211C945" w14:textId="77777777" w:rsidR="00C653B4" w:rsidRPr="006F58D9" w:rsidRDefault="1F9B407E" w:rsidP="1F9B407E">
      <w:pPr>
        <w:pStyle w:val="ListParagraph"/>
        <w:numPr>
          <w:ilvl w:val="0"/>
          <w:numId w:val="2"/>
        </w:numPr>
        <w:pBdr>
          <w:top w:val="single" w:sz="8" w:space="1" w:color="auto"/>
          <w:bottom w:val="single" w:sz="8" w:space="1" w:color="auto"/>
        </w:pBdr>
        <w:tabs>
          <w:tab w:val="left" w:pos="567"/>
        </w:tabs>
        <w:spacing w:before="60" w:after="60"/>
        <w:ind w:left="0" w:firstLine="0"/>
        <w:contextualSpacing w:val="0"/>
        <w:rPr>
          <w:rFonts w:eastAsia="Arial" w:cs="Arial"/>
          <w:b/>
          <w:bCs/>
          <w:sz w:val="20"/>
          <w:szCs w:val="20"/>
        </w:rPr>
      </w:pPr>
      <w:r w:rsidRPr="1F9B407E">
        <w:rPr>
          <w:rFonts w:eastAsia="Arial" w:cs="Arial"/>
          <w:b/>
          <w:bCs/>
          <w:sz w:val="20"/>
          <w:szCs w:val="20"/>
        </w:rPr>
        <w:t>PIRKIMO OBJEKTO APIMTYS</w:t>
      </w:r>
    </w:p>
    <w:p w14:paraId="396D7B53" w14:textId="7DD84C58"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3.1. Skaičiuojamųjų elektros apkrovų nustatymo metodikos 7 lentelės „Gyvenamųjų pastatų skaičiuojamosios norminės elektros apkrovos Psk, kW“, 7.1 lentelės „Šilumos siurblių norminis galingumas ir kiekis namų ūkiuose“, 7.2 lentelės „Elektromobilių įkrovimo stotelių norminis galingumas ir kiekis“, 8 lentelės „Grupės butų (daugiabučiuose), vienbučių gyvenamųjų namų ir dvibučių gyvenamųjų namų bei sodybų suminės elektros apkrovos nevienalaikiškumo koeficientai S∑sk“, 9 lentelės „Gyvenamųjų pastatų, butų, sodybų ir atskirų elektros imtuvų grupių skaičiuojamieji galios koeficientai cosφ“, 14 lentelės „Skaičiuojamieji galios koeficientai visuomeninės paskirties pastatams“, 15 lentelės „Visuomeninės paskirties ir gyvenamųjų pastatų elektros apkrovų maksimumų nesutapimo koeficientai Kmax“, įtraukiant komercinio vartotojo suminės elektros apkrovos nevienalaikiškumo koeficientus ir išmaniųjų elektros energijos apskaitos skaitiklių duomenų integravimą, siekiant įvertinti esamų vartotojų įtaką skirstomajam elektros tinklui bei 17, 20, 31 papunkčių ir kitų susijusių metodikos punktų auditą ir atnaujinimą papildant  – 1 vnt., kuris apima:</w:t>
      </w:r>
    </w:p>
    <w:p w14:paraId="16D9D679" w14:textId="77F5BEF5"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3.1.1. Analizę bei išvadų formulavimą. Išsamiai analizuoti esamus duomenis ir identifikuoti pokyčių poreikį;</w:t>
      </w:r>
    </w:p>
    <w:p w14:paraId="7CC93F0D" w14:textId="2BFDFA08"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3.1.2. Siūlomų pokyčių suderinimą su klientu. Užtikrinti, kad siūlomi pokyčiai atitiktų Kliento lūkesčius ir reikalavimus;</w:t>
      </w:r>
    </w:p>
    <w:p w14:paraId="243121A8" w14:textId="0AB7A28A"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 xml:space="preserve">3.1.3. Atnaujintos metodikos parengimą ir koregavimą. Parengti naują metodikos versiją ir atlikti reikiamus pataisymus po Kliento pastabų bei įteisinimas atsakingoje ministerijoje; </w:t>
      </w:r>
    </w:p>
    <w:p w14:paraId="24E2A435" w14:textId="3A3E167F"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3.1.4. Galutinės versijos parengimą ir suderinimą su Klientu. Užbaigti koregavimus ir suderinti galutinę metodikos versiją su Klientu;</w:t>
      </w:r>
    </w:p>
    <w:p w14:paraId="248DB024" w14:textId="7F85471E" w:rsidR="00C653B4" w:rsidRPr="000D3B9A" w:rsidRDefault="2B4A1168" w:rsidP="000D3B9A">
      <w:pPr>
        <w:tabs>
          <w:tab w:val="left" w:pos="567"/>
        </w:tabs>
        <w:spacing w:before="60" w:after="60"/>
        <w:ind w:firstLine="0"/>
        <w:jc w:val="both"/>
        <w:rPr>
          <w:rFonts w:eastAsia="Arial" w:cs="Arial"/>
          <w:sz w:val="20"/>
          <w:szCs w:val="20"/>
        </w:rPr>
      </w:pPr>
      <w:r w:rsidRPr="000D3B9A">
        <w:rPr>
          <w:rFonts w:eastAsia="Arial" w:cs="Arial"/>
          <w:sz w:val="20"/>
          <w:szCs w:val="20"/>
        </w:rPr>
        <w:t>3.1.5. Pateikti numatomos metodikos taikymo pavyzdžius, atsižvelgiant į realias situacijas.</w:t>
      </w:r>
    </w:p>
    <w:p w14:paraId="7211C94C" w14:textId="15C7B361" w:rsidR="00C653B4" w:rsidRPr="006F58D9" w:rsidRDefault="00C653B4" w:rsidP="00C653B4">
      <w:pPr>
        <w:pStyle w:val="ListParagraph"/>
        <w:tabs>
          <w:tab w:val="left" w:pos="567"/>
        </w:tabs>
        <w:spacing w:before="60" w:after="60"/>
        <w:ind w:left="1080" w:firstLine="0"/>
        <w:jc w:val="both"/>
        <w:rPr>
          <w:rFonts w:cs="Arial"/>
          <w:i/>
          <w:sz w:val="20"/>
          <w:szCs w:val="20"/>
        </w:rPr>
      </w:pPr>
    </w:p>
    <w:p w14:paraId="7211C94D" w14:textId="77777777" w:rsidR="00C653B4" w:rsidRPr="00C266A1" w:rsidRDefault="1F9B407E" w:rsidP="1F9B407E">
      <w:pPr>
        <w:pStyle w:val="ListParagraph"/>
        <w:pBdr>
          <w:top w:val="single" w:sz="12" w:space="1" w:color="auto"/>
          <w:bottom w:val="single" w:sz="12" w:space="1" w:color="auto"/>
        </w:pBdr>
        <w:tabs>
          <w:tab w:val="left" w:pos="709"/>
        </w:tabs>
        <w:spacing w:before="60" w:after="60"/>
        <w:ind w:left="0" w:firstLine="0"/>
        <w:contextualSpacing w:val="0"/>
        <w:rPr>
          <w:rFonts w:eastAsia="Arial" w:cs="Arial"/>
          <w:b/>
          <w:bCs/>
          <w:sz w:val="20"/>
          <w:szCs w:val="20"/>
        </w:rPr>
      </w:pPr>
      <w:r w:rsidRPr="1F9B407E">
        <w:rPr>
          <w:b/>
          <w:bCs/>
        </w:rPr>
        <w:t>4</w:t>
      </w:r>
      <w:r>
        <w:t xml:space="preserve">. </w:t>
      </w:r>
      <w:r w:rsidRPr="1F9B407E">
        <w:rPr>
          <w:rFonts w:eastAsia="Arial" w:cs="Arial"/>
          <w:b/>
          <w:bCs/>
          <w:sz w:val="20"/>
          <w:szCs w:val="20"/>
        </w:rPr>
        <w:t>SUTARTINIŲ ĮSIPAREIGOJIMŲ VYKDYMO VIETA</w:t>
      </w:r>
    </w:p>
    <w:p w14:paraId="7211C951" w14:textId="28157F97" w:rsidR="00C653B4" w:rsidRPr="00E46A4A" w:rsidRDefault="7FEC0C83" w:rsidP="1F9B407E">
      <w:pPr>
        <w:pStyle w:val="ListParagraph"/>
        <w:numPr>
          <w:ilvl w:val="1"/>
          <w:numId w:val="3"/>
        </w:numPr>
        <w:tabs>
          <w:tab w:val="left" w:pos="567"/>
        </w:tabs>
        <w:spacing w:before="60" w:after="60"/>
        <w:rPr>
          <w:rFonts w:eastAsia="Arial" w:cs="Arial"/>
          <w:sz w:val="20"/>
          <w:szCs w:val="20"/>
        </w:rPr>
      </w:pPr>
      <w:r w:rsidRPr="7CEA8B00">
        <w:rPr>
          <w:rFonts w:eastAsia="Arial" w:cs="Arial"/>
          <w:sz w:val="20"/>
          <w:szCs w:val="20"/>
        </w:rPr>
        <w:t>Laisvės pr. 10</w:t>
      </w:r>
      <w:r w:rsidR="1F9B407E" w:rsidRPr="1F9B407E">
        <w:rPr>
          <w:rFonts w:eastAsia="Arial" w:cs="Arial"/>
          <w:sz w:val="20"/>
          <w:szCs w:val="20"/>
        </w:rPr>
        <w:t>, Vilnius.</w:t>
      </w:r>
    </w:p>
    <w:p w14:paraId="7211C952" w14:textId="77777777" w:rsidR="00C653B4" w:rsidRPr="00E47FD9" w:rsidRDefault="00C653B4" w:rsidP="00C653B4">
      <w:pPr>
        <w:pStyle w:val="ListParagraph"/>
        <w:spacing w:before="60" w:after="60"/>
        <w:ind w:firstLine="0"/>
        <w:jc w:val="both"/>
        <w:rPr>
          <w:rFonts w:cs="Arial"/>
          <w:i/>
          <w:sz w:val="20"/>
          <w:szCs w:val="20"/>
          <w:highlight w:val="yellow"/>
          <w:shd w:val="clear" w:color="auto" w:fill="D9D9D9" w:themeFill="background1" w:themeFillShade="D9"/>
        </w:rPr>
      </w:pPr>
    </w:p>
    <w:p w14:paraId="7211C953" w14:textId="635C0725" w:rsidR="00C653B4" w:rsidRPr="00196835" w:rsidRDefault="1F9B407E" w:rsidP="1F9B407E">
      <w:pPr>
        <w:pStyle w:val="ListParagraph"/>
        <w:numPr>
          <w:ilvl w:val="0"/>
          <w:numId w:val="3"/>
        </w:numPr>
        <w:pBdr>
          <w:top w:val="single" w:sz="12" w:space="1" w:color="auto"/>
          <w:bottom w:val="single" w:sz="12" w:space="1" w:color="auto"/>
        </w:pBdr>
        <w:tabs>
          <w:tab w:val="left" w:pos="567"/>
        </w:tabs>
        <w:spacing w:before="60" w:after="60"/>
        <w:contextualSpacing w:val="0"/>
        <w:rPr>
          <w:rFonts w:eastAsia="Arial" w:cs="Arial"/>
          <w:b/>
          <w:bCs/>
          <w:sz w:val="20"/>
          <w:szCs w:val="20"/>
        </w:rPr>
      </w:pPr>
      <w:r w:rsidRPr="1F9B407E">
        <w:rPr>
          <w:rFonts w:eastAsia="Arial" w:cs="Arial"/>
          <w:b/>
          <w:bCs/>
          <w:sz w:val="20"/>
          <w:szCs w:val="20"/>
        </w:rPr>
        <w:t>PIRKIMO OBJEKTO APRAŠYMAS</w:t>
      </w:r>
    </w:p>
    <w:p w14:paraId="7211C954" w14:textId="27656A78" w:rsidR="00C653B4" w:rsidRPr="00565ABF" w:rsidRDefault="1F9B407E" w:rsidP="1F9B407E">
      <w:pPr>
        <w:pStyle w:val="ListParagraph"/>
        <w:numPr>
          <w:ilvl w:val="2"/>
          <w:numId w:val="3"/>
        </w:numPr>
        <w:tabs>
          <w:tab w:val="left" w:pos="567"/>
        </w:tabs>
        <w:spacing w:before="60" w:after="60"/>
        <w:ind w:left="0" w:firstLine="0"/>
        <w:jc w:val="both"/>
        <w:rPr>
          <w:rFonts w:eastAsia="Arial" w:cs="Arial"/>
          <w:sz w:val="20"/>
          <w:szCs w:val="20"/>
        </w:rPr>
      </w:pPr>
      <w:r w:rsidRPr="1F9B407E">
        <w:rPr>
          <w:rFonts w:eastAsia="Arial" w:cs="Arial"/>
          <w:sz w:val="20"/>
          <w:szCs w:val="20"/>
        </w:rPr>
        <w:t xml:space="preserve">Paslaugų teikėjui pateikiama Skaičiuojamųjų elektros apkrovų nustatymo metodika (toliau – Metodika). </w:t>
      </w:r>
    </w:p>
    <w:p w14:paraId="7211CA01" w14:textId="17A5CE4B" w:rsidR="00C653B4" w:rsidRDefault="1F9B407E" w:rsidP="1F9B407E">
      <w:pPr>
        <w:pStyle w:val="ListParagraph"/>
        <w:numPr>
          <w:ilvl w:val="2"/>
          <w:numId w:val="3"/>
        </w:numPr>
        <w:tabs>
          <w:tab w:val="left" w:pos="567"/>
        </w:tabs>
        <w:spacing w:before="60" w:after="60"/>
        <w:ind w:left="0" w:firstLine="0"/>
        <w:jc w:val="both"/>
        <w:rPr>
          <w:rFonts w:eastAsia="Arial" w:cs="Arial"/>
          <w:sz w:val="20"/>
          <w:szCs w:val="20"/>
        </w:rPr>
      </w:pPr>
      <w:r w:rsidRPr="1F9B407E">
        <w:rPr>
          <w:rFonts w:eastAsia="Arial" w:cs="Arial"/>
          <w:sz w:val="20"/>
          <w:szCs w:val="20"/>
        </w:rPr>
        <w:t>Paslaugų teikėjas turi atlikti esamų elektros energijos vartotojų elektros energijos vartojimo tyrimą</w:t>
      </w:r>
      <w:r w:rsidR="00170FCD">
        <w:rPr>
          <w:rFonts w:eastAsia="Arial" w:cs="Arial"/>
          <w:sz w:val="20"/>
          <w:szCs w:val="20"/>
        </w:rPr>
        <w:t xml:space="preserve"> remiantis statistiniais duomenimis, standartais ir tarptautine praktika,</w:t>
      </w:r>
      <w:r w:rsidRPr="1F9B407E">
        <w:rPr>
          <w:rFonts w:eastAsia="Arial" w:cs="Arial"/>
          <w:sz w:val="20"/>
          <w:szCs w:val="20"/>
        </w:rPr>
        <w:t xml:space="preserve"> atsižvelgiant į pasikeitusius vartojimo įpročius t. y.:</w:t>
      </w:r>
    </w:p>
    <w:p w14:paraId="0DB3BA18" w14:textId="77777777" w:rsidR="007B31D5" w:rsidRPr="007B31D5" w:rsidRDefault="1F9B407E" w:rsidP="1F9B407E">
      <w:pPr>
        <w:pStyle w:val="ListParagraph"/>
        <w:numPr>
          <w:ilvl w:val="3"/>
          <w:numId w:val="3"/>
        </w:numPr>
        <w:tabs>
          <w:tab w:val="left" w:pos="567"/>
        </w:tabs>
        <w:spacing w:before="60" w:after="60"/>
        <w:jc w:val="both"/>
        <w:rPr>
          <w:rFonts w:eastAsia="Arial" w:cs="Arial"/>
          <w:sz w:val="20"/>
          <w:szCs w:val="20"/>
        </w:rPr>
      </w:pPr>
      <w:r w:rsidRPr="1F9B407E">
        <w:rPr>
          <w:rFonts w:eastAsia="Arial" w:cs="Arial"/>
          <w:sz w:val="20"/>
          <w:szCs w:val="20"/>
        </w:rPr>
        <w:t>pradedamus vis plačiau naudoti šilumos siurblius namų ūkiuose patalpų šildymui ir karšto vandens ruošimui;</w:t>
      </w:r>
    </w:p>
    <w:p w14:paraId="42F6EA42" w14:textId="661A6ED8" w:rsidR="007B31D5" w:rsidRPr="007B31D5" w:rsidRDefault="1F9B407E" w:rsidP="1F9B407E">
      <w:pPr>
        <w:pStyle w:val="ListParagraph"/>
        <w:numPr>
          <w:ilvl w:val="3"/>
          <w:numId w:val="3"/>
        </w:numPr>
        <w:tabs>
          <w:tab w:val="left" w:pos="567"/>
        </w:tabs>
        <w:spacing w:before="60" w:after="60"/>
        <w:jc w:val="both"/>
        <w:rPr>
          <w:rFonts w:eastAsia="Arial" w:cs="Arial"/>
          <w:sz w:val="20"/>
          <w:szCs w:val="20"/>
        </w:rPr>
      </w:pPr>
      <w:r w:rsidRPr="1F9B407E">
        <w:rPr>
          <w:rFonts w:eastAsia="Arial" w:cs="Arial"/>
          <w:sz w:val="20"/>
          <w:szCs w:val="20"/>
        </w:rPr>
        <w:t>elektromobilių, kurie yra įkraunami namuose, skaičiaus didėjimas;</w:t>
      </w:r>
    </w:p>
    <w:p w14:paraId="1585C104" w14:textId="10CB133A" w:rsidR="007B31D5" w:rsidRPr="007B31D5" w:rsidRDefault="1F9B407E" w:rsidP="1F9B407E">
      <w:pPr>
        <w:pStyle w:val="ListParagraph"/>
        <w:numPr>
          <w:ilvl w:val="3"/>
          <w:numId w:val="3"/>
        </w:numPr>
        <w:tabs>
          <w:tab w:val="left" w:pos="567"/>
        </w:tabs>
        <w:spacing w:before="60" w:after="60"/>
        <w:jc w:val="both"/>
        <w:rPr>
          <w:rFonts w:eastAsia="Arial" w:cs="Arial"/>
          <w:sz w:val="20"/>
          <w:szCs w:val="20"/>
        </w:rPr>
      </w:pPr>
      <w:r w:rsidRPr="1F9B407E">
        <w:rPr>
          <w:rFonts w:eastAsia="Arial" w:cs="Arial"/>
          <w:sz w:val="20"/>
          <w:szCs w:val="20"/>
        </w:rPr>
        <w:t>įrengiami generuojantys šaltiniai;</w:t>
      </w:r>
    </w:p>
    <w:p w14:paraId="57CF95C6" w14:textId="6B00E83C" w:rsidR="00B66F79" w:rsidRPr="00170FCD" w:rsidRDefault="1F9B407E" w:rsidP="00170FCD">
      <w:pPr>
        <w:pStyle w:val="ListParagraph"/>
        <w:numPr>
          <w:ilvl w:val="3"/>
          <w:numId w:val="3"/>
        </w:numPr>
        <w:tabs>
          <w:tab w:val="left" w:pos="567"/>
        </w:tabs>
        <w:spacing w:before="60" w:after="60"/>
        <w:jc w:val="both"/>
        <w:rPr>
          <w:rFonts w:eastAsia="Arial" w:cs="Arial"/>
          <w:sz w:val="20"/>
          <w:szCs w:val="20"/>
        </w:rPr>
      </w:pPr>
      <w:r w:rsidRPr="1F9B407E">
        <w:rPr>
          <w:rFonts w:eastAsia="Arial" w:cs="Arial"/>
          <w:sz w:val="20"/>
          <w:szCs w:val="20"/>
        </w:rPr>
        <w:t>tam tikra pastatų grupė turi atitikti A++ energetinio efektyvumo reikalavimus</w:t>
      </w:r>
      <w:r w:rsidR="00B66F79">
        <w:rPr>
          <w:rFonts w:eastAsia="Arial" w:cs="Arial"/>
          <w:sz w:val="20"/>
          <w:szCs w:val="20"/>
        </w:rPr>
        <w:t>;</w:t>
      </w:r>
    </w:p>
    <w:p w14:paraId="0711457B" w14:textId="5B88B3E2" w:rsidR="00BC554C" w:rsidRPr="0058509E" w:rsidRDefault="1F9B407E" w:rsidP="1F9B407E">
      <w:pPr>
        <w:pStyle w:val="ListParagraph"/>
        <w:numPr>
          <w:ilvl w:val="2"/>
          <w:numId w:val="3"/>
        </w:numPr>
        <w:tabs>
          <w:tab w:val="left" w:pos="567"/>
        </w:tabs>
        <w:spacing w:before="60" w:after="60"/>
        <w:ind w:left="0" w:firstLine="0"/>
        <w:jc w:val="both"/>
        <w:rPr>
          <w:rFonts w:eastAsia="Arial" w:cs="Arial"/>
          <w:sz w:val="20"/>
          <w:szCs w:val="20"/>
        </w:rPr>
      </w:pPr>
      <w:r w:rsidRPr="1F9B407E">
        <w:rPr>
          <w:rFonts w:eastAsia="Arial" w:cs="Arial"/>
          <w:sz w:val="20"/>
          <w:szCs w:val="20"/>
        </w:rPr>
        <w:t xml:space="preserve">Tiekėjas turi atlikti Klientui priklausančių skirstomųjų tinklų analizę, parinkti geriausią metodiką skaičiavimams atlikti ir pritaikius pasirinktą metodiką atlikti skaičiavimus. Pasirinktos skaičiavimų metodikos taikymas turi užtikrinti elektros energijos tiekimo patikimumą, elektros energijos tiekėjų teikiamų paslaugų kokybės reikalavimus bei optimalų </w:t>
      </w:r>
      <w:r w:rsidR="679B2FF1" w:rsidRPr="2137903F">
        <w:rPr>
          <w:rFonts w:eastAsia="Arial" w:cs="Arial"/>
          <w:sz w:val="20"/>
          <w:szCs w:val="20"/>
        </w:rPr>
        <w:t xml:space="preserve">ir efektyvų </w:t>
      </w:r>
      <w:r w:rsidRPr="1F9B407E">
        <w:rPr>
          <w:rFonts w:eastAsia="Arial" w:cs="Arial"/>
          <w:sz w:val="20"/>
          <w:szCs w:val="20"/>
        </w:rPr>
        <w:t>elektros tinklo pajėgumų išnaudojimą.</w:t>
      </w:r>
    </w:p>
    <w:p w14:paraId="7211CA03" w14:textId="77777777" w:rsidR="00C653B4" w:rsidRPr="00265652" w:rsidRDefault="1F9B407E" w:rsidP="1F9B407E">
      <w:pPr>
        <w:pStyle w:val="ListParagraph"/>
        <w:numPr>
          <w:ilvl w:val="2"/>
          <w:numId w:val="3"/>
        </w:numPr>
        <w:tabs>
          <w:tab w:val="left" w:pos="567"/>
        </w:tabs>
        <w:spacing w:before="60" w:after="60"/>
        <w:ind w:left="0" w:firstLine="0"/>
        <w:jc w:val="both"/>
        <w:rPr>
          <w:rFonts w:eastAsia="Arial" w:cs="Arial"/>
          <w:sz w:val="20"/>
          <w:szCs w:val="20"/>
        </w:rPr>
      </w:pPr>
      <w:r w:rsidRPr="1F9B407E">
        <w:rPr>
          <w:rFonts w:eastAsia="Arial" w:cs="Arial"/>
          <w:sz w:val="20"/>
          <w:szCs w:val="20"/>
        </w:rPr>
        <w:t xml:space="preserve">Papildomai turi būti pateikti kiekvieno laukelio reikšmės skaičiavimai.  </w:t>
      </w:r>
    </w:p>
    <w:p w14:paraId="7211CA04" w14:textId="22B5DDD5" w:rsidR="00C653B4" w:rsidRPr="00265652" w:rsidRDefault="1F9B407E" w:rsidP="1F9B407E">
      <w:pPr>
        <w:pStyle w:val="ListParagraph"/>
        <w:numPr>
          <w:ilvl w:val="2"/>
          <w:numId w:val="3"/>
        </w:numPr>
        <w:tabs>
          <w:tab w:val="left" w:pos="567"/>
        </w:tabs>
        <w:spacing w:before="60" w:after="60"/>
        <w:ind w:left="0" w:firstLine="0"/>
        <w:jc w:val="both"/>
        <w:rPr>
          <w:rStyle w:val="Hyperlink"/>
          <w:rFonts w:eastAsia="Arial" w:cs="Arial"/>
        </w:rPr>
      </w:pPr>
      <w:r w:rsidRPr="1F9B407E">
        <w:rPr>
          <w:rFonts w:eastAsia="Arial" w:cs="Arial"/>
          <w:sz w:val="20"/>
          <w:szCs w:val="20"/>
        </w:rPr>
        <w:t xml:space="preserve">Paslaugų teikėjo tikslas - atnaujinti nurodytą metodiką. </w:t>
      </w:r>
      <w:r w:rsidR="32A9D916" w:rsidRPr="2137903F">
        <w:rPr>
          <w:rFonts w:eastAsia="Arial" w:cs="Arial"/>
          <w:sz w:val="20"/>
          <w:szCs w:val="20"/>
        </w:rPr>
        <w:t xml:space="preserve">Nuoroda į patvirtintą metodiką: </w:t>
      </w:r>
      <w:hyperlink r:id="rId7">
        <w:r w:rsidR="1F00D543" w:rsidRPr="2137903F">
          <w:rPr>
            <w:rStyle w:val="Hyperlink"/>
            <w:rFonts w:eastAsia="Arial" w:cs="Arial"/>
            <w:sz w:val="20"/>
            <w:szCs w:val="20"/>
          </w:rPr>
          <w:t>https://e-seimas.lrs.lt/portal/legalAct/lt/TAD/24e5ae208fa711e48028e9b85331c55d/as</w:t>
        </w:r>
        <w:r w:rsidR="32A9D916" w:rsidRPr="2137903F">
          <w:rPr>
            <w:rStyle w:val="Hyperlink"/>
            <w:rFonts w:eastAsia="Arial" w:cs="Arial"/>
            <w:sz w:val="20"/>
            <w:szCs w:val="20"/>
          </w:rPr>
          <w:t>r</w:t>
        </w:r>
      </w:hyperlink>
      <w:r w:rsidR="32A9D916" w:rsidRPr="2137903F">
        <w:rPr>
          <w:rFonts w:eastAsia="Arial" w:cs="Arial"/>
          <w:sz w:val="20"/>
          <w:szCs w:val="20"/>
        </w:rPr>
        <w:t>.</w:t>
      </w:r>
    </w:p>
    <w:p w14:paraId="7211CA05" w14:textId="236160D0" w:rsidR="00C653B4" w:rsidRDefault="1F9B407E" w:rsidP="1F9B407E">
      <w:pPr>
        <w:pStyle w:val="ListParagraph"/>
        <w:numPr>
          <w:ilvl w:val="2"/>
          <w:numId w:val="3"/>
        </w:numPr>
        <w:tabs>
          <w:tab w:val="left" w:pos="567"/>
        </w:tabs>
        <w:spacing w:before="60" w:after="60"/>
        <w:ind w:left="0" w:firstLine="0"/>
        <w:jc w:val="both"/>
        <w:rPr>
          <w:rFonts w:eastAsia="Arial" w:cs="Arial"/>
          <w:sz w:val="20"/>
          <w:szCs w:val="20"/>
        </w:rPr>
      </w:pPr>
      <w:r w:rsidRPr="1F9B407E">
        <w:rPr>
          <w:rFonts w:eastAsia="Arial" w:cs="Arial"/>
          <w:sz w:val="20"/>
          <w:szCs w:val="20"/>
        </w:rPr>
        <w:lastRenderedPageBreak/>
        <w:t>Paslaugų teikėjo atlikta studija, jos rezultatai ir atnaujinta metodika po suderinimo su Klientu, turi būti pristatyta Lietuvos Respublikos energetikos ministerijai.</w:t>
      </w:r>
    </w:p>
    <w:p w14:paraId="24BEE952" w14:textId="77777777" w:rsidR="00286E5D" w:rsidRPr="00286E5D" w:rsidRDefault="1F9B407E" w:rsidP="1F9B407E">
      <w:pPr>
        <w:pStyle w:val="ListParagraph"/>
        <w:numPr>
          <w:ilvl w:val="2"/>
          <w:numId w:val="3"/>
        </w:numPr>
        <w:tabs>
          <w:tab w:val="left" w:pos="709"/>
        </w:tabs>
        <w:spacing w:before="60" w:after="60"/>
        <w:ind w:left="0" w:firstLine="0"/>
        <w:jc w:val="both"/>
        <w:rPr>
          <w:rStyle w:val="Laukeliai"/>
          <w:rFonts w:eastAsia="Arial" w:cs="Arial"/>
          <w:szCs w:val="20"/>
        </w:rPr>
      </w:pPr>
      <w:r w:rsidRPr="1F9B407E">
        <w:rPr>
          <w:rStyle w:val="Laukeliai"/>
          <w:rFonts w:eastAsia="Arial" w:cs="Arial"/>
        </w:rPr>
        <w:t>Paslaugos turi būti suteiktos ir</w:t>
      </w:r>
      <w:r w:rsidR="00286E5D">
        <w:rPr>
          <w:rStyle w:val="Laukeliai"/>
          <w:rFonts w:eastAsia="Arial" w:cs="Arial"/>
        </w:rPr>
        <w:t xml:space="preserve"> galutinis</w:t>
      </w:r>
      <w:r w:rsidRPr="1F9B407E">
        <w:rPr>
          <w:rStyle w:val="Laukeliai"/>
          <w:rFonts w:eastAsia="Arial" w:cs="Arial"/>
        </w:rPr>
        <w:t xml:space="preserve"> Paslaugų rezultatas perduotas Klientui ne vėliau kaip </w:t>
      </w:r>
      <w:r w:rsidRPr="1F9B407E">
        <w:rPr>
          <w:rStyle w:val="Laukeliai"/>
          <w:rFonts w:eastAsia="Arial" w:cs="Arial"/>
          <w:b/>
          <w:bCs/>
        </w:rPr>
        <w:t xml:space="preserve">per 130 (šimtą trisdešimt) kalendorinių dienų nuo Sutarties įsigaliojimo dienos. </w:t>
      </w:r>
    </w:p>
    <w:p w14:paraId="7211CA0B" w14:textId="131B98BB" w:rsidR="00C653B4" w:rsidRPr="00727995" w:rsidRDefault="1F9B407E" w:rsidP="00286E5D">
      <w:pPr>
        <w:pStyle w:val="ListParagraph"/>
        <w:numPr>
          <w:ilvl w:val="2"/>
          <w:numId w:val="3"/>
        </w:numPr>
        <w:tabs>
          <w:tab w:val="left" w:pos="709"/>
        </w:tabs>
        <w:spacing w:before="60" w:after="60"/>
        <w:ind w:left="0" w:firstLine="0"/>
        <w:jc w:val="both"/>
        <w:rPr>
          <w:rStyle w:val="Laukeliai"/>
        </w:rPr>
      </w:pPr>
      <w:r w:rsidRPr="00727995">
        <w:rPr>
          <w:rStyle w:val="Laukeliai"/>
          <w:rFonts w:eastAsia="Arial" w:cs="Arial"/>
        </w:rPr>
        <w:t>Paslaugų teikėjas pateikia laisvos formos Skaičiuojamųjų elektros apkrovų metodikos punktų audito ir atnaujinimo paslaugų grafiką (nurodant darbų vykdymo pradžią bei pabaigą). Paslaugų teikimo grafiką reikia pateikti šiems darbams:</w:t>
      </w:r>
    </w:p>
    <w:p w14:paraId="1BD89A37" w14:textId="36450055" w:rsidR="00887A3C" w:rsidRPr="00727995" w:rsidRDefault="4AA495FE" w:rsidP="00727995">
      <w:pPr>
        <w:pStyle w:val="ListParagraph"/>
        <w:numPr>
          <w:ilvl w:val="2"/>
          <w:numId w:val="3"/>
        </w:numPr>
        <w:tabs>
          <w:tab w:val="left" w:pos="709"/>
        </w:tabs>
        <w:spacing w:before="60" w:after="60"/>
        <w:ind w:left="0" w:firstLine="0"/>
        <w:jc w:val="both"/>
        <w:rPr>
          <w:rStyle w:val="Laukeliai"/>
        </w:rPr>
      </w:pPr>
      <w:r w:rsidRPr="00727995">
        <w:rPr>
          <w:rStyle w:val="Laukeliai"/>
          <w:rFonts w:eastAsia="Arial" w:cs="Arial"/>
        </w:rPr>
        <w:t>a</w:t>
      </w:r>
      <w:r w:rsidR="32A9D916" w:rsidRPr="00727995">
        <w:rPr>
          <w:rStyle w:val="Laukeliai"/>
          <w:rFonts w:eastAsia="Arial" w:cs="Arial"/>
        </w:rPr>
        <w:t>nalizė</w:t>
      </w:r>
      <w:r w:rsidR="1F9B407E" w:rsidRPr="00727995">
        <w:rPr>
          <w:rStyle w:val="Laukeliai"/>
          <w:rFonts w:eastAsia="Arial" w:cs="Arial"/>
        </w:rPr>
        <w:t xml:space="preserve"> bei išvadų formulavimas;</w:t>
      </w:r>
    </w:p>
    <w:p w14:paraId="735B4711" w14:textId="2D69EC3C" w:rsidR="00887A3C" w:rsidRPr="00727995" w:rsidRDefault="1319F20D" w:rsidP="00727995">
      <w:pPr>
        <w:pStyle w:val="ListParagraph"/>
        <w:numPr>
          <w:ilvl w:val="2"/>
          <w:numId w:val="3"/>
        </w:numPr>
        <w:tabs>
          <w:tab w:val="left" w:pos="709"/>
        </w:tabs>
        <w:spacing w:before="60" w:after="60"/>
        <w:ind w:left="0" w:firstLine="0"/>
        <w:jc w:val="both"/>
        <w:rPr>
          <w:rStyle w:val="Laukeliai"/>
        </w:rPr>
      </w:pPr>
      <w:r w:rsidRPr="00727995">
        <w:rPr>
          <w:rStyle w:val="Laukeliai"/>
          <w:rFonts w:eastAsia="Arial" w:cs="Arial"/>
        </w:rPr>
        <w:t>s</w:t>
      </w:r>
      <w:r w:rsidR="32A9D916" w:rsidRPr="00727995">
        <w:rPr>
          <w:rStyle w:val="Laukeliai"/>
          <w:rFonts w:eastAsia="Arial" w:cs="Arial"/>
        </w:rPr>
        <w:t>iūlomų</w:t>
      </w:r>
      <w:r w:rsidR="1F9B407E" w:rsidRPr="00727995">
        <w:rPr>
          <w:rStyle w:val="Laukeliai"/>
          <w:rFonts w:eastAsia="Arial" w:cs="Arial"/>
        </w:rPr>
        <w:t xml:space="preserve"> pokyčių suderinimas su Klientu;</w:t>
      </w:r>
    </w:p>
    <w:p w14:paraId="2668883A" w14:textId="41C9054B" w:rsidR="007B31D5" w:rsidRPr="00727995" w:rsidRDefault="528A7BB4" w:rsidP="00727995">
      <w:pPr>
        <w:pStyle w:val="ListParagraph"/>
        <w:numPr>
          <w:ilvl w:val="2"/>
          <w:numId w:val="3"/>
        </w:numPr>
        <w:tabs>
          <w:tab w:val="left" w:pos="709"/>
        </w:tabs>
        <w:spacing w:before="60" w:after="60"/>
        <w:ind w:left="0" w:firstLine="0"/>
        <w:jc w:val="both"/>
        <w:rPr>
          <w:rStyle w:val="Laukeliai"/>
        </w:rPr>
      </w:pPr>
      <w:r w:rsidRPr="00727995">
        <w:rPr>
          <w:rStyle w:val="Laukeliai"/>
          <w:rFonts w:eastAsia="Arial" w:cs="Arial"/>
        </w:rPr>
        <w:t>a</w:t>
      </w:r>
      <w:r w:rsidR="32A9D916" w:rsidRPr="00727995">
        <w:rPr>
          <w:rStyle w:val="Laukeliai"/>
          <w:rFonts w:eastAsia="Arial" w:cs="Arial"/>
        </w:rPr>
        <w:t>tnaujintos</w:t>
      </w:r>
      <w:r w:rsidR="1F9B407E" w:rsidRPr="00727995">
        <w:rPr>
          <w:rStyle w:val="Laukeliai"/>
          <w:rFonts w:eastAsia="Arial" w:cs="Arial"/>
        </w:rPr>
        <w:t xml:space="preserve"> metodikos parengimas ir koregavimas atliekant reikiamus taisymus po pastabų pateikimo iš Kliento pusės bei įteisinimas atsakingoje ministerijoje.</w:t>
      </w:r>
    </w:p>
    <w:p w14:paraId="348E9E9D" w14:textId="0757C302" w:rsidR="009E2C99" w:rsidRPr="00727995" w:rsidRDefault="1DC76AAE" w:rsidP="00727995">
      <w:pPr>
        <w:pStyle w:val="ListParagraph"/>
        <w:numPr>
          <w:ilvl w:val="2"/>
          <w:numId w:val="3"/>
        </w:numPr>
        <w:tabs>
          <w:tab w:val="left" w:pos="709"/>
        </w:tabs>
        <w:spacing w:before="60" w:after="60"/>
        <w:ind w:left="0" w:firstLine="0"/>
        <w:jc w:val="both"/>
        <w:rPr>
          <w:rStyle w:val="Laukeliai"/>
        </w:rPr>
      </w:pPr>
      <w:r w:rsidRPr="00727995">
        <w:rPr>
          <w:rStyle w:val="Laukeliai"/>
          <w:rFonts w:eastAsia="Arial" w:cs="Arial"/>
        </w:rPr>
        <w:t>a</w:t>
      </w:r>
      <w:r w:rsidR="32A9D916" w:rsidRPr="00727995">
        <w:rPr>
          <w:rStyle w:val="Laukeliai"/>
          <w:rFonts w:eastAsia="Arial" w:cs="Arial"/>
        </w:rPr>
        <w:t>tnaujintos</w:t>
      </w:r>
      <w:r w:rsidR="1F9B407E" w:rsidRPr="00727995">
        <w:rPr>
          <w:rStyle w:val="Laukeliai"/>
          <w:rFonts w:eastAsia="Arial" w:cs="Arial"/>
        </w:rPr>
        <w:t xml:space="preserve"> metodikos galutinės versijos parengimas ir suderinimas su Klientu</w:t>
      </w:r>
      <w:r w:rsidR="003809C9" w:rsidRPr="00727995">
        <w:rPr>
          <w:rStyle w:val="Laukeliai"/>
          <w:rFonts w:eastAsia="Arial" w:cs="Arial"/>
        </w:rPr>
        <w:t>.</w:t>
      </w:r>
    </w:p>
    <w:p w14:paraId="7211CA11" w14:textId="77777777" w:rsidR="00C653B4" w:rsidRPr="00E47FD9" w:rsidRDefault="00C653B4" w:rsidP="00C653B4">
      <w:pPr>
        <w:spacing w:before="60" w:after="60"/>
        <w:ind w:firstLine="0"/>
        <w:jc w:val="both"/>
        <w:rPr>
          <w:rFonts w:cs="Arial"/>
          <w:bCs/>
          <w:i/>
          <w:sz w:val="20"/>
          <w:szCs w:val="20"/>
          <w:highlight w:val="yellow"/>
        </w:rPr>
      </w:pPr>
    </w:p>
    <w:p w14:paraId="7211CA12" w14:textId="77777777" w:rsidR="00C653B4" w:rsidRPr="00C653B4" w:rsidRDefault="1F9B407E" w:rsidP="1F9B407E">
      <w:pPr>
        <w:pStyle w:val="ListParagraph"/>
        <w:numPr>
          <w:ilvl w:val="0"/>
          <w:numId w:val="3"/>
        </w:numPr>
        <w:pBdr>
          <w:top w:val="single" w:sz="8" w:space="1" w:color="auto"/>
          <w:bottom w:val="single" w:sz="8" w:space="1" w:color="auto"/>
        </w:pBdr>
        <w:tabs>
          <w:tab w:val="left" w:pos="284"/>
        </w:tabs>
        <w:spacing w:before="60" w:after="60"/>
        <w:rPr>
          <w:rFonts w:eastAsia="Arial" w:cs="Arial"/>
          <w:b/>
          <w:bCs/>
          <w:sz w:val="20"/>
          <w:szCs w:val="20"/>
        </w:rPr>
      </w:pPr>
      <w:r w:rsidRPr="1F9B407E">
        <w:rPr>
          <w:rFonts w:eastAsia="Arial" w:cs="Arial"/>
          <w:b/>
          <w:bCs/>
          <w:sz w:val="20"/>
          <w:szCs w:val="20"/>
        </w:rPr>
        <w:t>PRIEDAI</w:t>
      </w:r>
    </w:p>
    <w:p w14:paraId="7211CA14" w14:textId="07D4EB23" w:rsidR="00BC7D89" w:rsidRDefault="1F9B407E" w:rsidP="00286E5D">
      <w:pPr>
        <w:pStyle w:val="ListParagraph"/>
        <w:numPr>
          <w:ilvl w:val="1"/>
          <w:numId w:val="3"/>
        </w:numPr>
        <w:tabs>
          <w:tab w:val="left" w:pos="567"/>
        </w:tabs>
        <w:spacing w:before="60" w:after="60"/>
        <w:ind w:left="0" w:firstLine="0"/>
        <w:jc w:val="both"/>
      </w:pPr>
      <w:r w:rsidRPr="00286E5D">
        <w:rPr>
          <w:rFonts w:eastAsia="Arial" w:cs="Arial"/>
          <w:sz w:val="20"/>
          <w:szCs w:val="20"/>
        </w:rPr>
        <w:t>Priedas Nr. 1  „Skaičiuojamųjų elektros apkrovų nustatymo metodika“</w:t>
      </w:r>
    </w:p>
    <w:sectPr w:rsidR="00BC7D89">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9929" w14:textId="77777777" w:rsidR="00614ECA" w:rsidRDefault="00614ECA" w:rsidP="00CA481B">
      <w:r>
        <w:separator/>
      </w:r>
    </w:p>
  </w:endnote>
  <w:endnote w:type="continuationSeparator" w:id="0">
    <w:p w14:paraId="765BF704" w14:textId="77777777" w:rsidR="00614ECA" w:rsidRDefault="00614ECA" w:rsidP="00CA481B">
      <w:r>
        <w:continuationSeparator/>
      </w:r>
    </w:p>
  </w:endnote>
  <w:endnote w:type="continuationNotice" w:id="1">
    <w:p w14:paraId="0DD5BFF4" w14:textId="77777777" w:rsidR="00614ECA" w:rsidRDefault="00614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1665" w14:textId="77777777" w:rsidR="003F6A25" w:rsidRDefault="003F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553" w14:textId="77777777" w:rsidR="003F6A25" w:rsidRDefault="003F6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7903" w14:textId="77777777" w:rsidR="003F6A25" w:rsidRDefault="003F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1EF8" w14:textId="77777777" w:rsidR="00614ECA" w:rsidRDefault="00614ECA" w:rsidP="00CA481B">
      <w:r>
        <w:separator/>
      </w:r>
    </w:p>
  </w:footnote>
  <w:footnote w:type="continuationSeparator" w:id="0">
    <w:p w14:paraId="47A9478D" w14:textId="77777777" w:rsidR="00614ECA" w:rsidRDefault="00614ECA" w:rsidP="00CA481B">
      <w:r>
        <w:continuationSeparator/>
      </w:r>
    </w:p>
  </w:footnote>
  <w:footnote w:type="continuationNotice" w:id="1">
    <w:p w14:paraId="3A9AE75A" w14:textId="77777777" w:rsidR="00614ECA" w:rsidRDefault="00614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3A43" w14:textId="77777777" w:rsidR="003F6A25" w:rsidRDefault="003F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9550" w14:textId="3F875CF8" w:rsidR="00CA481B" w:rsidRDefault="00CA4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BCFA" w14:textId="77777777" w:rsidR="003F6A25" w:rsidRDefault="003F6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319D"/>
    <w:multiLevelType w:val="multilevel"/>
    <w:tmpl w:val="25EE9F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D02AF"/>
    <w:multiLevelType w:val="hybridMultilevel"/>
    <w:tmpl w:val="E2C43DF0"/>
    <w:lvl w:ilvl="0" w:tplc="86C0D23C">
      <w:start w:val="1"/>
      <w:numFmt w:val="bullet"/>
      <w:lvlText w:val=""/>
      <w:lvlJc w:val="left"/>
      <w:pPr>
        <w:ind w:left="1074" w:hanging="360"/>
      </w:pPr>
      <w:rPr>
        <w:rFonts w:ascii="Symbol" w:hAnsi="Symbol" w:hint="default"/>
      </w:rPr>
    </w:lvl>
    <w:lvl w:ilvl="1" w:tplc="E5E056C2">
      <w:start w:val="1"/>
      <w:numFmt w:val="bullet"/>
      <w:lvlText w:val="o"/>
      <w:lvlJc w:val="left"/>
      <w:pPr>
        <w:ind w:left="1794" w:hanging="360"/>
      </w:pPr>
      <w:rPr>
        <w:rFonts w:ascii="Courier New" w:hAnsi="Courier New" w:hint="default"/>
      </w:rPr>
    </w:lvl>
    <w:lvl w:ilvl="2" w:tplc="D102BCB2">
      <w:start w:val="1"/>
      <w:numFmt w:val="bullet"/>
      <w:lvlText w:val=""/>
      <w:lvlJc w:val="left"/>
      <w:pPr>
        <w:ind w:left="2514" w:hanging="360"/>
      </w:pPr>
      <w:rPr>
        <w:rFonts w:ascii="Wingdings" w:hAnsi="Wingdings" w:hint="default"/>
      </w:rPr>
    </w:lvl>
    <w:lvl w:ilvl="3" w:tplc="6E263D58">
      <w:start w:val="1"/>
      <w:numFmt w:val="bullet"/>
      <w:lvlText w:val=""/>
      <w:lvlJc w:val="left"/>
      <w:pPr>
        <w:ind w:left="3234" w:hanging="360"/>
      </w:pPr>
      <w:rPr>
        <w:rFonts w:ascii="Symbol" w:hAnsi="Symbol" w:hint="default"/>
      </w:rPr>
    </w:lvl>
    <w:lvl w:ilvl="4" w:tplc="C5FCFD3C">
      <w:start w:val="1"/>
      <w:numFmt w:val="bullet"/>
      <w:lvlText w:val="o"/>
      <w:lvlJc w:val="left"/>
      <w:pPr>
        <w:ind w:left="3954" w:hanging="360"/>
      </w:pPr>
      <w:rPr>
        <w:rFonts w:ascii="Courier New" w:hAnsi="Courier New" w:hint="default"/>
      </w:rPr>
    </w:lvl>
    <w:lvl w:ilvl="5" w:tplc="6AB07CE2">
      <w:start w:val="1"/>
      <w:numFmt w:val="bullet"/>
      <w:lvlText w:val=""/>
      <w:lvlJc w:val="left"/>
      <w:pPr>
        <w:ind w:left="4674" w:hanging="360"/>
      </w:pPr>
      <w:rPr>
        <w:rFonts w:ascii="Wingdings" w:hAnsi="Wingdings" w:hint="default"/>
      </w:rPr>
    </w:lvl>
    <w:lvl w:ilvl="6" w:tplc="887802C6">
      <w:start w:val="1"/>
      <w:numFmt w:val="bullet"/>
      <w:lvlText w:val=""/>
      <w:lvlJc w:val="left"/>
      <w:pPr>
        <w:ind w:left="5394" w:hanging="360"/>
      </w:pPr>
      <w:rPr>
        <w:rFonts w:ascii="Symbol" w:hAnsi="Symbol" w:hint="default"/>
      </w:rPr>
    </w:lvl>
    <w:lvl w:ilvl="7" w:tplc="E80478B6">
      <w:start w:val="1"/>
      <w:numFmt w:val="bullet"/>
      <w:lvlText w:val="o"/>
      <w:lvlJc w:val="left"/>
      <w:pPr>
        <w:ind w:left="6114" w:hanging="360"/>
      </w:pPr>
      <w:rPr>
        <w:rFonts w:ascii="Courier New" w:hAnsi="Courier New" w:hint="default"/>
      </w:rPr>
    </w:lvl>
    <w:lvl w:ilvl="8" w:tplc="629A3D96">
      <w:start w:val="1"/>
      <w:numFmt w:val="bullet"/>
      <w:lvlText w:val=""/>
      <w:lvlJc w:val="left"/>
      <w:pPr>
        <w:ind w:left="6834" w:hanging="360"/>
      </w:pPr>
      <w:rPr>
        <w:rFonts w:ascii="Wingdings" w:hAnsi="Wingdings" w:hint="default"/>
      </w:rPr>
    </w:lvl>
  </w:abstractNum>
  <w:abstractNum w:abstractNumId="2" w15:restartNumberingAfterBreak="0">
    <w:nsid w:val="3D313937"/>
    <w:multiLevelType w:val="multilevel"/>
    <w:tmpl w:val="01ECFDE6"/>
    <w:lvl w:ilvl="0">
      <w:start w:val="1"/>
      <w:numFmt w:val="decimal"/>
      <w:lvlText w:val="%1."/>
      <w:lvlJc w:val="left"/>
      <w:pPr>
        <w:ind w:left="720" w:hanging="360"/>
      </w:pPr>
      <w:rPr>
        <w:rFonts w:hint="default"/>
        <w:b/>
        <w:color w:val="auto"/>
      </w:rPr>
    </w:lvl>
    <w:lvl w:ilvl="1">
      <w:start w:val="1"/>
      <w:numFmt w:val="decimal"/>
      <w:isLgl/>
      <w:lvlText w:val="%1.%2."/>
      <w:lvlJc w:val="left"/>
      <w:pPr>
        <w:ind w:left="7023"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696AA1"/>
    <w:multiLevelType w:val="multilevel"/>
    <w:tmpl w:val="01A8E3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7930525">
    <w:abstractNumId w:val="2"/>
  </w:num>
  <w:num w:numId="2" w16cid:durableId="788202509">
    <w:abstractNumId w:val="3"/>
  </w:num>
  <w:num w:numId="3" w16cid:durableId="465782735">
    <w:abstractNumId w:val="0"/>
  </w:num>
  <w:num w:numId="4" w16cid:durableId="132909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88"/>
    <w:rsid w:val="00012231"/>
    <w:rsid w:val="0007051A"/>
    <w:rsid w:val="000B44C5"/>
    <w:rsid w:val="000B69A0"/>
    <w:rsid w:val="000D1469"/>
    <w:rsid w:val="000D3B9A"/>
    <w:rsid w:val="000D7738"/>
    <w:rsid w:val="00170FCD"/>
    <w:rsid w:val="001E7778"/>
    <w:rsid w:val="00257568"/>
    <w:rsid w:val="00286E5D"/>
    <w:rsid w:val="002E1F4B"/>
    <w:rsid w:val="00323FBA"/>
    <w:rsid w:val="003413D0"/>
    <w:rsid w:val="003809C9"/>
    <w:rsid w:val="003F4867"/>
    <w:rsid w:val="003F6A25"/>
    <w:rsid w:val="00446B08"/>
    <w:rsid w:val="00461D49"/>
    <w:rsid w:val="00491322"/>
    <w:rsid w:val="004C2062"/>
    <w:rsid w:val="004C5B3B"/>
    <w:rsid w:val="00504713"/>
    <w:rsid w:val="00576411"/>
    <w:rsid w:val="0057784C"/>
    <w:rsid w:val="0058133B"/>
    <w:rsid w:val="0058509E"/>
    <w:rsid w:val="00614ECA"/>
    <w:rsid w:val="00630C12"/>
    <w:rsid w:val="00633A9C"/>
    <w:rsid w:val="00664ABF"/>
    <w:rsid w:val="0067795D"/>
    <w:rsid w:val="00727995"/>
    <w:rsid w:val="00744FD7"/>
    <w:rsid w:val="007677E1"/>
    <w:rsid w:val="007A7609"/>
    <w:rsid w:val="007B31D5"/>
    <w:rsid w:val="007B3714"/>
    <w:rsid w:val="007F708E"/>
    <w:rsid w:val="00805BEE"/>
    <w:rsid w:val="008104F4"/>
    <w:rsid w:val="00866588"/>
    <w:rsid w:val="00887A3C"/>
    <w:rsid w:val="00944AED"/>
    <w:rsid w:val="00955EFD"/>
    <w:rsid w:val="00997C6D"/>
    <w:rsid w:val="009E2C99"/>
    <w:rsid w:val="009F51E2"/>
    <w:rsid w:val="009F67D6"/>
    <w:rsid w:val="00A82CC3"/>
    <w:rsid w:val="00AB5DBE"/>
    <w:rsid w:val="00AD15D2"/>
    <w:rsid w:val="00B006D7"/>
    <w:rsid w:val="00B304B9"/>
    <w:rsid w:val="00B47DE2"/>
    <w:rsid w:val="00B66F79"/>
    <w:rsid w:val="00BC554C"/>
    <w:rsid w:val="00BC5564"/>
    <w:rsid w:val="00BC7D89"/>
    <w:rsid w:val="00BE5405"/>
    <w:rsid w:val="00C16478"/>
    <w:rsid w:val="00C467A9"/>
    <w:rsid w:val="00C653B4"/>
    <w:rsid w:val="00C9441E"/>
    <w:rsid w:val="00CA481B"/>
    <w:rsid w:val="00CE4B54"/>
    <w:rsid w:val="00D230A7"/>
    <w:rsid w:val="00D52559"/>
    <w:rsid w:val="00D576D2"/>
    <w:rsid w:val="00D91FCD"/>
    <w:rsid w:val="00DC0165"/>
    <w:rsid w:val="00DC3BE1"/>
    <w:rsid w:val="00DC52CB"/>
    <w:rsid w:val="00DD57AF"/>
    <w:rsid w:val="00DF71A1"/>
    <w:rsid w:val="00E013A5"/>
    <w:rsid w:val="00E46A4A"/>
    <w:rsid w:val="00E559A1"/>
    <w:rsid w:val="00E64D5F"/>
    <w:rsid w:val="00F537F3"/>
    <w:rsid w:val="00F6572B"/>
    <w:rsid w:val="00F81158"/>
    <w:rsid w:val="00F8634C"/>
    <w:rsid w:val="00FB14C1"/>
    <w:rsid w:val="034AEE54"/>
    <w:rsid w:val="08711D77"/>
    <w:rsid w:val="08760BB5"/>
    <w:rsid w:val="0E036EF3"/>
    <w:rsid w:val="1279DA80"/>
    <w:rsid w:val="1319F20D"/>
    <w:rsid w:val="1B866D44"/>
    <w:rsid w:val="1DC76AAE"/>
    <w:rsid w:val="1F00D543"/>
    <w:rsid w:val="1F9B407E"/>
    <w:rsid w:val="2137903F"/>
    <w:rsid w:val="2263339C"/>
    <w:rsid w:val="27539F15"/>
    <w:rsid w:val="2B4A1168"/>
    <w:rsid w:val="2BD2A955"/>
    <w:rsid w:val="2E77A97E"/>
    <w:rsid w:val="2F20E64A"/>
    <w:rsid w:val="2FAC1483"/>
    <w:rsid w:val="306B60B0"/>
    <w:rsid w:val="32A9D916"/>
    <w:rsid w:val="3492C14F"/>
    <w:rsid w:val="365D506A"/>
    <w:rsid w:val="3759A7A6"/>
    <w:rsid w:val="3BD35AF0"/>
    <w:rsid w:val="4078587C"/>
    <w:rsid w:val="480EAED4"/>
    <w:rsid w:val="4AA495FE"/>
    <w:rsid w:val="4C77E415"/>
    <w:rsid w:val="4DA383C6"/>
    <w:rsid w:val="4E460000"/>
    <w:rsid w:val="4EC4BE31"/>
    <w:rsid w:val="4EF9DDD8"/>
    <w:rsid w:val="4FCA9D52"/>
    <w:rsid w:val="501F1353"/>
    <w:rsid w:val="50AF2529"/>
    <w:rsid w:val="528A7BB4"/>
    <w:rsid w:val="571E2410"/>
    <w:rsid w:val="59DEA5C5"/>
    <w:rsid w:val="5AA627FB"/>
    <w:rsid w:val="5D35AF23"/>
    <w:rsid w:val="5FA6597F"/>
    <w:rsid w:val="66467EC7"/>
    <w:rsid w:val="6662B56D"/>
    <w:rsid w:val="66963C6E"/>
    <w:rsid w:val="679B2FF1"/>
    <w:rsid w:val="697B898A"/>
    <w:rsid w:val="69FC922C"/>
    <w:rsid w:val="6F6CE47E"/>
    <w:rsid w:val="71109E42"/>
    <w:rsid w:val="73CA1228"/>
    <w:rsid w:val="7C911F05"/>
    <w:rsid w:val="7CEA8B00"/>
    <w:rsid w:val="7FEC0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1C93A"/>
  <w15:chartTrackingRefBased/>
  <w15:docId w15:val="{6B191781-7F39-48C6-B147-D50597C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B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653B4"/>
    <w:pPr>
      <w:ind w:left="720"/>
      <w:contextualSpacing/>
    </w:pPr>
  </w:style>
  <w:style w:type="character" w:styleId="Hyperlink">
    <w:name w:val="Hyperlink"/>
    <w:basedOn w:val="DefaultParagraphFont"/>
    <w:uiPriority w:val="99"/>
    <w:rsid w:val="00C653B4"/>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653B4"/>
    <w:rPr>
      <w:rFonts w:ascii="Arial" w:hAnsi="Arial"/>
    </w:rPr>
  </w:style>
  <w:style w:type="character" w:customStyle="1" w:styleId="Laukeliai">
    <w:name w:val="Laukeliai"/>
    <w:basedOn w:val="DefaultParagraphFont"/>
    <w:uiPriority w:val="1"/>
    <w:rsid w:val="00C653B4"/>
    <w:rPr>
      <w:rFonts w:ascii="Arial" w:hAnsi="Arial"/>
      <w:sz w:val="20"/>
    </w:rPr>
  </w:style>
  <w:style w:type="character" w:styleId="CommentReference">
    <w:name w:val="annotation reference"/>
    <w:basedOn w:val="DefaultParagraphFont"/>
    <w:uiPriority w:val="99"/>
    <w:semiHidden/>
    <w:unhideWhenUsed/>
    <w:rsid w:val="00461D49"/>
    <w:rPr>
      <w:sz w:val="16"/>
      <w:szCs w:val="16"/>
    </w:rPr>
  </w:style>
  <w:style w:type="paragraph" w:styleId="CommentText">
    <w:name w:val="annotation text"/>
    <w:basedOn w:val="Normal"/>
    <w:link w:val="CommentTextChar"/>
    <w:uiPriority w:val="99"/>
    <w:semiHidden/>
    <w:unhideWhenUsed/>
    <w:rsid w:val="00461D49"/>
    <w:rPr>
      <w:sz w:val="20"/>
      <w:szCs w:val="20"/>
    </w:rPr>
  </w:style>
  <w:style w:type="character" w:customStyle="1" w:styleId="CommentTextChar">
    <w:name w:val="Comment Text Char"/>
    <w:basedOn w:val="DefaultParagraphFont"/>
    <w:link w:val="CommentText"/>
    <w:uiPriority w:val="99"/>
    <w:semiHidden/>
    <w:rsid w:val="00461D4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1D49"/>
    <w:rPr>
      <w:b/>
      <w:bCs/>
    </w:rPr>
  </w:style>
  <w:style w:type="character" w:customStyle="1" w:styleId="CommentSubjectChar">
    <w:name w:val="Comment Subject Char"/>
    <w:basedOn w:val="CommentTextChar"/>
    <w:link w:val="CommentSubject"/>
    <w:uiPriority w:val="99"/>
    <w:semiHidden/>
    <w:rsid w:val="00461D49"/>
    <w:rPr>
      <w:rFonts w:ascii="Arial" w:hAnsi="Arial"/>
      <w:b/>
      <w:bCs/>
      <w:sz w:val="20"/>
      <w:szCs w:val="20"/>
    </w:rPr>
  </w:style>
  <w:style w:type="paragraph" w:styleId="BalloonText">
    <w:name w:val="Balloon Text"/>
    <w:basedOn w:val="Normal"/>
    <w:link w:val="BalloonTextChar"/>
    <w:uiPriority w:val="99"/>
    <w:semiHidden/>
    <w:unhideWhenUsed/>
    <w:rsid w:val="00461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D49"/>
    <w:rPr>
      <w:rFonts w:ascii="Segoe UI" w:hAnsi="Segoe UI" w:cs="Segoe UI"/>
      <w:sz w:val="18"/>
      <w:szCs w:val="18"/>
    </w:rPr>
  </w:style>
  <w:style w:type="paragraph" w:styleId="Header">
    <w:name w:val="header"/>
    <w:basedOn w:val="Normal"/>
    <w:link w:val="HeaderChar"/>
    <w:uiPriority w:val="99"/>
    <w:unhideWhenUsed/>
    <w:rsid w:val="00CA481B"/>
    <w:pPr>
      <w:tabs>
        <w:tab w:val="center" w:pos="4819"/>
        <w:tab w:val="right" w:pos="9638"/>
      </w:tabs>
    </w:pPr>
  </w:style>
  <w:style w:type="character" w:customStyle="1" w:styleId="HeaderChar">
    <w:name w:val="Header Char"/>
    <w:basedOn w:val="DefaultParagraphFont"/>
    <w:link w:val="Header"/>
    <w:uiPriority w:val="99"/>
    <w:rsid w:val="00CA481B"/>
    <w:rPr>
      <w:rFonts w:ascii="Arial" w:hAnsi="Arial"/>
    </w:rPr>
  </w:style>
  <w:style w:type="paragraph" w:styleId="Footer">
    <w:name w:val="footer"/>
    <w:basedOn w:val="Normal"/>
    <w:link w:val="FooterChar"/>
    <w:uiPriority w:val="99"/>
    <w:unhideWhenUsed/>
    <w:rsid w:val="00CA481B"/>
    <w:pPr>
      <w:tabs>
        <w:tab w:val="center" w:pos="4819"/>
        <w:tab w:val="right" w:pos="9638"/>
      </w:tabs>
    </w:pPr>
  </w:style>
  <w:style w:type="character" w:customStyle="1" w:styleId="FooterChar">
    <w:name w:val="Footer Char"/>
    <w:basedOn w:val="DefaultParagraphFont"/>
    <w:link w:val="Footer"/>
    <w:uiPriority w:val="99"/>
    <w:rsid w:val="00CA481B"/>
    <w:rPr>
      <w:rFonts w:ascii="Arial" w:hAnsi="Arial"/>
    </w:rPr>
  </w:style>
  <w:style w:type="character" w:styleId="FollowedHyperlink">
    <w:name w:val="FollowedHyperlink"/>
    <w:basedOn w:val="DefaultParagraphFont"/>
    <w:uiPriority w:val="99"/>
    <w:semiHidden/>
    <w:unhideWhenUsed/>
    <w:rsid w:val="007B31D5"/>
    <w:rPr>
      <w:color w:val="954F72" w:themeColor="followedHyperlink"/>
      <w:u w:val="single"/>
    </w:rPr>
  </w:style>
  <w:style w:type="character" w:styleId="UnresolvedMention">
    <w:name w:val="Unresolved Mention"/>
    <w:basedOn w:val="DefaultParagraphFont"/>
    <w:uiPriority w:val="99"/>
    <w:semiHidden/>
    <w:unhideWhenUsed/>
    <w:rsid w:val="007B31D5"/>
    <w:rPr>
      <w:color w:val="605E5C"/>
      <w:shd w:val="clear" w:color="auto" w:fill="E1DFDD"/>
    </w:rPr>
  </w:style>
  <w:style w:type="paragraph" w:styleId="Revision">
    <w:name w:val="Revision"/>
    <w:hidden/>
    <w:uiPriority w:val="99"/>
    <w:semiHidden/>
    <w:rsid w:val="00F537F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24e5ae208fa711e48028e9b85331c55d/as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816161E194E75AEAEFE083C0D28F2"/>
        <w:category>
          <w:name w:val="General"/>
          <w:gallery w:val="placeholder"/>
        </w:category>
        <w:types>
          <w:type w:val="bbPlcHdr"/>
        </w:types>
        <w:behaviors>
          <w:behavior w:val="content"/>
        </w:behaviors>
        <w:guid w:val="{B8164C3F-EFC5-474A-8138-AB17F2A35B10}"/>
      </w:docPartPr>
      <w:docPartBody>
        <w:p w:rsidR="009A0D96" w:rsidRDefault="00D230A7" w:rsidP="00D230A7">
          <w:pPr>
            <w:pStyle w:val="965816161E194E75AEAEFE083C0D28F2"/>
          </w:pPr>
          <w:r w:rsidRPr="009604E8">
            <w:rPr>
              <w:rStyle w:val="PlaceholderText"/>
            </w:rPr>
            <w:t>Click here to enter text.</w:t>
          </w:r>
        </w:p>
      </w:docPartBody>
    </w:docPart>
    <w:docPart>
      <w:docPartPr>
        <w:name w:val="48745DE37C6F4A22BACA191FB12EE1B1"/>
        <w:category>
          <w:name w:val="General"/>
          <w:gallery w:val="placeholder"/>
        </w:category>
        <w:types>
          <w:type w:val="bbPlcHdr"/>
        </w:types>
        <w:behaviors>
          <w:behavior w:val="content"/>
        </w:behaviors>
        <w:guid w:val="{ED26668D-CA9D-4396-A3E3-EB4EF4C2EEC0}"/>
      </w:docPartPr>
      <w:docPartBody>
        <w:p w:rsidR="009A0D96" w:rsidRDefault="00D230A7" w:rsidP="00D230A7">
          <w:pPr>
            <w:pStyle w:val="48745DE37C6F4A22BACA191FB12EE1B1"/>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A7"/>
    <w:rsid w:val="0058133B"/>
    <w:rsid w:val="007F708E"/>
    <w:rsid w:val="00896DDA"/>
    <w:rsid w:val="009A0D96"/>
    <w:rsid w:val="00BF4FB4"/>
    <w:rsid w:val="00D230A7"/>
    <w:rsid w:val="00EE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0A7"/>
    <w:rPr>
      <w:color w:val="808080"/>
    </w:rPr>
  </w:style>
  <w:style w:type="paragraph" w:customStyle="1" w:styleId="965816161E194E75AEAEFE083C0D28F2">
    <w:name w:val="965816161E194E75AEAEFE083C0D28F2"/>
    <w:rsid w:val="00D230A7"/>
  </w:style>
  <w:style w:type="paragraph" w:customStyle="1" w:styleId="48745DE37C6F4A22BACA191FB12EE1B1">
    <w:name w:val="48745DE37C6F4A22BACA191FB12EE1B1"/>
    <w:rsid w:val="00D23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3063</Words>
  <Characters>1747</Characters>
  <Application>Microsoft Office Word</Application>
  <DocSecurity>0</DocSecurity>
  <Lines>14</Lines>
  <Paragraphs>9</Paragraphs>
  <ScaleCrop>false</ScaleCrop>
  <Company>UAB TIC</Company>
  <LinksUpToDate>false</LinksUpToDate>
  <CharactersWithSpaces>4801</CharactersWithSpaces>
  <SharedDoc>false</SharedDoc>
  <HLinks>
    <vt:vector size="6" baseType="variant">
      <vt:variant>
        <vt:i4>2818099</vt:i4>
      </vt:variant>
      <vt:variant>
        <vt:i4>0</vt:i4>
      </vt:variant>
      <vt:variant>
        <vt:i4>0</vt:i4>
      </vt:variant>
      <vt:variant>
        <vt:i4>5</vt:i4>
      </vt:variant>
      <vt:variant>
        <vt:lpwstr>https://e-seimas.lrs.lt/portal/legalAct/lt/TAD/24e5ae208fa711e48028e9b85331c55d/asr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Garnelytė</dc:creator>
  <cp:keywords/>
  <dc:description/>
  <cp:lastModifiedBy>Gintarė Valečkienė</cp:lastModifiedBy>
  <cp:revision>12</cp:revision>
  <dcterms:created xsi:type="dcterms:W3CDTF">2025-07-31T10:06:00Z</dcterms:created>
  <dcterms:modified xsi:type="dcterms:W3CDTF">2025-08-12T04:56:00Z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Arvydas.Mikalkevicius@eso.lt</vt:lpwstr>
  </property>
  <property fmtid="{D5CDD505-2E9C-101B-9397-08002B2CF9AE}" pid="5" name="MSIP_Label_320c693d-44b7-4e16-b3dd-4fcd87401cf5_SetDate">
    <vt:lpwstr>2021-06-14T10:50:47.3310389Z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6430466c-904b-41e2-8b3e-7ba41c5fbac5</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Arvydas.Mikalkevicius@eso.lt</vt:lpwstr>
  </property>
  <property fmtid="{D5CDD505-2E9C-101B-9397-08002B2CF9AE}" pid="13" name="MSIP_Label_190751af-2442-49a7-b7b9-9f0bcce858c9_SetDate">
    <vt:lpwstr>2021-06-14T10:50:47.3310389Z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6430466c-904b-41e2-8b3e-7ba41c5fbac5</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