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8E13" w14:textId="5533B3BA" w:rsidR="005634D4" w:rsidRPr="00D80902" w:rsidRDefault="00D80902" w:rsidP="00D80902">
      <w:pPr>
        <w:jc w:val="right"/>
        <w:rPr>
          <w:lang w:val="en-US"/>
        </w:rPr>
      </w:pPr>
      <w:r>
        <w:t xml:space="preserve">Priedas Nr. </w:t>
      </w:r>
      <w:r>
        <w:rPr>
          <w:lang w:val="en-US"/>
        </w:rPr>
        <w:t>2</w:t>
      </w:r>
    </w:p>
    <w:p w14:paraId="697BDDE7" w14:textId="6576B267" w:rsidR="00D80902" w:rsidRPr="00D80902" w:rsidRDefault="00D80902" w:rsidP="00D80902">
      <w:pPr>
        <w:jc w:val="center"/>
        <w:rPr>
          <w:b/>
          <w:bCs/>
        </w:rPr>
      </w:pPr>
      <w:r w:rsidRPr="00D80902">
        <w:rPr>
          <w:b/>
          <w:bCs/>
        </w:rPr>
        <w:t>Kainos lentelė</w:t>
      </w:r>
    </w:p>
    <w:tbl>
      <w:tblPr>
        <w:tblStyle w:val="TableGrid"/>
        <w:tblW w:w="0" w:type="auto"/>
        <w:tblLook w:val="04A0" w:firstRow="1" w:lastRow="0" w:firstColumn="1" w:lastColumn="0" w:noHBand="0" w:noVBand="1"/>
      </w:tblPr>
      <w:tblGrid>
        <w:gridCol w:w="988"/>
        <w:gridCol w:w="6095"/>
        <w:gridCol w:w="992"/>
        <w:gridCol w:w="1553"/>
      </w:tblGrid>
      <w:tr w:rsidR="00D80902" w14:paraId="243A8E8D" w14:textId="77777777" w:rsidTr="00054AFD">
        <w:tc>
          <w:tcPr>
            <w:tcW w:w="988" w:type="dxa"/>
          </w:tcPr>
          <w:p w14:paraId="0D43A750" w14:textId="77777777" w:rsidR="00D80902" w:rsidRPr="00287A2D" w:rsidRDefault="00D80902" w:rsidP="00BD034B">
            <w:pPr>
              <w:jc w:val="center"/>
              <w:rPr>
                <w:b/>
                <w:bCs/>
              </w:rPr>
            </w:pPr>
            <w:r w:rsidRPr="00287A2D">
              <w:rPr>
                <w:b/>
                <w:bCs/>
              </w:rPr>
              <w:t>Eil. Nr.</w:t>
            </w:r>
          </w:p>
        </w:tc>
        <w:tc>
          <w:tcPr>
            <w:tcW w:w="6095" w:type="dxa"/>
          </w:tcPr>
          <w:p w14:paraId="77765923" w14:textId="77777777" w:rsidR="00D80902" w:rsidRPr="00287A2D" w:rsidRDefault="00D80902" w:rsidP="00BD034B">
            <w:pPr>
              <w:jc w:val="center"/>
              <w:rPr>
                <w:b/>
                <w:bCs/>
              </w:rPr>
            </w:pPr>
            <w:r w:rsidRPr="00287A2D">
              <w:rPr>
                <w:b/>
                <w:bCs/>
              </w:rPr>
              <w:t>Paslaugos pavadinimas</w:t>
            </w:r>
          </w:p>
        </w:tc>
        <w:tc>
          <w:tcPr>
            <w:tcW w:w="992" w:type="dxa"/>
          </w:tcPr>
          <w:p w14:paraId="124692F2" w14:textId="77777777" w:rsidR="00D80902" w:rsidRPr="00287A2D" w:rsidRDefault="00D80902" w:rsidP="00BD034B">
            <w:pPr>
              <w:jc w:val="center"/>
              <w:rPr>
                <w:b/>
                <w:bCs/>
              </w:rPr>
            </w:pPr>
            <w:r w:rsidRPr="00287A2D">
              <w:rPr>
                <w:b/>
                <w:bCs/>
              </w:rPr>
              <w:t>Mato vnt.</w:t>
            </w:r>
          </w:p>
        </w:tc>
        <w:tc>
          <w:tcPr>
            <w:tcW w:w="1553" w:type="dxa"/>
          </w:tcPr>
          <w:p w14:paraId="388011E0" w14:textId="77777777" w:rsidR="00D80902" w:rsidRPr="00287A2D" w:rsidRDefault="00D80902" w:rsidP="00BD034B">
            <w:pPr>
              <w:jc w:val="center"/>
              <w:rPr>
                <w:b/>
                <w:bCs/>
              </w:rPr>
            </w:pPr>
            <w:r w:rsidRPr="00287A2D">
              <w:rPr>
                <w:b/>
                <w:bCs/>
              </w:rPr>
              <w:t>Kaina, Eur be PVM</w:t>
            </w:r>
          </w:p>
        </w:tc>
      </w:tr>
      <w:tr w:rsidR="00D80902" w14:paraId="603D8CFD" w14:textId="77777777" w:rsidTr="00054AFD">
        <w:tc>
          <w:tcPr>
            <w:tcW w:w="988" w:type="dxa"/>
          </w:tcPr>
          <w:p w14:paraId="757B7855" w14:textId="77777777" w:rsidR="00D80902" w:rsidRDefault="00D80902" w:rsidP="00054AFD">
            <w:r>
              <w:t>1.</w:t>
            </w:r>
          </w:p>
        </w:tc>
        <w:tc>
          <w:tcPr>
            <w:tcW w:w="6095" w:type="dxa"/>
          </w:tcPr>
          <w:p w14:paraId="1CC44F2A" w14:textId="77777777" w:rsidR="00D80902" w:rsidRDefault="00D80902" w:rsidP="00054AFD">
            <w:r w:rsidRPr="000D3B9A">
              <w:rPr>
                <w:rFonts w:eastAsia="Arial" w:cs="Arial"/>
                <w:sz w:val="20"/>
                <w:szCs w:val="20"/>
              </w:rPr>
              <w:t xml:space="preserve">Skaičiuojamųjų elektros apkrovų nustatymo metodikos 7 lentelės „Gyvenamųjų pastatų skaičiuojamosios norminės elektros apkrovos </w:t>
            </w:r>
            <w:proofErr w:type="spellStart"/>
            <w:r w:rsidRPr="000D3B9A">
              <w:rPr>
                <w:rFonts w:eastAsia="Arial" w:cs="Arial"/>
                <w:sz w:val="20"/>
                <w:szCs w:val="20"/>
              </w:rPr>
              <w:t>Psk</w:t>
            </w:r>
            <w:proofErr w:type="spellEnd"/>
            <w:r w:rsidRPr="000D3B9A">
              <w:rPr>
                <w:rFonts w:eastAsia="Arial" w:cs="Arial"/>
                <w:sz w:val="20"/>
                <w:szCs w:val="20"/>
              </w:rPr>
              <w:t xml:space="preserve">, kW“, 7.1 lentelės „Šilumos siurblių norminis galingumas ir kiekis namų ūkiuose“, 7.2 lentelės „Elektromobilių įkrovimo stotelių norminis galingumas ir kiekis“, 8 lentelės „Grupės butų (daugiabučiuose), vienbučių gyvenamųjų namų ir dvibučių gyvenamųjų namų bei sodybų suminės elektros apkrovos </w:t>
            </w:r>
            <w:proofErr w:type="spellStart"/>
            <w:r w:rsidRPr="000D3B9A">
              <w:rPr>
                <w:rFonts w:eastAsia="Arial" w:cs="Arial"/>
                <w:sz w:val="20"/>
                <w:szCs w:val="20"/>
              </w:rPr>
              <w:t>nevienalaikiškumo</w:t>
            </w:r>
            <w:proofErr w:type="spellEnd"/>
            <w:r w:rsidRPr="000D3B9A">
              <w:rPr>
                <w:rFonts w:eastAsia="Arial" w:cs="Arial"/>
                <w:sz w:val="20"/>
                <w:szCs w:val="20"/>
              </w:rPr>
              <w:t xml:space="preserve"> koeficientai </w:t>
            </w:r>
            <w:proofErr w:type="spellStart"/>
            <w:r w:rsidRPr="000D3B9A">
              <w:rPr>
                <w:rFonts w:eastAsia="Arial" w:cs="Arial"/>
                <w:sz w:val="20"/>
                <w:szCs w:val="20"/>
              </w:rPr>
              <w:t>S∑sk</w:t>
            </w:r>
            <w:proofErr w:type="spellEnd"/>
            <w:r w:rsidRPr="000D3B9A">
              <w:rPr>
                <w:rFonts w:eastAsia="Arial" w:cs="Arial"/>
                <w:sz w:val="20"/>
                <w:szCs w:val="20"/>
              </w:rPr>
              <w:t xml:space="preserve">“, 9 lentelės „Gyvenamųjų pastatų, butų, sodybų ir atskirų elektros imtuvų grupių skaičiuojamieji galios koeficientai </w:t>
            </w:r>
            <w:proofErr w:type="spellStart"/>
            <w:r w:rsidRPr="000D3B9A">
              <w:rPr>
                <w:rFonts w:eastAsia="Arial" w:cs="Arial"/>
                <w:sz w:val="20"/>
                <w:szCs w:val="20"/>
              </w:rPr>
              <w:t>cosφ</w:t>
            </w:r>
            <w:proofErr w:type="spellEnd"/>
            <w:r w:rsidRPr="000D3B9A">
              <w:rPr>
                <w:rFonts w:eastAsia="Arial" w:cs="Arial"/>
                <w:sz w:val="20"/>
                <w:szCs w:val="20"/>
              </w:rPr>
              <w:t xml:space="preserve">“, 14 lentelės „Skaičiuojamieji galios koeficientai visuomeninės paskirties pastatams“, 15 lentelės „Visuomeninės paskirties ir gyvenamųjų pastatų elektros apkrovų maksimumų nesutapimo koeficientai </w:t>
            </w:r>
            <w:proofErr w:type="spellStart"/>
            <w:r w:rsidRPr="000D3B9A">
              <w:rPr>
                <w:rFonts w:eastAsia="Arial" w:cs="Arial"/>
                <w:sz w:val="20"/>
                <w:szCs w:val="20"/>
              </w:rPr>
              <w:t>Kmax</w:t>
            </w:r>
            <w:proofErr w:type="spellEnd"/>
            <w:r w:rsidRPr="000D3B9A">
              <w:rPr>
                <w:rFonts w:eastAsia="Arial" w:cs="Arial"/>
                <w:sz w:val="20"/>
                <w:szCs w:val="20"/>
              </w:rPr>
              <w:t xml:space="preserve">“, įtraukiant komercinio vartotojo suminės elektros apkrovos </w:t>
            </w:r>
            <w:proofErr w:type="spellStart"/>
            <w:r w:rsidRPr="000D3B9A">
              <w:rPr>
                <w:rFonts w:eastAsia="Arial" w:cs="Arial"/>
                <w:sz w:val="20"/>
                <w:szCs w:val="20"/>
              </w:rPr>
              <w:t>nevienalaikiškumo</w:t>
            </w:r>
            <w:proofErr w:type="spellEnd"/>
            <w:r w:rsidRPr="000D3B9A">
              <w:rPr>
                <w:rFonts w:eastAsia="Arial" w:cs="Arial"/>
                <w:sz w:val="20"/>
                <w:szCs w:val="20"/>
              </w:rPr>
              <w:t xml:space="preserve"> koeficientus ir išmaniųjų elektros energijos apskaitos skaitiklių duomenų integravimą, siekiant įvertinti esamų vartotojų įtaką skirstomajam elektros tinklui bei 17, 20, 31 papunkčių ir kitų susijusių metodikos punktų auditą ir atnaujinimą papildant</w:t>
            </w:r>
            <w:r>
              <w:rPr>
                <w:rFonts w:eastAsia="Arial" w:cs="Arial"/>
                <w:sz w:val="20"/>
                <w:szCs w:val="20"/>
              </w:rPr>
              <w:t xml:space="preserve">, kuris apima žemiau nurodytus </w:t>
            </w:r>
            <w:r>
              <w:rPr>
                <w:rFonts w:eastAsia="Arial" w:cs="Arial"/>
                <w:sz w:val="20"/>
                <w:szCs w:val="20"/>
                <w:lang w:val="en-US"/>
              </w:rPr>
              <w:t xml:space="preserve">3.1.1-3.1.15 </w:t>
            </w:r>
            <w:proofErr w:type="spellStart"/>
            <w:r>
              <w:rPr>
                <w:rFonts w:eastAsia="Arial" w:cs="Arial"/>
                <w:sz w:val="20"/>
                <w:szCs w:val="20"/>
                <w:lang w:val="en-US"/>
              </w:rPr>
              <w:t>punktus</w:t>
            </w:r>
            <w:proofErr w:type="spellEnd"/>
            <w:r>
              <w:rPr>
                <w:rFonts w:eastAsia="Arial" w:cs="Arial"/>
                <w:sz w:val="20"/>
                <w:szCs w:val="20"/>
                <w:lang w:val="en-US"/>
              </w:rPr>
              <w:t>.</w:t>
            </w:r>
            <w:r w:rsidRPr="000D3B9A">
              <w:rPr>
                <w:rFonts w:eastAsia="Arial" w:cs="Arial"/>
                <w:sz w:val="20"/>
                <w:szCs w:val="20"/>
              </w:rPr>
              <w:t xml:space="preserve"> </w:t>
            </w:r>
          </w:p>
        </w:tc>
        <w:tc>
          <w:tcPr>
            <w:tcW w:w="992" w:type="dxa"/>
          </w:tcPr>
          <w:p w14:paraId="321DC285" w14:textId="77777777" w:rsidR="00D80902" w:rsidRPr="00287A2D" w:rsidRDefault="00D80902" w:rsidP="00054AFD">
            <w:pPr>
              <w:rPr>
                <w:lang w:val="en-US"/>
              </w:rPr>
            </w:pPr>
            <w:r>
              <w:rPr>
                <w:lang w:val="en-US"/>
              </w:rPr>
              <w:t xml:space="preserve">1 </w:t>
            </w:r>
            <w:proofErr w:type="spellStart"/>
            <w:r>
              <w:rPr>
                <w:lang w:val="en-US"/>
              </w:rPr>
              <w:t>vnt</w:t>
            </w:r>
            <w:proofErr w:type="spellEnd"/>
            <w:r>
              <w:rPr>
                <w:lang w:val="en-US"/>
              </w:rPr>
              <w:t>.</w:t>
            </w:r>
          </w:p>
        </w:tc>
        <w:tc>
          <w:tcPr>
            <w:tcW w:w="1553" w:type="dxa"/>
          </w:tcPr>
          <w:p w14:paraId="3ABC2E00" w14:textId="77777777" w:rsidR="00D80902" w:rsidRDefault="00D80902" w:rsidP="00054AFD"/>
        </w:tc>
      </w:tr>
      <w:tr w:rsidR="00D80902" w14:paraId="3CE2F206" w14:textId="77777777" w:rsidTr="00054AFD">
        <w:trPr>
          <w:trHeight w:val="596"/>
        </w:trPr>
        <w:tc>
          <w:tcPr>
            <w:tcW w:w="9628" w:type="dxa"/>
            <w:gridSpan w:val="4"/>
          </w:tcPr>
          <w:p w14:paraId="3456C1B1" w14:textId="77777777" w:rsidR="00D80902" w:rsidRPr="000D3B9A" w:rsidRDefault="00D80902" w:rsidP="00054AFD">
            <w:pPr>
              <w:tabs>
                <w:tab w:val="left" w:pos="567"/>
              </w:tabs>
              <w:spacing w:before="60" w:after="60"/>
              <w:jc w:val="both"/>
              <w:rPr>
                <w:rFonts w:eastAsia="Arial" w:cs="Arial"/>
                <w:sz w:val="20"/>
                <w:szCs w:val="20"/>
              </w:rPr>
            </w:pPr>
            <w:r w:rsidRPr="000D3B9A">
              <w:rPr>
                <w:rFonts w:eastAsia="Arial" w:cs="Arial"/>
                <w:sz w:val="20"/>
                <w:szCs w:val="20"/>
              </w:rPr>
              <w:t>3.1.1. Analizę bei išvadų formulavimą. Išsamiai analizuoti esamus duomenis ir identifikuoti pokyčių poreikį;</w:t>
            </w:r>
          </w:p>
          <w:p w14:paraId="7F517FD5" w14:textId="77777777" w:rsidR="00D80902" w:rsidRPr="000D3B9A" w:rsidRDefault="00D80902" w:rsidP="00054AFD">
            <w:pPr>
              <w:tabs>
                <w:tab w:val="left" w:pos="567"/>
              </w:tabs>
              <w:spacing w:before="60" w:after="60"/>
              <w:jc w:val="both"/>
              <w:rPr>
                <w:rFonts w:eastAsia="Arial" w:cs="Arial"/>
                <w:sz w:val="20"/>
                <w:szCs w:val="20"/>
              </w:rPr>
            </w:pPr>
            <w:r w:rsidRPr="000D3B9A">
              <w:rPr>
                <w:rFonts w:eastAsia="Arial" w:cs="Arial"/>
                <w:sz w:val="20"/>
                <w:szCs w:val="20"/>
              </w:rPr>
              <w:t>3.1.2. Siūlomų pokyčių suderinimą su klientu. Užtikrinti, kad siūlomi pokyčiai atitiktų Kliento lūkesčius ir reikalavimus;</w:t>
            </w:r>
          </w:p>
          <w:p w14:paraId="74A21B17" w14:textId="77777777" w:rsidR="00D80902" w:rsidRPr="000D3B9A" w:rsidRDefault="00D80902" w:rsidP="00054AFD">
            <w:pPr>
              <w:tabs>
                <w:tab w:val="left" w:pos="567"/>
              </w:tabs>
              <w:spacing w:before="60" w:after="60"/>
              <w:jc w:val="both"/>
              <w:rPr>
                <w:rFonts w:eastAsia="Arial" w:cs="Arial"/>
                <w:sz w:val="20"/>
                <w:szCs w:val="20"/>
              </w:rPr>
            </w:pPr>
            <w:r w:rsidRPr="000D3B9A">
              <w:rPr>
                <w:rFonts w:eastAsia="Arial" w:cs="Arial"/>
                <w:sz w:val="20"/>
                <w:szCs w:val="20"/>
              </w:rPr>
              <w:t xml:space="preserve">3.1.3. Atnaujintos metodikos parengimą ir koregavimą. Parengti naują metodikos versiją ir atlikti reikiamus pataisymus po Kliento pastabų bei įteisinimas atsakingoje ministerijoje; </w:t>
            </w:r>
          </w:p>
          <w:p w14:paraId="09F6465B" w14:textId="77777777" w:rsidR="00D80902" w:rsidRPr="000D3B9A" w:rsidRDefault="00D80902" w:rsidP="00054AFD">
            <w:pPr>
              <w:tabs>
                <w:tab w:val="left" w:pos="567"/>
              </w:tabs>
              <w:spacing w:before="60" w:after="60"/>
              <w:jc w:val="both"/>
              <w:rPr>
                <w:rFonts w:eastAsia="Arial" w:cs="Arial"/>
                <w:sz w:val="20"/>
                <w:szCs w:val="20"/>
              </w:rPr>
            </w:pPr>
            <w:r w:rsidRPr="000D3B9A">
              <w:rPr>
                <w:rFonts w:eastAsia="Arial" w:cs="Arial"/>
                <w:sz w:val="20"/>
                <w:szCs w:val="20"/>
              </w:rPr>
              <w:t>3.1.4. Galutinės versijos parengimą ir suderinimą su Klientu. Užbaigti koregavimus ir suderinti galutinę metodikos versiją su Klientu;</w:t>
            </w:r>
          </w:p>
          <w:p w14:paraId="47F5D46B" w14:textId="77777777" w:rsidR="00D80902" w:rsidRPr="00287A2D" w:rsidRDefault="00D80902" w:rsidP="00054AFD">
            <w:pPr>
              <w:tabs>
                <w:tab w:val="left" w:pos="567"/>
              </w:tabs>
              <w:spacing w:before="60" w:after="60"/>
              <w:jc w:val="both"/>
              <w:rPr>
                <w:rFonts w:eastAsia="Arial" w:cs="Arial"/>
                <w:sz w:val="20"/>
                <w:szCs w:val="20"/>
              </w:rPr>
            </w:pPr>
            <w:r w:rsidRPr="000D3B9A">
              <w:rPr>
                <w:rFonts w:eastAsia="Arial" w:cs="Arial"/>
                <w:sz w:val="20"/>
                <w:szCs w:val="20"/>
              </w:rPr>
              <w:t>3.1.5. Pateikti numatomos metodikos taikymo pavyzdžius, atsižvelgiant į realias situacijas.</w:t>
            </w:r>
          </w:p>
        </w:tc>
      </w:tr>
    </w:tbl>
    <w:p w14:paraId="2FE8B3BA" w14:textId="77777777" w:rsidR="00D80902" w:rsidRDefault="00D80902"/>
    <w:sectPr w:rsidR="00D80902">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B4B8" w14:textId="77777777" w:rsidR="00287A2D" w:rsidRDefault="00287A2D" w:rsidP="00287A2D">
      <w:pPr>
        <w:spacing w:after="0" w:line="240" w:lineRule="auto"/>
      </w:pPr>
      <w:r>
        <w:separator/>
      </w:r>
    </w:p>
  </w:endnote>
  <w:endnote w:type="continuationSeparator" w:id="0">
    <w:p w14:paraId="7DA6626A" w14:textId="77777777" w:rsidR="00287A2D" w:rsidRDefault="00287A2D" w:rsidP="00287A2D">
      <w:pPr>
        <w:spacing w:after="0" w:line="240" w:lineRule="auto"/>
      </w:pPr>
      <w:r>
        <w:continuationSeparator/>
      </w:r>
    </w:p>
  </w:endnote>
  <w:endnote w:type="continuationNotice" w:id="1">
    <w:p w14:paraId="2168DED2" w14:textId="77777777" w:rsidR="00052823" w:rsidRDefault="00052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3853" w14:textId="77777777" w:rsidR="00287A2D" w:rsidRDefault="00287A2D" w:rsidP="00287A2D">
      <w:pPr>
        <w:spacing w:after="0" w:line="240" w:lineRule="auto"/>
      </w:pPr>
      <w:r>
        <w:separator/>
      </w:r>
    </w:p>
  </w:footnote>
  <w:footnote w:type="continuationSeparator" w:id="0">
    <w:p w14:paraId="560E3170" w14:textId="77777777" w:rsidR="00287A2D" w:rsidRDefault="00287A2D" w:rsidP="00287A2D">
      <w:pPr>
        <w:spacing w:after="0" w:line="240" w:lineRule="auto"/>
      </w:pPr>
      <w:r>
        <w:continuationSeparator/>
      </w:r>
    </w:p>
  </w:footnote>
  <w:footnote w:type="continuationNotice" w:id="1">
    <w:p w14:paraId="16D5F3CE" w14:textId="77777777" w:rsidR="00052823" w:rsidRDefault="00052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C2CF" w14:textId="1D168EAE" w:rsidR="00287A2D" w:rsidRDefault="00287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E04C" w14:textId="02DF9199" w:rsidR="00287A2D" w:rsidRDefault="00287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75C8" w14:textId="59A0E82D" w:rsidR="00287A2D" w:rsidRDefault="00287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319D"/>
    <w:multiLevelType w:val="multilevel"/>
    <w:tmpl w:val="25EE9F6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755820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2D"/>
    <w:rsid w:val="00052823"/>
    <w:rsid w:val="00287A2D"/>
    <w:rsid w:val="005634D4"/>
    <w:rsid w:val="007F0241"/>
    <w:rsid w:val="00825DB1"/>
    <w:rsid w:val="00B54E15"/>
    <w:rsid w:val="00BD034B"/>
    <w:rsid w:val="00D80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3960"/>
  <w15:chartTrackingRefBased/>
  <w15:docId w15:val="{177D892F-F736-46A8-BF05-3BEF1812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A2D"/>
    <w:rPr>
      <w:rFonts w:eastAsiaTheme="majorEastAsia" w:cstheme="majorBidi"/>
      <w:color w:val="272727" w:themeColor="text1" w:themeTint="D8"/>
    </w:rPr>
  </w:style>
  <w:style w:type="paragraph" w:styleId="Title">
    <w:name w:val="Title"/>
    <w:basedOn w:val="Normal"/>
    <w:next w:val="Normal"/>
    <w:link w:val="TitleChar"/>
    <w:uiPriority w:val="10"/>
    <w:qFormat/>
    <w:rsid w:val="00287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A2D"/>
    <w:pPr>
      <w:spacing w:before="160"/>
      <w:jc w:val="center"/>
    </w:pPr>
    <w:rPr>
      <w:i/>
      <w:iCs/>
      <w:color w:val="404040" w:themeColor="text1" w:themeTint="BF"/>
    </w:rPr>
  </w:style>
  <w:style w:type="character" w:customStyle="1" w:styleId="QuoteChar">
    <w:name w:val="Quote Char"/>
    <w:basedOn w:val="DefaultParagraphFont"/>
    <w:link w:val="Quote"/>
    <w:uiPriority w:val="29"/>
    <w:rsid w:val="00287A2D"/>
    <w:rPr>
      <w:i/>
      <w:iCs/>
      <w:color w:val="404040" w:themeColor="text1" w:themeTint="BF"/>
    </w:rPr>
  </w:style>
  <w:style w:type="paragraph" w:styleId="ListParagraph">
    <w:name w:val="List Paragraph"/>
    <w:basedOn w:val="Normal"/>
    <w:uiPriority w:val="34"/>
    <w:qFormat/>
    <w:rsid w:val="00287A2D"/>
    <w:pPr>
      <w:ind w:left="720"/>
      <w:contextualSpacing/>
    </w:pPr>
  </w:style>
  <w:style w:type="character" w:styleId="IntenseEmphasis">
    <w:name w:val="Intense Emphasis"/>
    <w:basedOn w:val="DefaultParagraphFont"/>
    <w:uiPriority w:val="21"/>
    <w:qFormat/>
    <w:rsid w:val="00287A2D"/>
    <w:rPr>
      <w:i/>
      <w:iCs/>
      <w:color w:val="0F4761" w:themeColor="accent1" w:themeShade="BF"/>
    </w:rPr>
  </w:style>
  <w:style w:type="paragraph" w:styleId="IntenseQuote">
    <w:name w:val="Intense Quote"/>
    <w:basedOn w:val="Normal"/>
    <w:next w:val="Normal"/>
    <w:link w:val="IntenseQuoteChar"/>
    <w:uiPriority w:val="30"/>
    <w:qFormat/>
    <w:rsid w:val="00287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A2D"/>
    <w:rPr>
      <w:i/>
      <w:iCs/>
      <w:color w:val="0F4761" w:themeColor="accent1" w:themeShade="BF"/>
    </w:rPr>
  </w:style>
  <w:style w:type="character" w:styleId="IntenseReference">
    <w:name w:val="Intense Reference"/>
    <w:basedOn w:val="DefaultParagraphFont"/>
    <w:uiPriority w:val="32"/>
    <w:qFormat/>
    <w:rsid w:val="00287A2D"/>
    <w:rPr>
      <w:b/>
      <w:bCs/>
      <w:smallCaps/>
      <w:color w:val="0F4761" w:themeColor="accent1" w:themeShade="BF"/>
      <w:spacing w:val="5"/>
    </w:rPr>
  </w:style>
  <w:style w:type="table" w:styleId="TableGrid">
    <w:name w:val="Table Grid"/>
    <w:basedOn w:val="TableNormal"/>
    <w:uiPriority w:val="39"/>
    <w:rsid w:val="00287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A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A2D"/>
  </w:style>
  <w:style w:type="paragraph" w:styleId="Footer">
    <w:name w:val="footer"/>
    <w:basedOn w:val="Normal"/>
    <w:link w:val="FooterChar"/>
    <w:uiPriority w:val="99"/>
    <w:semiHidden/>
    <w:unhideWhenUsed/>
    <w:rsid w:val="0005282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5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2326">
      <w:bodyDiv w:val="1"/>
      <w:marLeft w:val="0"/>
      <w:marRight w:val="0"/>
      <w:marTop w:val="0"/>
      <w:marBottom w:val="0"/>
      <w:divBdr>
        <w:top w:val="none" w:sz="0" w:space="0" w:color="auto"/>
        <w:left w:val="none" w:sz="0" w:space="0" w:color="auto"/>
        <w:bottom w:val="none" w:sz="0" w:space="0" w:color="auto"/>
        <w:right w:val="none" w:sz="0" w:space="0" w:color="auto"/>
      </w:divBdr>
    </w:div>
    <w:div w:id="19417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1216</Words>
  <Characters>694</Characters>
  <Application>Microsoft Office Word</Application>
  <DocSecurity>0</DocSecurity>
  <Lines>5</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Gintarė Valečkienė</cp:lastModifiedBy>
  <cp:revision>4</cp:revision>
  <dcterms:created xsi:type="dcterms:W3CDTF">2025-08-11T11:27:00Z</dcterms:created>
  <dcterms:modified xsi:type="dcterms:W3CDTF">2025-08-11T11:32:00Z</dcterms:modified>
</cp:coreProperties>
</file>