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74EFDAD8" w14:textId="0DF33D28" w:rsidR="0055579B" w:rsidRDefault="0055579B" w:rsidP="00C43D47">
      <w:pPr>
        <w:pStyle w:val="Pagrindinistekstas"/>
        <w:ind w:firstLine="0"/>
        <w:jc w:val="center"/>
        <w:rPr>
          <w:rFonts w:ascii="Arial" w:hAnsi="Arial" w:cs="Arial"/>
          <w:b/>
          <w:bCs/>
          <w:iCs/>
          <w:sz w:val="22"/>
          <w:szCs w:val="22"/>
        </w:rPr>
      </w:pPr>
      <w:bookmarkStart w:id="0" w:name="_Hlk205545146"/>
      <w:r w:rsidRPr="00DD05AA">
        <w:rPr>
          <w:rFonts w:ascii="Arial" w:hAnsi="Arial" w:cs="Arial"/>
          <w:b/>
          <w:bCs/>
          <w:iCs/>
          <w:sz w:val="22"/>
          <w:szCs w:val="22"/>
        </w:rPr>
        <w:t xml:space="preserve">VALSTYBINĖS REIKŠMĖS KRAŠTO KELIO NR. 119 MOLĖTAI–ANYKŠČIAI RUOŽO NUO 28,169 KM IKI 36,056 KM REKONSTRAVIMO TECHNINIO DARBO PROJEKTO PARENGIMAS, PROJEKTO VYKDYMO PRIEŽIŪRA IR DARBŲ ATLIKIMAS </w:t>
      </w:r>
      <w:r>
        <w:rPr>
          <w:rFonts w:ascii="Arial" w:hAnsi="Arial" w:cs="Arial"/>
          <w:b/>
          <w:bCs/>
          <w:iCs/>
          <w:sz w:val="22"/>
          <w:szCs w:val="22"/>
        </w:rPr>
        <w:t xml:space="preserve"> </w:t>
      </w:r>
    </w:p>
    <w:bookmarkEnd w:id="0"/>
    <w:p w14:paraId="64F80714" w14:textId="41979FB2"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8-08T00:00:00Z">
            <w:dateFormat w:val="yyyy-MM-dd"/>
            <w:lid w:val="lt-LT"/>
            <w:storeMappedDataAs w:val="dateTime"/>
            <w:calendar w:val="gregorian"/>
          </w:date>
        </w:sdtPr>
        <w:sdtEndPr/>
        <w:sdtContent>
          <w:r w:rsidR="0055579B">
            <w:rPr>
              <w:rFonts w:ascii="Arial" w:hAnsi="Arial" w:cs="Arial"/>
              <w:sz w:val="22"/>
              <w:szCs w:val="22"/>
            </w:rPr>
            <w:t>2025-08-08</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14CE85B8"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245008">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C033D1">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60B13DDA" w:rsidR="004B24B2" w:rsidRPr="00D97CC3" w:rsidRDefault="00C033D1"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w:t>
            </w:r>
            <w:r w:rsidR="00B3428D" w:rsidRPr="00CF7302">
              <w:rPr>
                <w:rFonts w:ascii="Arial" w:hAnsi="Arial" w:cs="Arial"/>
                <w:iCs/>
                <w:color w:val="000000" w:themeColor="text1"/>
                <w:sz w:val="22"/>
                <w:szCs w:val="22"/>
              </w:rPr>
              <w:t xml:space="preserve"> Specialiųjų pirkimo sąlygų (toliau – </w:t>
            </w:r>
            <w:r w:rsidR="00B3428D" w:rsidRPr="00CF7302">
              <w:rPr>
                <w:rFonts w:ascii="Arial" w:hAnsi="Arial" w:cs="Arial"/>
                <w:b/>
                <w:bCs/>
                <w:iCs/>
                <w:color w:val="000000" w:themeColor="text1"/>
                <w:sz w:val="22"/>
                <w:szCs w:val="22"/>
              </w:rPr>
              <w:t>SPS</w:t>
            </w:r>
            <w:r w:rsidR="00B3428D" w:rsidRPr="00CF7302">
              <w:rPr>
                <w:rFonts w:ascii="Arial" w:hAnsi="Arial" w:cs="Arial"/>
                <w:iCs/>
                <w:color w:val="000000" w:themeColor="text1"/>
                <w:sz w:val="22"/>
                <w:szCs w:val="22"/>
              </w:rPr>
              <w:t xml:space="preserve">) </w:t>
            </w:r>
            <w:r>
              <w:rPr>
                <w:rFonts w:ascii="Arial" w:eastAsiaTheme="minorHAnsi" w:hAnsi="Arial" w:cs="Arial"/>
                <w:color w:val="000000" w:themeColor="text1"/>
                <w:sz w:val="22"/>
                <w:szCs w:val="22"/>
              </w:rPr>
              <w:t>priede Nr. 11 , Techninės specifikacijos 3.18 punkte (SPS  priedas Nr.4), Sutarties projekto 103.21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D7228E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833173"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24ADA16" w:rsidR="005B73EE" w:rsidRDefault="00DD05AA" w:rsidP="005B73EE">
            <w:pPr>
              <w:rPr>
                <w:rFonts w:ascii="Arial" w:hAnsi="Arial" w:cs="Arial"/>
                <w:iCs/>
                <w:color w:val="000000" w:themeColor="text1"/>
                <w:sz w:val="22"/>
                <w:szCs w:val="22"/>
              </w:rPr>
            </w:pPr>
            <w:r w:rsidRPr="00DD05AA">
              <w:rPr>
                <w:rFonts w:ascii="Arial" w:hAnsi="Arial" w:cs="Arial"/>
                <w:b/>
                <w:bCs/>
                <w:iCs/>
                <w:sz w:val="22"/>
                <w:szCs w:val="22"/>
              </w:rPr>
              <w:t xml:space="preserve">Valstybinės reikšmės krašto kelio Nr. 119 Molėtai–Anykščiai ruožo nuo 28,169 km iki 36,056 km rekonstravimo techninio darbo projekto parengimas, projekto vykdymo priežiūra ir darbų atlikimas </w:t>
            </w:r>
            <w:r w:rsidR="0010672A">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DD05A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Pr="00C72978" w:rsidRDefault="005E724C" w:rsidP="00C72978">
            <w:pPr>
              <w:pStyle w:val="Sraopastraipa"/>
              <w:numPr>
                <w:ilvl w:val="0"/>
                <w:numId w:val="29"/>
              </w:numPr>
              <w:spacing w:before="120"/>
              <w:rPr>
                <w:rFonts w:ascii="Arial" w:hAnsi="Arial" w:cs="Arial"/>
                <w:sz w:val="22"/>
                <w:szCs w:val="22"/>
              </w:rPr>
            </w:pPr>
            <w:r w:rsidRPr="00C72978">
              <w:rPr>
                <w:rFonts w:ascii="Arial" w:hAnsi="Arial" w:cs="Arial"/>
                <w:sz w:val="22"/>
                <w:szCs w:val="22"/>
              </w:rPr>
              <w:t>Pirkimo objekto neskaidymo į dalis argumentai:</w:t>
            </w:r>
          </w:p>
          <w:p w14:paraId="5FF44F77" w14:textId="77777777" w:rsidR="00127B89" w:rsidRPr="00C72978" w:rsidRDefault="00127B89" w:rsidP="00127B89">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 xml:space="preserve">2022-01-05 buvo pasirašyta „Valstybinės reikšmės krašto kelio Nr. 119 Molėtai–Anykščiai ruožo nuo 28,169 km iki 36,056 km rekonstravimo techninio darbo projekto parengimas ir projekto vykdymo priežiūra“ (toliau – Sutartis) projektavimo paslaugų sutartis, kurios paslaugų atlikimo terminas buvo numatytas iki 2023-02-05. Tačiau projektuotojas vėlavimo vykdyti sutartinius įsipareigojimus, todėl 2025 m. sausio mėn. buvo priimtas sprendimas nutraukti sutartį, kuri 2025-04-23 teismo sprendimu buvo nutraukta, o Sutarties vykdymo metu, parengtus dokumentus pateikti prie vykdomo pirkimo kaip galimus sprendinius. </w:t>
            </w:r>
          </w:p>
          <w:p w14:paraId="4A246D70" w14:textId="3A9982F7" w:rsidR="005E724C" w:rsidRPr="00C72978" w:rsidRDefault="00127B89" w:rsidP="00127B89">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Perkant atskirai projektavimo paslaugas ir darbus, perkančiosios organizacijos vertinimu būtų neracionaliai naudotinos lėšos, kadangi didžioji dalis sprendinių yra suprojektuota ir gali būti naudojama.</w:t>
            </w:r>
          </w:p>
          <w:p w14:paraId="4E3E8809" w14:textId="2777B874" w:rsidR="00C72978" w:rsidRPr="00C72978" w:rsidRDefault="00C72978" w:rsidP="00355BE6">
            <w:pPr>
              <w:pStyle w:val="Sraopastraipa"/>
              <w:numPr>
                <w:ilvl w:val="0"/>
                <w:numId w:val="29"/>
              </w:numPr>
              <w:rPr>
                <w:rFonts w:ascii="Arial" w:eastAsia="Calibri" w:hAnsi="Arial" w:cs="Arial"/>
                <w:sz w:val="22"/>
                <w:szCs w:val="22"/>
              </w:rPr>
            </w:pPr>
            <w:r w:rsidRPr="00C72978">
              <w:rPr>
                <w:rFonts w:ascii="Arial" w:eastAsia="Calibri" w:hAnsi="Arial" w:cs="Arial"/>
                <w:bCs/>
                <w:sz w:val="22"/>
                <w:szCs w:val="22"/>
              </w:rPr>
              <w:t>Dėl</w:t>
            </w:r>
            <w:r>
              <w:rPr>
                <w:rFonts w:ascii="Arial" w:eastAsia="Calibri" w:hAnsi="Arial" w:cs="Arial"/>
                <w:bCs/>
                <w:sz w:val="22"/>
                <w:szCs w:val="22"/>
              </w:rPr>
              <w:t xml:space="preserve"> </w:t>
            </w:r>
            <w:r w:rsidRPr="00C72978">
              <w:rPr>
                <w:rFonts w:ascii="Arial" w:eastAsia="Calibri" w:hAnsi="Arial" w:cs="Arial"/>
                <w:bCs/>
                <w:sz w:val="22"/>
                <w:szCs w:val="22"/>
              </w:rPr>
              <w:t xml:space="preserve"> skaidymo į </w:t>
            </w:r>
            <w:r>
              <w:rPr>
                <w:rFonts w:ascii="Arial" w:eastAsia="Calibri" w:hAnsi="Arial" w:cs="Arial"/>
                <w:bCs/>
                <w:sz w:val="22"/>
                <w:szCs w:val="22"/>
              </w:rPr>
              <w:t xml:space="preserve"> </w:t>
            </w:r>
            <w:r w:rsidRPr="00C72978">
              <w:rPr>
                <w:rFonts w:ascii="Arial" w:eastAsia="Calibri" w:hAnsi="Arial" w:cs="Arial"/>
                <w:bCs/>
                <w:sz w:val="22"/>
                <w:szCs w:val="22"/>
              </w:rPr>
              <w:t xml:space="preserve">dalis </w:t>
            </w:r>
            <w:r>
              <w:rPr>
                <w:rFonts w:ascii="Arial" w:eastAsia="Calibri" w:hAnsi="Arial" w:cs="Arial"/>
                <w:bCs/>
                <w:sz w:val="22"/>
                <w:szCs w:val="22"/>
              </w:rPr>
              <w:t xml:space="preserve"> </w:t>
            </w:r>
            <w:r w:rsidRPr="00C72978">
              <w:rPr>
                <w:rFonts w:ascii="Arial" w:eastAsia="Calibri" w:hAnsi="Arial" w:cs="Arial"/>
                <w:bCs/>
                <w:sz w:val="22"/>
                <w:szCs w:val="22"/>
              </w:rPr>
              <w:t>pirkimo sutarties</w:t>
            </w:r>
            <w:r>
              <w:rPr>
                <w:rFonts w:ascii="Arial" w:eastAsia="Calibri" w:hAnsi="Arial" w:cs="Arial"/>
                <w:bCs/>
                <w:sz w:val="22"/>
                <w:szCs w:val="22"/>
              </w:rPr>
              <w:t xml:space="preserve"> </w:t>
            </w:r>
            <w:r w:rsidRPr="00C72978">
              <w:rPr>
                <w:rFonts w:ascii="Arial" w:eastAsia="Calibri" w:hAnsi="Arial" w:cs="Arial"/>
                <w:bCs/>
                <w:sz w:val="22"/>
                <w:szCs w:val="22"/>
              </w:rPr>
              <w:t>vykdymas</w:t>
            </w:r>
          </w:p>
          <w:p w14:paraId="7B41DC14" w14:textId="1C1DAD42" w:rsidR="00C72978" w:rsidRPr="00C72978" w:rsidRDefault="00C72978" w:rsidP="00C72978">
            <w:pPr>
              <w:rPr>
                <w:rFonts w:ascii="Arial" w:eastAsia="Calibri" w:hAnsi="Arial" w:cs="Arial"/>
                <w:sz w:val="22"/>
                <w:szCs w:val="22"/>
              </w:rPr>
            </w:pPr>
            <w:r w:rsidRPr="00C72978">
              <w:rPr>
                <w:rFonts w:ascii="Arial" w:eastAsia="Calibri" w:hAnsi="Arial" w:cs="Arial"/>
                <w:bCs/>
                <w:sz w:val="22"/>
                <w:szCs w:val="22"/>
              </w:rPr>
              <w:t>taptų sudėtingas techniniu požiūriu</w:t>
            </w:r>
            <w:r w:rsidRPr="00C72978">
              <w:rPr>
                <w:rFonts w:ascii="Arial" w:eastAsia="Calibri" w:hAnsi="Arial" w:cs="Arial"/>
                <w:sz w:val="22"/>
                <w:szCs w:val="22"/>
              </w:rPr>
              <w:t>, atliekant skirtingus darbus keliems vykdytojams būtų sudėtinga suderinti darbus tarpusavyje, organizuoti nukreipiamų automobilių eismą, o taip pat reikiamos technikos eismą į statybvietes, pasidalinti atsakomybę dėl ruožo rekonstravimo vykdymo metu kylančių rizikų (nepravažiuojamas kelias, nekokybiškai atlikti darbai, įtemptas darbų grafikas ir jo nesilaikymas ir kt.);</w:t>
            </w:r>
          </w:p>
          <w:p w14:paraId="0C1D0948" w14:textId="0137FBA0" w:rsidR="00C72978" w:rsidRPr="00C72978" w:rsidRDefault="00C72978" w:rsidP="00C72978">
            <w:pPr>
              <w:pStyle w:val="Sraopastraipa"/>
              <w:numPr>
                <w:ilvl w:val="0"/>
                <w:numId w:val="29"/>
              </w:numPr>
              <w:rPr>
                <w:rFonts w:ascii="Arial" w:eastAsia="Calibri" w:hAnsi="Arial" w:cs="Arial"/>
                <w:bCs/>
                <w:sz w:val="22"/>
                <w:szCs w:val="22"/>
              </w:rPr>
            </w:pPr>
            <w:r>
              <w:rPr>
                <w:rFonts w:ascii="Arial" w:eastAsia="Calibri" w:hAnsi="Arial" w:cs="Arial"/>
                <w:bCs/>
                <w:sz w:val="22"/>
                <w:szCs w:val="22"/>
              </w:rPr>
              <w:t>S</w:t>
            </w:r>
            <w:r w:rsidRPr="00C72978">
              <w:rPr>
                <w:rFonts w:ascii="Arial" w:eastAsia="Calibri" w:hAnsi="Arial" w:cs="Arial"/>
                <w:bCs/>
                <w:sz w:val="22"/>
                <w:szCs w:val="22"/>
              </w:rPr>
              <w:t xml:space="preserve">kirtingų </w:t>
            </w:r>
            <w:r>
              <w:rPr>
                <w:rFonts w:ascii="Arial" w:eastAsia="Calibri" w:hAnsi="Arial" w:cs="Arial"/>
                <w:bCs/>
                <w:sz w:val="22"/>
                <w:szCs w:val="22"/>
              </w:rPr>
              <w:t xml:space="preserve">   </w:t>
            </w:r>
            <w:r w:rsidRPr="00C72978">
              <w:rPr>
                <w:rFonts w:ascii="Arial" w:eastAsia="Calibri" w:hAnsi="Arial" w:cs="Arial"/>
                <w:bCs/>
                <w:sz w:val="22"/>
                <w:szCs w:val="22"/>
              </w:rPr>
              <w:t xml:space="preserve">pirkimo </w:t>
            </w:r>
            <w:r>
              <w:rPr>
                <w:rFonts w:ascii="Arial" w:eastAsia="Calibri" w:hAnsi="Arial" w:cs="Arial"/>
                <w:bCs/>
                <w:sz w:val="22"/>
                <w:szCs w:val="22"/>
              </w:rPr>
              <w:t xml:space="preserve"> </w:t>
            </w:r>
            <w:r w:rsidRPr="00C72978">
              <w:rPr>
                <w:rFonts w:ascii="Arial" w:eastAsia="Calibri" w:hAnsi="Arial" w:cs="Arial"/>
                <w:bCs/>
                <w:sz w:val="22"/>
                <w:szCs w:val="22"/>
              </w:rPr>
              <w:t>objekto</w:t>
            </w:r>
            <w:r>
              <w:rPr>
                <w:rFonts w:ascii="Arial" w:eastAsia="Calibri" w:hAnsi="Arial" w:cs="Arial"/>
                <w:bCs/>
                <w:sz w:val="22"/>
                <w:szCs w:val="22"/>
              </w:rPr>
              <w:t xml:space="preserve"> </w:t>
            </w:r>
            <w:r w:rsidRPr="00C72978">
              <w:rPr>
                <w:rFonts w:ascii="Arial" w:eastAsia="Calibri" w:hAnsi="Arial" w:cs="Arial"/>
                <w:bCs/>
                <w:sz w:val="22"/>
                <w:szCs w:val="22"/>
              </w:rPr>
              <w:t xml:space="preserve"> dalių</w:t>
            </w:r>
            <w:r>
              <w:rPr>
                <w:rFonts w:ascii="Arial" w:eastAsia="Calibri" w:hAnsi="Arial" w:cs="Arial"/>
                <w:bCs/>
                <w:sz w:val="22"/>
                <w:szCs w:val="22"/>
              </w:rPr>
              <w:t xml:space="preserve">  </w:t>
            </w:r>
            <w:r w:rsidRPr="00C72978">
              <w:rPr>
                <w:rFonts w:ascii="Arial" w:eastAsia="Calibri" w:hAnsi="Arial" w:cs="Arial"/>
                <w:bCs/>
                <w:sz w:val="22"/>
                <w:szCs w:val="22"/>
              </w:rPr>
              <w:t xml:space="preserve"> įgyvendinimas</w:t>
            </w:r>
          </w:p>
          <w:p w14:paraId="62C7D322" w14:textId="492AB112" w:rsidR="00C72978" w:rsidRPr="00C72978" w:rsidRDefault="00C72978" w:rsidP="00C72978">
            <w:pPr>
              <w:rPr>
                <w:rFonts w:ascii="Arial" w:eastAsia="Calibri" w:hAnsi="Arial" w:cs="Arial"/>
                <w:sz w:val="22"/>
                <w:szCs w:val="22"/>
              </w:rPr>
            </w:pPr>
            <w:r w:rsidRPr="00C72978">
              <w:rPr>
                <w:rFonts w:ascii="Arial" w:eastAsia="Calibri" w:hAnsi="Arial" w:cs="Arial"/>
                <w:bCs/>
                <w:sz w:val="22"/>
                <w:szCs w:val="22"/>
              </w:rPr>
              <w:lastRenderedPageBreak/>
              <w:t>būtų techniškai glaudžiai susijęs ir dėl to perkančiajai organizacijai atsirastų būtinybė koordinuoti šių dalių rangovus ir tai keltų riziką netinkamai įvykdyti pirkimo sutartį.</w:t>
            </w:r>
            <w:r w:rsidRPr="00C72978">
              <w:rPr>
                <w:rFonts w:ascii="Arial" w:eastAsia="Calibri" w:hAnsi="Arial" w:cs="Arial"/>
                <w:b/>
                <w:sz w:val="22"/>
                <w:szCs w:val="22"/>
              </w:rPr>
              <w:t xml:space="preserve"> </w:t>
            </w:r>
            <w:r w:rsidRPr="00C72978">
              <w:rPr>
                <w:rFonts w:ascii="Arial" w:eastAsia="Calibri" w:hAnsi="Arial" w:cs="Arial"/>
                <w:sz w:val="22"/>
                <w:szCs w:val="22"/>
              </w:rPr>
              <w:t>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4C44885" w14:textId="5FAB70BB" w:rsidR="00C72978" w:rsidRDefault="00C72978" w:rsidP="00C72978">
            <w:pPr>
              <w:pStyle w:val="Sraopastraipa"/>
              <w:numPr>
                <w:ilvl w:val="0"/>
                <w:numId w:val="29"/>
              </w:numPr>
              <w:rPr>
                <w:rFonts w:ascii="Arial" w:hAnsi="Arial" w:cs="Arial"/>
                <w:sz w:val="22"/>
                <w:szCs w:val="22"/>
              </w:rPr>
            </w:pPr>
            <w:r w:rsidRPr="00C72978">
              <w:rPr>
                <w:rFonts w:ascii="Arial" w:hAnsi="Arial" w:cs="Arial"/>
                <w:sz w:val="22"/>
                <w:szCs w:val="22"/>
              </w:rPr>
              <w:t xml:space="preserve">Skaidyti </w:t>
            </w:r>
            <w:r>
              <w:rPr>
                <w:rFonts w:ascii="Arial" w:hAnsi="Arial" w:cs="Arial"/>
                <w:sz w:val="22"/>
                <w:szCs w:val="22"/>
              </w:rPr>
              <w:t xml:space="preserve">  </w:t>
            </w:r>
            <w:r w:rsidRPr="00C72978">
              <w:rPr>
                <w:rFonts w:ascii="Arial" w:hAnsi="Arial" w:cs="Arial"/>
                <w:sz w:val="22"/>
                <w:szCs w:val="22"/>
              </w:rPr>
              <w:t xml:space="preserve">pirkimo </w:t>
            </w:r>
            <w:r>
              <w:rPr>
                <w:rFonts w:ascii="Arial" w:hAnsi="Arial" w:cs="Arial"/>
                <w:sz w:val="22"/>
                <w:szCs w:val="22"/>
              </w:rPr>
              <w:t xml:space="preserve">  </w:t>
            </w:r>
            <w:r w:rsidRPr="00C72978">
              <w:rPr>
                <w:rFonts w:ascii="Arial" w:hAnsi="Arial" w:cs="Arial"/>
                <w:sz w:val="22"/>
                <w:szCs w:val="22"/>
              </w:rPr>
              <w:t>objektą</w:t>
            </w:r>
            <w:r>
              <w:rPr>
                <w:rFonts w:ascii="Arial" w:hAnsi="Arial" w:cs="Arial"/>
                <w:sz w:val="22"/>
                <w:szCs w:val="22"/>
              </w:rPr>
              <w:t xml:space="preserve">  </w:t>
            </w:r>
            <w:r w:rsidRPr="00C72978">
              <w:rPr>
                <w:rFonts w:ascii="Arial" w:hAnsi="Arial" w:cs="Arial"/>
                <w:sz w:val="22"/>
                <w:szCs w:val="22"/>
              </w:rPr>
              <w:t xml:space="preserve"> į </w:t>
            </w:r>
            <w:r>
              <w:rPr>
                <w:rFonts w:ascii="Arial" w:hAnsi="Arial" w:cs="Arial"/>
                <w:sz w:val="22"/>
                <w:szCs w:val="22"/>
              </w:rPr>
              <w:t xml:space="preserve">  </w:t>
            </w:r>
            <w:r w:rsidRPr="00C72978">
              <w:rPr>
                <w:rFonts w:ascii="Arial" w:hAnsi="Arial" w:cs="Arial"/>
                <w:sz w:val="22"/>
                <w:szCs w:val="22"/>
              </w:rPr>
              <w:t>mažesnes</w:t>
            </w:r>
            <w:r>
              <w:rPr>
                <w:rFonts w:ascii="Arial" w:hAnsi="Arial" w:cs="Arial"/>
                <w:sz w:val="22"/>
                <w:szCs w:val="22"/>
              </w:rPr>
              <w:t xml:space="preserve">  </w:t>
            </w:r>
            <w:r w:rsidRPr="00C72978">
              <w:rPr>
                <w:rFonts w:ascii="Arial" w:hAnsi="Arial" w:cs="Arial"/>
                <w:sz w:val="22"/>
                <w:szCs w:val="22"/>
              </w:rPr>
              <w:t xml:space="preserve"> dalis</w:t>
            </w:r>
          </w:p>
          <w:p w14:paraId="1EBCD55C" w14:textId="6BA6CB4F" w:rsidR="00C72978" w:rsidRPr="00C72978" w:rsidRDefault="00C72978" w:rsidP="00C72978">
            <w:pPr>
              <w:rPr>
                <w:rFonts w:ascii="Arial" w:hAnsi="Arial" w:cs="Arial"/>
                <w:sz w:val="22"/>
                <w:szCs w:val="22"/>
              </w:rPr>
            </w:pPr>
            <w:r w:rsidRPr="00C72978">
              <w:rPr>
                <w:rFonts w:ascii="Arial" w:hAnsi="Arial" w:cs="Arial"/>
                <w:sz w:val="22"/>
                <w:szCs w:val="22"/>
              </w:rPr>
              <w:t>(trumpesnius ruožus) yra netikslinga dėl darbų atlikimo technologijos ypatumų</w:t>
            </w:r>
            <w:r w:rsidRPr="00C72978">
              <w:rPr>
                <w:rFonts w:ascii="Arial" w:hAnsi="Arial" w:cs="Arial"/>
                <w:b/>
                <w:bCs/>
                <w:sz w:val="22"/>
                <w:szCs w:val="22"/>
              </w:rPr>
              <w:t>.</w:t>
            </w:r>
            <w:r w:rsidRPr="00C72978">
              <w:rPr>
                <w:rFonts w:ascii="Arial" w:hAnsi="Arial" w:cs="Arial"/>
                <w:sz w:val="22"/>
                <w:szCs w:val="22"/>
              </w:rPr>
              <w:t xml:space="preserve">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2BF43279" w14:textId="078E55B3" w:rsidR="004B24B2" w:rsidRPr="00C72978" w:rsidRDefault="004B24B2" w:rsidP="005E724C">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4DD38DC0" w:rsidR="004B24B2" w:rsidRPr="00130880" w:rsidRDefault="00833173"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C72978">
                  <w:rPr>
                    <w:rStyle w:val="Vietosrezervavimoenklotekstas"/>
                    <w:rFonts w:ascii="Arial" w:hAnsi="Arial" w:cs="Arial"/>
                    <w:color w:val="auto"/>
                    <w:sz w:val="22"/>
                    <w:szCs w:val="22"/>
                  </w:rPr>
                  <w:t>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7FB5F1EB" w:rsidR="007423D0" w:rsidRPr="009236F0" w:rsidRDefault="009236F0" w:rsidP="004B24B2">
            <w:pPr>
              <w:pStyle w:val="Pagrindinistekstas"/>
              <w:suppressAutoHyphens/>
              <w:ind w:firstLine="0"/>
              <w:rPr>
                <w:rFonts w:ascii="Arial" w:hAnsi="Arial" w:cs="Arial"/>
                <w:sz w:val="22"/>
                <w:szCs w:val="22"/>
              </w:rPr>
            </w:pPr>
            <w:r w:rsidRPr="009236F0">
              <w:rPr>
                <w:rFonts w:ascii="Arial" w:hAnsi="Arial" w:cs="Arial"/>
                <w:color w:val="000000" w:themeColor="text1"/>
                <w:sz w:val="22"/>
                <w:szCs w:val="22"/>
                <w:shd w:val="clear" w:color="auto" w:fill="E6E6E6"/>
              </w:rPr>
              <w:t>Reikalavimai pateikti kartu su Technine užduotimi (SPS priedas Nr.4)</w:t>
            </w: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lastRenderedPageBreak/>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w:t>
            </w:r>
            <w:proofErr w:type="spellStart"/>
            <w:r w:rsidRPr="00AD0C52">
              <w:rPr>
                <w:rFonts w:ascii="Arial" w:hAnsi="Arial" w:cs="Arial"/>
                <w:bCs/>
                <w:sz w:val="22"/>
                <w:szCs w:val="22"/>
              </w:rPr>
              <w:t>kvazisubtiekėjų</w:t>
            </w:r>
            <w:proofErr w:type="spellEnd"/>
            <w:r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833173"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5E3B908F" w14:textId="77777777" w:rsidR="00013C83" w:rsidRDefault="00013C83" w:rsidP="00013C83">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2E25A86C" w14:textId="77777777" w:rsidR="00013C83" w:rsidRDefault="00013C83" w:rsidP="00013C83">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75BB1557" w14:textId="77777777" w:rsidR="00013C83" w:rsidRDefault="00013C83" w:rsidP="00013C83">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252EB034" w14:textId="77777777" w:rsidR="00013C83" w:rsidRDefault="00013C83" w:rsidP="00013C83">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B2A8FA3" w14:textId="77777777" w:rsidR="00013C83" w:rsidRDefault="00013C83" w:rsidP="00013C83">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7AD52465" w14:textId="77777777" w:rsidR="00013C83" w:rsidRDefault="00013C83" w:rsidP="00013C83">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7C8B565E" w14:textId="77777777" w:rsidR="00AC1601" w:rsidRPr="00AC1601" w:rsidRDefault="00AC1601" w:rsidP="00AC1601">
      <w:pPr>
        <w:rPr>
          <w:rFonts w:ascii="Arial" w:hAnsi="Arial" w:cs="Arial"/>
          <w:sz w:val="22"/>
          <w:szCs w:val="22"/>
        </w:rPr>
      </w:pPr>
      <w:r w:rsidRPr="00AC1601">
        <w:rPr>
          <w:rFonts w:ascii="Arial" w:hAnsi="Arial" w:cs="Arial"/>
          <w:sz w:val="22"/>
          <w:szCs w:val="22"/>
        </w:rPr>
        <w:t xml:space="preserve">16 priedas. Darbų ir su darbais susijusių paslaugų grafikas ir pinigų srautų prognozė (pridedama atskiru priedu)  </w:t>
      </w:r>
    </w:p>
    <w:p w14:paraId="087D6151" w14:textId="77777777" w:rsidR="00AC1601" w:rsidRPr="00AC1601" w:rsidRDefault="00AC1601" w:rsidP="00AC1601">
      <w:pPr>
        <w:rPr>
          <w:rFonts w:ascii="Arial" w:hAnsi="Arial" w:cs="Arial"/>
          <w:sz w:val="22"/>
          <w:szCs w:val="22"/>
        </w:rPr>
      </w:pPr>
      <w:r w:rsidRPr="00AC1601">
        <w:rPr>
          <w:rFonts w:ascii="Arial" w:hAnsi="Arial" w:cs="Arial"/>
          <w:sz w:val="22"/>
          <w:szCs w:val="22"/>
        </w:rPr>
        <w:t>17 priedas. Sutikimas dėl konfidencialios informacijos pateikimo (pridedamas atskiru priedu)</w:t>
      </w:r>
    </w:p>
    <w:p w14:paraId="4D0B1BFE" w14:textId="77777777" w:rsidR="00AC1601" w:rsidRPr="00AC1601" w:rsidRDefault="00AC1601" w:rsidP="00AC1601">
      <w:pPr>
        <w:rPr>
          <w:rFonts w:ascii="Arial" w:hAnsi="Arial" w:cs="Arial"/>
          <w:sz w:val="22"/>
          <w:szCs w:val="22"/>
        </w:rPr>
      </w:pPr>
      <w:r w:rsidRPr="00AC1601">
        <w:rPr>
          <w:rFonts w:ascii="Arial" w:hAnsi="Arial" w:cs="Arial"/>
          <w:sz w:val="22"/>
          <w:szCs w:val="22"/>
        </w:rPr>
        <w:t>18 priedas. Garantinių įsipareigojimų įvykdymo užtikrinimo formos (pridedama atskiru priedu)</w:t>
      </w:r>
    </w:p>
    <w:p w14:paraId="3E3DC8A0" w14:textId="77777777" w:rsidR="00AC1601" w:rsidRPr="00AC1601" w:rsidRDefault="00AC1601" w:rsidP="00AC1601">
      <w:pPr>
        <w:rPr>
          <w:rFonts w:ascii="Arial" w:hAnsi="Arial" w:cs="Arial"/>
          <w:sz w:val="22"/>
          <w:szCs w:val="22"/>
        </w:rPr>
      </w:pPr>
      <w:r w:rsidRPr="00AC1601">
        <w:rPr>
          <w:rFonts w:ascii="Arial" w:hAnsi="Arial" w:cs="Arial"/>
          <w:sz w:val="22"/>
          <w:szCs w:val="22"/>
        </w:rPr>
        <w:t>19 priedas. Informacija apie apribojimus valstybinės reikšmės keliuose (pridedama atskiru priedu)</w:t>
      </w:r>
    </w:p>
    <w:p w14:paraId="6346646F" w14:textId="77777777" w:rsidR="00AC1601" w:rsidRPr="00AC1601" w:rsidRDefault="00AC1601" w:rsidP="00AC1601">
      <w:pPr>
        <w:rPr>
          <w:rFonts w:ascii="Arial" w:hAnsi="Arial" w:cs="Arial"/>
          <w:b/>
          <w:bCs/>
          <w:sz w:val="22"/>
          <w:szCs w:val="22"/>
        </w:rPr>
      </w:pPr>
      <w:r w:rsidRPr="00AC1601">
        <w:rPr>
          <w:rFonts w:ascii="Arial" w:hAnsi="Arial" w:cs="Arial"/>
          <w:sz w:val="22"/>
          <w:szCs w:val="22"/>
        </w:rPr>
        <w:t>20 priedas. Avanso grąžinimo dokumentų formos (pridedama atskiru priedu)</w:t>
      </w:r>
    </w:p>
    <w:p w14:paraId="1E87ED03" w14:textId="77777777" w:rsidR="00AC1601" w:rsidRPr="00AC1601" w:rsidRDefault="00AC1601" w:rsidP="00AC1601">
      <w:pPr>
        <w:rPr>
          <w:rFonts w:ascii="Arial" w:hAnsi="Arial" w:cs="Arial"/>
          <w:sz w:val="22"/>
          <w:szCs w:val="22"/>
        </w:rPr>
      </w:pPr>
      <w:r w:rsidRPr="00AC1601">
        <w:rPr>
          <w:rFonts w:ascii="Arial" w:hAnsi="Arial" w:cs="Arial"/>
          <w:sz w:val="22"/>
          <w:szCs w:val="22"/>
        </w:rPr>
        <w:t>21 priedas. Darbų ir su darbais susijusių paslaugų grafiko ataskaita (pridedama atskiru priedu)</w:t>
      </w:r>
    </w:p>
    <w:p w14:paraId="5F9C5B23" w14:textId="77777777" w:rsidR="00AC1601" w:rsidRPr="00AC1601" w:rsidRDefault="00AC1601" w:rsidP="00AC1601">
      <w:pPr>
        <w:rPr>
          <w:rFonts w:ascii="Arial" w:hAnsi="Arial" w:cs="Arial"/>
          <w:sz w:val="22"/>
          <w:szCs w:val="22"/>
        </w:rPr>
      </w:pPr>
      <w:r w:rsidRPr="00AC1601">
        <w:rPr>
          <w:rFonts w:ascii="Arial" w:hAnsi="Arial" w:cs="Arial"/>
          <w:sz w:val="22"/>
          <w:szCs w:val="22"/>
        </w:rPr>
        <w:t>22 priedas. Planuojamų išlaidų, reikalingų vykdyti atsiskaitymams su rangovu pagal sutartį, grafiko ataskaita (pridedama atskiru priedu)</w:t>
      </w:r>
    </w:p>
    <w:p w14:paraId="0C613FC2" w14:textId="77777777" w:rsidR="00AC1601" w:rsidRPr="00AC1601" w:rsidRDefault="00AC1601" w:rsidP="00AC1601">
      <w:pPr>
        <w:rPr>
          <w:rFonts w:ascii="Arial" w:hAnsi="Arial" w:cs="Arial"/>
          <w:sz w:val="22"/>
          <w:szCs w:val="22"/>
        </w:rPr>
      </w:pPr>
      <w:r w:rsidRPr="00AC1601">
        <w:rPr>
          <w:rFonts w:ascii="Arial" w:hAnsi="Arial" w:cs="Arial"/>
          <w:sz w:val="22"/>
          <w:szCs w:val="22"/>
        </w:rPr>
        <w:t>23 priedas. Pasiūlymų vertinimo kriterijai (kainos ir kokybės santykis) ir jų vertinimo tvarka (pridedama atskiru priedu)</w:t>
      </w:r>
    </w:p>
    <w:p w14:paraId="79351FE0" w14:textId="77777777" w:rsidR="00013C83" w:rsidRDefault="00013C83" w:rsidP="00013C83">
      <w:pPr>
        <w:pStyle w:val="Pagrindinistekstas"/>
        <w:ind w:firstLine="0"/>
        <w:rPr>
          <w:rFonts w:ascii="Arial" w:hAnsi="Arial" w:cs="Arial"/>
          <w:color w:val="C00000"/>
          <w:sz w:val="22"/>
          <w:szCs w:val="22"/>
        </w:rPr>
      </w:pPr>
    </w:p>
    <w:p w14:paraId="0614D867" w14:textId="77777777" w:rsidR="00013C83" w:rsidRDefault="00013C83" w:rsidP="00013C83">
      <w:pPr>
        <w:pStyle w:val="Pagrindinistekstas"/>
        <w:ind w:firstLine="0"/>
        <w:rPr>
          <w:rFonts w:ascii="Arial" w:hAnsi="Arial" w:cs="Arial"/>
          <w:color w:val="C00000"/>
          <w:sz w:val="22"/>
          <w:szCs w:val="22"/>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0B432A59" w14:textId="77777777" w:rsidR="00696FA2" w:rsidRDefault="00696FA2" w:rsidP="00A85C07">
      <w:pPr>
        <w:pStyle w:val="Sraopastraipa"/>
        <w:suppressAutoHyphens/>
        <w:ind w:left="360"/>
        <w:jc w:val="right"/>
        <w:rPr>
          <w:rFonts w:ascii="Arial" w:hAnsi="Arial" w:cs="Arial"/>
          <w:sz w:val="22"/>
          <w:szCs w:val="22"/>
        </w:rPr>
      </w:pPr>
    </w:p>
    <w:p w14:paraId="15C069D9" w14:textId="77777777" w:rsidR="00696FA2" w:rsidRDefault="00696FA2" w:rsidP="00A85C07">
      <w:pPr>
        <w:pStyle w:val="Sraopastraipa"/>
        <w:suppressAutoHyphens/>
        <w:ind w:left="360"/>
        <w:jc w:val="right"/>
        <w:rPr>
          <w:rFonts w:ascii="Arial" w:hAnsi="Arial" w:cs="Arial"/>
          <w:sz w:val="22"/>
          <w:szCs w:val="22"/>
        </w:rPr>
      </w:pPr>
    </w:p>
    <w:p w14:paraId="296A9181" w14:textId="77777777" w:rsidR="00696FA2" w:rsidRDefault="00696FA2" w:rsidP="00A85C07">
      <w:pPr>
        <w:pStyle w:val="Sraopastraipa"/>
        <w:suppressAutoHyphens/>
        <w:ind w:left="360"/>
        <w:jc w:val="right"/>
        <w:rPr>
          <w:rFonts w:ascii="Arial" w:hAnsi="Arial" w:cs="Arial"/>
          <w:sz w:val="22"/>
          <w:szCs w:val="22"/>
        </w:rPr>
      </w:pPr>
    </w:p>
    <w:p w14:paraId="183275F1" w14:textId="77777777" w:rsidR="00696FA2" w:rsidRDefault="00696FA2" w:rsidP="00A85C07">
      <w:pPr>
        <w:pStyle w:val="Sraopastraipa"/>
        <w:suppressAutoHyphens/>
        <w:ind w:left="360"/>
        <w:jc w:val="right"/>
        <w:rPr>
          <w:rFonts w:ascii="Arial" w:hAnsi="Arial" w:cs="Arial"/>
          <w:sz w:val="22"/>
          <w:szCs w:val="22"/>
        </w:rPr>
      </w:pPr>
    </w:p>
    <w:p w14:paraId="49FBF81B" w14:textId="77777777" w:rsidR="00696FA2" w:rsidRDefault="00696FA2" w:rsidP="00A85C07">
      <w:pPr>
        <w:pStyle w:val="Sraopastraipa"/>
        <w:suppressAutoHyphens/>
        <w:ind w:left="360"/>
        <w:jc w:val="right"/>
        <w:rPr>
          <w:rFonts w:ascii="Arial" w:hAnsi="Arial" w:cs="Arial"/>
          <w:sz w:val="22"/>
          <w:szCs w:val="22"/>
        </w:rPr>
      </w:pPr>
    </w:p>
    <w:p w14:paraId="175CD92B" w14:textId="77777777" w:rsidR="00696FA2" w:rsidRDefault="00696FA2" w:rsidP="00A85C07">
      <w:pPr>
        <w:pStyle w:val="Sraopastraipa"/>
        <w:suppressAutoHyphens/>
        <w:ind w:left="360"/>
        <w:jc w:val="right"/>
        <w:rPr>
          <w:rFonts w:ascii="Arial" w:hAnsi="Arial" w:cs="Arial"/>
          <w:sz w:val="22"/>
          <w:szCs w:val="22"/>
        </w:rPr>
      </w:pPr>
    </w:p>
    <w:p w14:paraId="166742AF" w14:textId="77777777" w:rsidR="00696FA2" w:rsidRDefault="00696FA2" w:rsidP="00A85C07">
      <w:pPr>
        <w:pStyle w:val="Sraopastraipa"/>
        <w:suppressAutoHyphens/>
        <w:ind w:left="360"/>
        <w:jc w:val="right"/>
        <w:rPr>
          <w:rFonts w:ascii="Arial" w:hAnsi="Arial" w:cs="Arial"/>
          <w:sz w:val="22"/>
          <w:szCs w:val="22"/>
        </w:rPr>
      </w:pPr>
    </w:p>
    <w:p w14:paraId="522D5860" w14:textId="77777777" w:rsidR="00696FA2" w:rsidRDefault="00696FA2" w:rsidP="00A85C07">
      <w:pPr>
        <w:pStyle w:val="Sraopastraipa"/>
        <w:suppressAutoHyphens/>
        <w:ind w:left="360"/>
        <w:jc w:val="right"/>
        <w:rPr>
          <w:rFonts w:ascii="Arial" w:hAnsi="Arial" w:cs="Arial"/>
          <w:sz w:val="22"/>
          <w:szCs w:val="22"/>
        </w:rPr>
      </w:pPr>
    </w:p>
    <w:p w14:paraId="25C3AAF3" w14:textId="77777777" w:rsidR="00696FA2" w:rsidRDefault="00696FA2" w:rsidP="00A85C07">
      <w:pPr>
        <w:pStyle w:val="Sraopastraipa"/>
        <w:suppressAutoHyphens/>
        <w:ind w:left="360"/>
        <w:jc w:val="right"/>
        <w:rPr>
          <w:rFonts w:ascii="Arial" w:hAnsi="Arial" w:cs="Arial"/>
          <w:sz w:val="22"/>
          <w:szCs w:val="22"/>
        </w:rPr>
      </w:pPr>
    </w:p>
    <w:p w14:paraId="3920ED63" w14:textId="77777777" w:rsidR="00696FA2" w:rsidRDefault="00696FA2" w:rsidP="00A85C07">
      <w:pPr>
        <w:pStyle w:val="Sraopastraipa"/>
        <w:suppressAutoHyphens/>
        <w:ind w:left="360"/>
        <w:jc w:val="right"/>
        <w:rPr>
          <w:rFonts w:ascii="Arial" w:hAnsi="Arial" w:cs="Arial"/>
          <w:sz w:val="22"/>
          <w:szCs w:val="22"/>
        </w:rPr>
      </w:pPr>
    </w:p>
    <w:p w14:paraId="0C4F60CA" w14:textId="77777777" w:rsidR="00696FA2" w:rsidRDefault="00696FA2" w:rsidP="00A85C07">
      <w:pPr>
        <w:pStyle w:val="Sraopastraipa"/>
        <w:suppressAutoHyphens/>
        <w:ind w:left="360"/>
        <w:jc w:val="right"/>
        <w:rPr>
          <w:rFonts w:ascii="Arial" w:hAnsi="Arial" w:cs="Arial"/>
          <w:sz w:val="22"/>
          <w:szCs w:val="22"/>
        </w:rPr>
      </w:pPr>
    </w:p>
    <w:p w14:paraId="3E030AA6" w14:textId="77777777" w:rsidR="00696FA2" w:rsidRDefault="00696FA2" w:rsidP="00A85C07">
      <w:pPr>
        <w:pStyle w:val="Sraopastraipa"/>
        <w:suppressAutoHyphens/>
        <w:ind w:left="360"/>
        <w:jc w:val="right"/>
        <w:rPr>
          <w:rFonts w:ascii="Arial" w:hAnsi="Arial" w:cs="Arial"/>
          <w:sz w:val="22"/>
          <w:szCs w:val="22"/>
        </w:rPr>
      </w:pPr>
    </w:p>
    <w:p w14:paraId="735369B3" w14:textId="77777777" w:rsidR="00696FA2" w:rsidRDefault="00696FA2" w:rsidP="00A85C07">
      <w:pPr>
        <w:pStyle w:val="Sraopastraipa"/>
        <w:suppressAutoHyphens/>
        <w:ind w:left="360"/>
        <w:jc w:val="right"/>
        <w:rPr>
          <w:rFonts w:ascii="Arial" w:hAnsi="Arial" w:cs="Arial"/>
          <w:sz w:val="22"/>
          <w:szCs w:val="22"/>
        </w:rPr>
      </w:pPr>
    </w:p>
    <w:p w14:paraId="5A37FD4D" w14:textId="77777777" w:rsidR="00696FA2" w:rsidRDefault="00696FA2" w:rsidP="00A85C07">
      <w:pPr>
        <w:pStyle w:val="Sraopastraipa"/>
        <w:suppressAutoHyphens/>
        <w:ind w:left="360"/>
        <w:jc w:val="right"/>
        <w:rPr>
          <w:rFonts w:ascii="Arial" w:hAnsi="Arial" w:cs="Arial"/>
          <w:sz w:val="22"/>
          <w:szCs w:val="22"/>
        </w:rPr>
      </w:pPr>
    </w:p>
    <w:p w14:paraId="002AFCBB" w14:textId="77777777" w:rsidR="00696FA2" w:rsidRDefault="00696FA2" w:rsidP="00A85C07">
      <w:pPr>
        <w:pStyle w:val="Sraopastraipa"/>
        <w:suppressAutoHyphens/>
        <w:ind w:left="360"/>
        <w:jc w:val="right"/>
        <w:rPr>
          <w:rFonts w:ascii="Arial" w:hAnsi="Arial" w:cs="Arial"/>
          <w:sz w:val="22"/>
          <w:szCs w:val="22"/>
        </w:rPr>
      </w:pPr>
    </w:p>
    <w:p w14:paraId="6585C630" w14:textId="77777777" w:rsidR="00696FA2" w:rsidRDefault="00696FA2" w:rsidP="00A85C07">
      <w:pPr>
        <w:pStyle w:val="Sraopastraipa"/>
        <w:suppressAutoHyphens/>
        <w:ind w:left="360"/>
        <w:jc w:val="right"/>
        <w:rPr>
          <w:rFonts w:ascii="Arial" w:hAnsi="Arial" w:cs="Arial"/>
          <w:sz w:val="22"/>
          <w:szCs w:val="22"/>
        </w:rPr>
      </w:pPr>
    </w:p>
    <w:p w14:paraId="21034E41" w14:textId="77777777" w:rsidR="00696FA2" w:rsidRDefault="00696FA2" w:rsidP="00A85C07">
      <w:pPr>
        <w:pStyle w:val="Sraopastraipa"/>
        <w:suppressAutoHyphens/>
        <w:ind w:left="360"/>
        <w:jc w:val="right"/>
        <w:rPr>
          <w:rFonts w:ascii="Arial" w:hAnsi="Arial" w:cs="Arial"/>
          <w:sz w:val="22"/>
          <w:szCs w:val="22"/>
        </w:rPr>
      </w:pPr>
    </w:p>
    <w:p w14:paraId="563CA2BE" w14:textId="77777777" w:rsidR="00696FA2" w:rsidRDefault="00696FA2" w:rsidP="00A85C07">
      <w:pPr>
        <w:pStyle w:val="Sraopastraipa"/>
        <w:suppressAutoHyphens/>
        <w:ind w:left="360"/>
        <w:jc w:val="right"/>
        <w:rPr>
          <w:rFonts w:ascii="Arial" w:hAnsi="Arial" w:cs="Arial"/>
          <w:sz w:val="22"/>
          <w:szCs w:val="22"/>
        </w:rPr>
      </w:pPr>
    </w:p>
    <w:p w14:paraId="7152DA4F" w14:textId="77777777" w:rsidR="00696FA2" w:rsidRDefault="00696FA2" w:rsidP="00A85C07">
      <w:pPr>
        <w:pStyle w:val="Sraopastraipa"/>
        <w:suppressAutoHyphens/>
        <w:ind w:left="360"/>
        <w:jc w:val="right"/>
        <w:rPr>
          <w:rFonts w:ascii="Arial" w:hAnsi="Arial" w:cs="Arial"/>
          <w:sz w:val="22"/>
          <w:szCs w:val="22"/>
        </w:rPr>
      </w:pPr>
    </w:p>
    <w:p w14:paraId="6D79DD5A" w14:textId="77777777" w:rsidR="00696FA2" w:rsidRDefault="00696FA2" w:rsidP="00A85C07">
      <w:pPr>
        <w:pStyle w:val="Sraopastraipa"/>
        <w:suppressAutoHyphens/>
        <w:ind w:left="360"/>
        <w:jc w:val="right"/>
        <w:rPr>
          <w:rFonts w:ascii="Arial" w:hAnsi="Arial" w:cs="Arial"/>
          <w:sz w:val="22"/>
          <w:szCs w:val="22"/>
        </w:rPr>
      </w:pPr>
    </w:p>
    <w:p w14:paraId="3175813B" w14:textId="77777777" w:rsidR="00696FA2" w:rsidRDefault="00696FA2" w:rsidP="00A85C07">
      <w:pPr>
        <w:pStyle w:val="Sraopastraipa"/>
        <w:suppressAutoHyphens/>
        <w:ind w:left="360"/>
        <w:jc w:val="right"/>
        <w:rPr>
          <w:rFonts w:ascii="Arial" w:hAnsi="Arial" w:cs="Arial"/>
          <w:sz w:val="22"/>
          <w:szCs w:val="22"/>
        </w:rPr>
      </w:pPr>
    </w:p>
    <w:p w14:paraId="7F02E1FF" w14:textId="77777777" w:rsidR="00696FA2" w:rsidRDefault="00696FA2" w:rsidP="00A85C07">
      <w:pPr>
        <w:pStyle w:val="Sraopastraipa"/>
        <w:suppressAutoHyphens/>
        <w:ind w:left="360"/>
        <w:jc w:val="right"/>
        <w:rPr>
          <w:rFonts w:ascii="Arial" w:hAnsi="Arial" w:cs="Arial"/>
          <w:sz w:val="22"/>
          <w:szCs w:val="22"/>
        </w:rPr>
      </w:pPr>
    </w:p>
    <w:p w14:paraId="4BC737E9" w14:textId="77777777" w:rsidR="00696FA2" w:rsidRDefault="00696FA2" w:rsidP="00A85C07">
      <w:pPr>
        <w:pStyle w:val="Sraopastraipa"/>
        <w:suppressAutoHyphens/>
        <w:ind w:left="360"/>
        <w:jc w:val="right"/>
        <w:rPr>
          <w:rFonts w:ascii="Arial" w:hAnsi="Arial" w:cs="Arial"/>
          <w:sz w:val="22"/>
          <w:szCs w:val="22"/>
        </w:rPr>
      </w:pPr>
    </w:p>
    <w:p w14:paraId="2C5AC375" w14:textId="77777777" w:rsidR="00696FA2" w:rsidRDefault="00696FA2" w:rsidP="00A85C07">
      <w:pPr>
        <w:pStyle w:val="Sraopastraipa"/>
        <w:suppressAutoHyphens/>
        <w:ind w:left="360"/>
        <w:jc w:val="right"/>
        <w:rPr>
          <w:rFonts w:ascii="Arial" w:hAnsi="Arial" w:cs="Arial"/>
          <w:sz w:val="22"/>
          <w:szCs w:val="22"/>
        </w:rPr>
      </w:pPr>
    </w:p>
    <w:p w14:paraId="464380AC" w14:textId="77777777" w:rsidR="00696FA2" w:rsidRDefault="00696FA2" w:rsidP="00A85C07">
      <w:pPr>
        <w:pStyle w:val="Sraopastraipa"/>
        <w:suppressAutoHyphens/>
        <w:ind w:left="360"/>
        <w:jc w:val="right"/>
        <w:rPr>
          <w:rFonts w:ascii="Arial" w:hAnsi="Arial" w:cs="Arial"/>
          <w:sz w:val="22"/>
          <w:szCs w:val="22"/>
        </w:rPr>
      </w:pPr>
    </w:p>
    <w:p w14:paraId="33CE486C" w14:textId="77777777" w:rsidR="00696FA2" w:rsidRDefault="00696FA2" w:rsidP="00A85C07">
      <w:pPr>
        <w:pStyle w:val="Sraopastraipa"/>
        <w:suppressAutoHyphens/>
        <w:ind w:left="360"/>
        <w:jc w:val="right"/>
        <w:rPr>
          <w:rFonts w:ascii="Arial" w:hAnsi="Arial" w:cs="Arial"/>
          <w:sz w:val="22"/>
          <w:szCs w:val="22"/>
        </w:rPr>
      </w:pPr>
    </w:p>
    <w:p w14:paraId="70FFBAE1" w14:textId="77777777" w:rsidR="00696FA2" w:rsidRDefault="00696FA2" w:rsidP="00A85C07">
      <w:pPr>
        <w:pStyle w:val="Sraopastraipa"/>
        <w:suppressAutoHyphens/>
        <w:ind w:left="360"/>
        <w:jc w:val="right"/>
        <w:rPr>
          <w:rFonts w:ascii="Arial" w:hAnsi="Arial" w:cs="Arial"/>
          <w:sz w:val="22"/>
          <w:szCs w:val="22"/>
        </w:rPr>
      </w:pPr>
    </w:p>
    <w:p w14:paraId="317D819E" w14:textId="77777777" w:rsidR="00696FA2" w:rsidRDefault="00696FA2" w:rsidP="00A85C07">
      <w:pPr>
        <w:pStyle w:val="Sraopastraipa"/>
        <w:suppressAutoHyphens/>
        <w:ind w:left="360"/>
        <w:jc w:val="right"/>
        <w:rPr>
          <w:rFonts w:ascii="Arial" w:hAnsi="Arial" w:cs="Arial"/>
          <w:sz w:val="22"/>
          <w:szCs w:val="22"/>
        </w:rPr>
      </w:pPr>
    </w:p>
    <w:p w14:paraId="2468FE23" w14:textId="77777777" w:rsidR="00696FA2" w:rsidRDefault="00696FA2" w:rsidP="00A85C07">
      <w:pPr>
        <w:pStyle w:val="Sraopastraipa"/>
        <w:suppressAutoHyphens/>
        <w:ind w:left="360"/>
        <w:jc w:val="right"/>
        <w:rPr>
          <w:rFonts w:ascii="Arial" w:hAnsi="Arial" w:cs="Arial"/>
          <w:sz w:val="22"/>
          <w:szCs w:val="22"/>
        </w:rPr>
      </w:pPr>
    </w:p>
    <w:p w14:paraId="3B62A8F5" w14:textId="77777777" w:rsidR="00696FA2" w:rsidRDefault="00696FA2" w:rsidP="00A85C07">
      <w:pPr>
        <w:pStyle w:val="Sraopastraipa"/>
        <w:suppressAutoHyphens/>
        <w:ind w:left="360"/>
        <w:jc w:val="right"/>
        <w:rPr>
          <w:rFonts w:ascii="Arial" w:hAnsi="Arial" w:cs="Arial"/>
          <w:sz w:val="22"/>
          <w:szCs w:val="22"/>
        </w:rPr>
      </w:pPr>
    </w:p>
    <w:p w14:paraId="2651650A" w14:textId="77777777" w:rsidR="00696FA2" w:rsidRDefault="00696FA2" w:rsidP="00A85C07">
      <w:pPr>
        <w:pStyle w:val="Sraopastraipa"/>
        <w:suppressAutoHyphens/>
        <w:ind w:left="360"/>
        <w:jc w:val="right"/>
        <w:rPr>
          <w:rFonts w:ascii="Arial" w:hAnsi="Arial" w:cs="Arial"/>
          <w:sz w:val="22"/>
          <w:szCs w:val="22"/>
        </w:rPr>
      </w:pPr>
    </w:p>
    <w:p w14:paraId="15A07CB0" w14:textId="77777777" w:rsidR="00696FA2" w:rsidRDefault="00696FA2" w:rsidP="00A85C07">
      <w:pPr>
        <w:pStyle w:val="Sraopastraipa"/>
        <w:suppressAutoHyphens/>
        <w:ind w:left="360"/>
        <w:jc w:val="right"/>
        <w:rPr>
          <w:rFonts w:ascii="Arial" w:hAnsi="Arial" w:cs="Arial"/>
          <w:sz w:val="22"/>
          <w:szCs w:val="22"/>
        </w:rPr>
      </w:pPr>
    </w:p>
    <w:p w14:paraId="42265ABA" w14:textId="77777777" w:rsidR="00696FA2" w:rsidRDefault="00696FA2" w:rsidP="00A85C07">
      <w:pPr>
        <w:pStyle w:val="Sraopastraipa"/>
        <w:suppressAutoHyphens/>
        <w:ind w:left="360"/>
        <w:jc w:val="right"/>
        <w:rPr>
          <w:rFonts w:ascii="Arial" w:hAnsi="Arial" w:cs="Arial"/>
          <w:sz w:val="22"/>
          <w:szCs w:val="22"/>
        </w:rPr>
      </w:pPr>
    </w:p>
    <w:p w14:paraId="6CF79547" w14:textId="77777777" w:rsidR="00696FA2" w:rsidRDefault="00696FA2" w:rsidP="00A85C07">
      <w:pPr>
        <w:pStyle w:val="Sraopastraipa"/>
        <w:suppressAutoHyphens/>
        <w:ind w:left="360"/>
        <w:jc w:val="right"/>
        <w:rPr>
          <w:rFonts w:ascii="Arial" w:hAnsi="Arial" w:cs="Arial"/>
          <w:sz w:val="22"/>
          <w:szCs w:val="22"/>
        </w:rPr>
      </w:pPr>
    </w:p>
    <w:p w14:paraId="742461A0" w14:textId="77777777" w:rsidR="00696FA2" w:rsidRDefault="00696FA2" w:rsidP="00A85C07">
      <w:pPr>
        <w:pStyle w:val="Sraopastraipa"/>
        <w:suppressAutoHyphens/>
        <w:ind w:left="360"/>
        <w:jc w:val="right"/>
        <w:rPr>
          <w:rFonts w:ascii="Arial" w:hAnsi="Arial" w:cs="Arial"/>
          <w:sz w:val="22"/>
          <w:szCs w:val="22"/>
        </w:rPr>
      </w:pPr>
    </w:p>
    <w:p w14:paraId="60725C05" w14:textId="77777777" w:rsidR="00696FA2" w:rsidRDefault="00696FA2" w:rsidP="00A85C07">
      <w:pPr>
        <w:pStyle w:val="Sraopastraipa"/>
        <w:suppressAutoHyphens/>
        <w:ind w:left="360"/>
        <w:jc w:val="right"/>
        <w:rPr>
          <w:rFonts w:ascii="Arial" w:hAnsi="Arial" w:cs="Arial"/>
          <w:sz w:val="22"/>
          <w:szCs w:val="22"/>
        </w:rPr>
      </w:pPr>
    </w:p>
    <w:p w14:paraId="4065E57D" w14:textId="77777777" w:rsidR="00696FA2" w:rsidRDefault="00696FA2" w:rsidP="00A85C07">
      <w:pPr>
        <w:pStyle w:val="Sraopastraipa"/>
        <w:suppressAutoHyphens/>
        <w:ind w:left="360"/>
        <w:jc w:val="right"/>
        <w:rPr>
          <w:rFonts w:ascii="Arial" w:hAnsi="Arial" w:cs="Arial"/>
          <w:sz w:val="22"/>
          <w:szCs w:val="22"/>
        </w:rPr>
      </w:pPr>
    </w:p>
    <w:p w14:paraId="47E257E6" w14:textId="77777777" w:rsidR="00696FA2" w:rsidRDefault="00696FA2" w:rsidP="00A85C07">
      <w:pPr>
        <w:pStyle w:val="Sraopastraipa"/>
        <w:suppressAutoHyphens/>
        <w:ind w:left="360"/>
        <w:jc w:val="right"/>
        <w:rPr>
          <w:rFonts w:ascii="Arial" w:hAnsi="Arial" w:cs="Arial"/>
          <w:sz w:val="22"/>
          <w:szCs w:val="22"/>
        </w:rPr>
      </w:pPr>
    </w:p>
    <w:p w14:paraId="77743724" w14:textId="77777777" w:rsidR="00696FA2" w:rsidRDefault="00696FA2" w:rsidP="00A85C07">
      <w:pPr>
        <w:pStyle w:val="Sraopastraipa"/>
        <w:suppressAutoHyphens/>
        <w:ind w:left="360"/>
        <w:jc w:val="right"/>
        <w:rPr>
          <w:rFonts w:ascii="Arial" w:hAnsi="Arial" w:cs="Arial"/>
          <w:sz w:val="22"/>
          <w:szCs w:val="22"/>
        </w:rPr>
      </w:pPr>
    </w:p>
    <w:p w14:paraId="4BDAD91D" w14:textId="77777777" w:rsidR="00696FA2" w:rsidRDefault="00696FA2" w:rsidP="00A85C07">
      <w:pPr>
        <w:pStyle w:val="Sraopastraipa"/>
        <w:suppressAutoHyphens/>
        <w:ind w:left="360"/>
        <w:jc w:val="right"/>
        <w:rPr>
          <w:rFonts w:ascii="Arial" w:hAnsi="Arial" w:cs="Arial"/>
          <w:sz w:val="22"/>
          <w:szCs w:val="22"/>
        </w:rPr>
      </w:pPr>
    </w:p>
    <w:p w14:paraId="0445F145" w14:textId="77777777" w:rsidR="00696FA2" w:rsidRDefault="00696FA2" w:rsidP="00A85C07">
      <w:pPr>
        <w:pStyle w:val="Sraopastraipa"/>
        <w:suppressAutoHyphens/>
        <w:ind w:left="360"/>
        <w:jc w:val="right"/>
        <w:rPr>
          <w:rFonts w:ascii="Arial" w:hAnsi="Arial" w:cs="Arial"/>
          <w:sz w:val="22"/>
          <w:szCs w:val="22"/>
        </w:rPr>
      </w:pPr>
    </w:p>
    <w:p w14:paraId="292174B3" w14:textId="77777777" w:rsidR="00696FA2" w:rsidRDefault="00696FA2" w:rsidP="00A85C07">
      <w:pPr>
        <w:pStyle w:val="Sraopastraipa"/>
        <w:suppressAutoHyphens/>
        <w:ind w:left="360"/>
        <w:jc w:val="right"/>
        <w:rPr>
          <w:rFonts w:ascii="Arial" w:hAnsi="Arial" w:cs="Arial"/>
          <w:sz w:val="22"/>
          <w:szCs w:val="22"/>
        </w:rPr>
      </w:pPr>
    </w:p>
    <w:p w14:paraId="617B7AB2" w14:textId="77777777" w:rsidR="00696FA2" w:rsidRDefault="00696FA2" w:rsidP="00A85C07">
      <w:pPr>
        <w:pStyle w:val="Sraopastraipa"/>
        <w:suppressAutoHyphens/>
        <w:ind w:left="360"/>
        <w:jc w:val="right"/>
        <w:rPr>
          <w:rFonts w:ascii="Arial" w:hAnsi="Arial" w:cs="Arial"/>
          <w:sz w:val="22"/>
          <w:szCs w:val="22"/>
        </w:rPr>
      </w:pPr>
    </w:p>
    <w:p w14:paraId="123BDDD2" w14:textId="77777777" w:rsidR="00696FA2" w:rsidRDefault="00696FA2" w:rsidP="00A85C07">
      <w:pPr>
        <w:pStyle w:val="Sraopastraipa"/>
        <w:suppressAutoHyphens/>
        <w:ind w:left="360"/>
        <w:jc w:val="right"/>
        <w:rPr>
          <w:rFonts w:ascii="Arial" w:hAnsi="Arial" w:cs="Arial"/>
          <w:sz w:val="22"/>
          <w:szCs w:val="22"/>
        </w:rPr>
      </w:pPr>
    </w:p>
    <w:p w14:paraId="6DAA816B" w14:textId="77777777" w:rsidR="00696FA2" w:rsidRDefault="00696FA2" w:rsidP="00A85C07">
      <w:pPr>
        <w:pStyle w:val="Sraopastraipa"/>
        <w:suppressAutoHyphens/>
        <w:ind w:left="360"/>
        <w:jc w:val="right"/>
        <w:rPr>
          <w:rFonts w:ascii="Arial" w:hAnsi="Arial" w:cs="Arial"/>
          <w:sz w:val="22"/>
          <w:szCs w:val="22"/>
        </w:rPr>
      </w:pPr>
    </w:p>
    <w:p w14:paraId="7BA73FC2" w14:textId="77777777" w:rsidR="00696FA2" w:rsidRDefault="00696FA2" w:rsidP="00A85C07">
      <w:pPr>
        <w:pStyle w:val="Sraopastraipa"/>
        <w:suppressAutoHyphens/>
        <w:ind w:left="360"/>
        <w:jc w:val="right"/>
        <w:rPr>
          <w:rFonts w:ascii="Arial" w:hAnsi="Arial" w:cs="Arial"/>
          <w:sz w:val="22"/>
          <w:szCs w:val="22"/>
        </w:rPr>
      </w:pPr>
    </w:p>
    <w:p w14:paraId="4645A4AF" w14:textId="77777777" w:rsidR="00696FA2" w:rsidRDefault="00696FA2" w:rsidP="00A85C07">
      <w:pPr>
        <w:pStyle w:val="Sraopastraipa"/>
        <w:suppressAutoHyphens/>
        <w:ind w:left="360"/>
        <w:jc w:val="right"/>
        <w:rPr>
          <w:rFonts w:ascii="Arial" w:hAnsi="Arial" w:cs="Arial"/>
          <w:sz w:val="22"/>
          <w:szCs w:val="22"/>
        </w:rPr>
      </w:pPr>
    </w:p>
    <w:p w14:paraId="36CB8BBA" w14:textId="77777777" w:rsidR="00696FA2" w:rsidRDefault="00696FA2" w:rsidP="00A85C07">
      <w:pPr>
        <w:pStyle w:val="Sraopastraipa"/>
        <w:suppressAutoHyphens/>
        <w:ind w:left="360"/>
        <w:jc w:val="right"/>
        <w:rPr>
          <w:rFonts w:ascii="Arial" w:hAnsi="Arial" w:cs="Arial"/>
          <w:sz w:val="22"/>
          <w:szCs w:val="22"/>
        </w:rPr>
      </w:pPr>
    </w:p>
    <w:p w14:paraId="0168CCE0" w14:textId="77777777" w:rsidR="00696FA2" w:rsidRDefault="00696FA2" w:rsidP="00A85C07">
      <w:pPr>
        <w:pStyle w:val="Sraopastraipa"/>
        <w:suppressAutoHyphens/>
        <w:ind w:left="360"/>
        <w:jc w:val="right"/>
        <w:rPr>
          <w:rFonts w:ascii="Arial" w:hAnsi="Arial" w:cs="Arial"/>
          <w:sz w:val="22"/>
          <w:szCs w:val="22"/>
        </w:rPr>
      </w:pPr>
    </w:p>
    <w:p w14:paraId="0970C06C" w14:textId="77777777" w:rsidR="00696FA2" w:rsidRDefault="00696FA2" w:rsidP="00A85C07">
      <w:pPr>
        <w:pStyle w:val="Sraopastraipa"/>
        <w:suppressAutoHyphens/>
        <w:ind w:left="360"/>
        <w:jc w:val="right"/>
        <w:rPr>
          <w:rFonts w:ascii="Arial" w:hAnsi="Arial" w:cs="Arial"/>
          <w:sz w:val="22"/>
          <w:szCs w:val="22"/>
        </w:rPr>
      </w:pPr>
    </w:p>
    <w:p w14:paraId="237D989E" w14:textId="77777777" w:rsidR="00696FA2" w:rsidRDefault="00696FA2" w:rsidP="00A85C07">
      <w:pPr>
        <w:pStyle w:val="Sraopastraipa"/>
        <w:suppressAutoHyphens/>
        <w:ind w:left="360"/>
        <w:jc w:val="right"/>
        <w:rPr>
          <w:rFonts w:ascii="Arial" w:hAnsi="Arial" w:cs="Arial"/>
          <w:sz w:val="22"/>
          <w:szCs w:val="22"/>
        </w:rPr>
      </w:pPr>
    </w:p>
    <w:p w14:paraId="5F0BDD6E" w14:textId="77777777" w:rsidR="00696FA2" w:rsidRDefault="00696FA2" w:rsidP="00A85C07">
      <w:pPr>
        <w:pStyle w:val="Sraopastraipa"/>
        <w:suppressAutoHyphens/>
        <w:ind w:left="360"/>
        <w:jc w:val="right"/>
        <w:rPr>
          <w:rFonts w:ascii="Arial" w:hAnsi="Arial" w:cs="Arial"/>
          <w:sz w:val="22"/>
          <w:szCs w:val="22"/>
        </w:rPr>
      </w:pPr>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62776F35" w:rsidR="00AD252A" w:rsidRDefault="002A5CC4" w:rsidP="00F16744">
      <w:pPr>
        <w:pStyle w:val="Pagrindinistekstas"/>
        <w:ind w:firstLine="0"/>
        <w:jc w:val="center"/>
        <w:rPr>
          <w:rFonts w:ascii="Arial" w:hAnsi="Arial" w:cs="Arial"/>
          <w:b/>
          <w:sz w:val="22"/>
          <w:szCs w:val="22"/>
        </w:rPr>
      </w:pPr>
      <w:r>
        <w:rPr>
          <w:rFonts w:ascii="Arial" w:hAnsi="Arial" w:cs="Arial"/>
          <w:b/>
          <w:sz w:val="22"/>
          <w:szCs w:val="22"/>
        </w:rPr>
        <w:t>4_priedas_Techninė dokumentacija_119 kelias.zip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2F17" w14:textId="77777777" w:rsidR="00207EDD" w:rsidRDefault="00207EDD" w:rsidP="0075209B">
      <w:r>
        <w:separator/>
      </w:r>
    </w:p>
  </w:endnote>
  <w:endnote w:type="continuationSeparator" w:id="0">
    <w:p w14:paraId="1874AFBD" w14:textId="77777777" w:rsidR="00207EDD" w:rsidRDefault="00207ED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0D1C" w14:textId="77777777" w:rsidR="00207EDD" w:rsidRDefault="00207EDD" w:rsidP="0075209B">
      <w:r>
        <w:separator/>
      </w:r>
    </w:p>
  </w:footnote>
  <w:footnote w:type="continuationSeparator" w:id="0">
    <w:p w14:paraId="3B645436" w14:textId="77777777" w:rsidR="00207EDD" w:rsidRDefault="00207EDD"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6E6A"/>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153C"/>
    <w:rsid w:val="00702681"/>
    <w:rsid w:val="00716EAA"/>
    <w:rsid w:val="00720A5E"/>
    <w:rsid w:val="00724FFD"/>
    <w:rsid w:val="00735892"/>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21</Pages>
  <Words>30502</Words>
  <Characters>17387</Characters>
  <Application>Microsoft Office Word</Application>
  <DocSecurity>0</DocSecurity>
  <Lines>144</Lines>
  <Paragraphs>95</Paragraphs>
  <ScaleCrop>false</ScaleCrop>
  <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51</cp:revision>
  <cp:lastPrinted>2019-05-27T13:27:00Z</cp:lastPrinted>
  <dcterms:created xsi:type="dcterms:W3CDTF">2025-03-04T05:34:00Z</dcterms:created>
  <dcterms:modified xsi:type="dcterms:W3CDTF">2025-08-08T09:12:00Z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