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0AB84138" w:rsidR="00E65C87" w:rsidRPr="00E65C87" w:rsidRDefault="006C2ABD"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MAISTO PRODUKTŲ VAIKAMS</w:t>
      </w:r>
      <w:r w:rsidR="00863A09">
        <w:rPr>
          <w:rFonts w:ascii="Times New Roman" w:hAnsi="Times New Roman" w:cs="Times New Roman"/>
          <w:b/>
          <w:bCs/>
          <w:sz w:val="24"/>
          <w:szCs w:val="24"/>
        </w:rPr>
        <w:t xml:space="preserve">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9E43DB"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 </w:t>
      </w:r>
      <w:r w:rsidR="00B21C5C" w:rsidRPr="009E43DB">
        <w:rPr>
          <w:rFonts w:ascii="Times New Roman" w:eastAsia="Times New Roman" w:hAnsi="Times New Roman" w:cs="Times New Roman"/>
          <w:sz w:val="24"/>
          <w:szCs w:val="24"/>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9E43DB">
          <w:rPr>
            <w:rStyle w:val="Hyperlink"/>
            <w:rFonts w:ascii="Times New Roman" w:eastAsia="Times New Roman" w:hAnsi="Times New Roman" w:cs="Times New Roman"/>
            <w:sz w:val="24"/>
            <w:szCs w:val="24"/>
          </w:rPr>
          <w:t>https://viesiejipirkimai.lt</w:t>
        </w:r>
      </w:hyperlink>
      <w:r w:rsidR="00B21C5C" w:rsidRPr="009E43DB">
        <w:rPr>
          <w:rFonts w:ascii="Times New Roman" w:eastAsia="Times New Roman" w:hAnsi="Times New Roman" w:cs="Times New Roman"/>
          <w:sz w:val="24"/>
          <w:szCs w:val="24"/>
        </w:rPr>
        <w:t>.</w:t>
      </w:r>
    </w:p>
    <w:p w14:paraId="3F3C2C94" w14:textId="294CA6C9" w:rsidR="00A57BC7" w:rsidRPr="009E43DB"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9E43DB">
          <w:rPr>
            <w:rStyle w:val="Hyperlink"/>
            <w:rFonts w:ascii="Times New Roman" w:eastAsia="Times New Roman" w:hAnsi="Times New Roman" w:cs="Times New Roman"/>
            <w:sz w:val="24"/>
            <w:szCs w:val="24"/>
          </w:rPr>
          <w:t>https://www.e-tar.lt/portal/lt/index</w:t>
        </w:r>
      </w:hyperlink>
      <w:r w:rsidRPr="009E43DB">
        <w:rPr>
          <w:rFonts w:ascii="Times New Roman" w:eastAsia="Times New Roman" w:hAnsi="Times New Roman" w:cs="Times New Roman"/>
          <w:sz w:val="24"/>
          <w:szCs w:val="24"/>
        </w:rPr>
        <w:t>.</w:t>
      </w:r>
    </w:p>
    <w:p w14:paraId="74B1AEB9" w14:textId="77777777" w:rsidR="00A57BC7" w:rsidRPr="009E43DB"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 xml:space="preserve"> Perkančioji organizacija Pirkimo nevykdo per Centrinę perkančiąją organizaciją (toliau - CPO), nes numatomos sudaryti sutarties vertė neviršija 15 000 Eur be PVM.</w:t>
      </w:r>
    </w:p>
    <w:p w14:paraId="0D11441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3EA08D2E"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9E43DB"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9E43DB"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Pr="009E43DB"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9E43DB">
        <w:rPr>
          <w:rFonts w:ascii="Times New Roman" w:eastAsia="Times New Roman" w:hAnsi="Times New Roman" w:cs="Times New Roman"/>
          <w:sz w:val="24"/>
          <w:szCs w:val="24"/>
        </w:rPr>
        <w:lastRenderedPageBreak/>
        <w:t xml:space="preserve">Tiesioginį ryšį su tiekėjais CVP IS priemonėmis įgalioti palaikyti: Turto valdymo ir viešųjų pirkimų skyriaus vyriausioji specialistė Jovita Jankūnaitė, tel. +37065890439, el. p. </w:t>
      </w:r>
      <w:hyperlink r:id="rId9" w:history="1">
        <w:r w:rsidRPr="009E43DB">
          <w:rPr>
            <w:rStyle w:val="Hyperlink"/>
            <w:rFonts w:ascii="Times New Roman" w:eastAsia="Times New Roman" w:hAnsi="Times New Roman" w:cs="Times New Roman"/>
            <w:sz w:val="24"/>
            <w:szCs w:val="24"/>
          </w:rPr>
          <w:t>jovita.jankunaite@vaikoteises.lt</w:t>
        </w:r>
      </w:hyperlink>
      <w:r w:rsidR="00A57BC7" w:rsidRPr="009E43DB">
        <w:rPr>
          <w:rFonts w:ascii="Times New Roman" w:eastAsia="Times New Roman" w:hAnsi="Times New Roman" w:cs="Times New Roman"/>
          <w:sz w:val="24"/>
          <w:szCs w:val="24"/>
        </w:rPr>
        <w:t>.</w:t>
      </w:r>
    </w:p>
    <w:p w14:paraId="59D76920" w14:textId="77777777" w:rsidR="002D6E75" w:rsidRPr="002D6E75" w:rsidRDefault="002D6E75"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PIRKIMO OBJEKTAS</w:t>
      </w:r>
    </w:p>
    <w:p w14:paraId="150C6172" w14:textId="10A427BD" w:rsidR="003F22BD" w:rsidRPr="00431536" w:rsidRDefault="00A724EB" w:rsidP="00431536">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345A8A">
        <w:rPr>
          <w:rFonts w:ascii="Times New Roman" w:hAnsi="Times New Roman" w:cs="Times New Roman"/>
          <w:sz w:val="24"/>
          <w:szCs w:val="24"/>
        </w:rPr>
        <w:t>P</w:t>
      </w:r>
      <w:r w:rsidR="00E65C87" w:rsidRPr="00345A8A">
        <w:rPr>
          <w:rFonts w:ascii="Times New Roman" w:hAnsi="Times New Roman" w:cs="Times New Roman"/>
          <w:sz w:val="24"/>
          <w:szCs w:val="24"/>
        </w:rPr>
        <w:t>erkančio</w:t>
      </w:r>
      <w:r w:rsidRPr="00345A8A">
        <w:rPr>
          <w:rFonts w:ascii="Times New Roman" w:hAnsi="Times New Roman" w:cs="Times New Roman"/>
          <w:sz w:val="24"/>
          <w:szCs w:val="24"/>
        </w:rPr>
        <w:t>sios</w:t>
      </w:r>
      <w:r w:rsidR="00E65C87" w:rsidRPr="00345A8A">
        <w:rPr>
          <w:rFonts w:ascii="Times New Roman" w:hAnsi="Times New Roman" w:cs="Times New Roman"/>
          <w:sz w:val="24"/>
          <w:szCs w:val="24"/>
        </w:rPr>
        <w:t xml:space="preserve"> organizacij</w:t>
      </w:r>
      <w:r w:rsidRPr="00345A8A">
        <w:rPr>
          <w:rFonts w:ascii="Times New Roman" w:hAnsi="Times New Roman" w:cs="Times New Roman"/>
          <w:sz w:val="24"/>
          <w:szCs w:val="24"/>
        </w:rPr>
        <w:t>os</w:t>
      </w:r>
      <w:r w:rsidR="00E65C87" w:rsidRPr="00345A8A">
        <w:rPr>
          <w:rFonts w:ascii="Times New Roman" w:hAnsi="Times New Roman" w:cs="Times New Roman"/>
          <w:sz w:val="24"/>
          <w:szCs w:val="24"/>
        </w:rPr>
        <w:t xml:space="preserve"> </w:t>
      </w:r>
      <w:r w:rsidR="000707FA" w:rsidRPr="00345A8A">
        <w:rPr>
          <w:rFonts w:ascii="Times New Roman" w:hAnsi="Times New Roman" w:cs="Times New Roman"/>
          <w:sz w:val="24"/>
          <w:szCs w:val="24"/>
        </w:rPr>
        <w:t>pirkimo organizatorius</w:t>
      </w:r>
      <w:r w:rsidR="00E65C87" w:rsidRPr="00345A8A">
        <w:rPr>
          <w:rFonts w:ascii="Times New Roman" w:hAnsi="Times New Roman" w:cs="Times New Roman"/>
          <w:sz w:val="24"/>
          <w:szCs w:val="24"/>
        </w:rPr>
        <w:t xml:space="preserve"> vykdo pirkimą ir numato įsigyti</w:t>
      </w:r>
      <w:r w:rsidR="00347D5B">
        <w:rPr>
          <w:rFonts w:ascii="Times New Roman" w:hAnsi="Times New Roman" w:cs="Times New Roman"/>
          <w:sz w:val="24"/>
          <w:szCs w:val="24"/>
        </w:rPr>
        <w:t xml:space="preserve"> </w:t>
      </w:r>
      <w:r w:rsidR="003F7985">
        <w:rPr>
          <w:rFonts w:ascii="Times New Roman" w:hAnsi="Times New Roman" w:cs="Times New Roman"/>
          <w:b/>
          <w:bCs/>
          <w:sz w:val="24"/>
          <w:szCs w:val="24"/>
        </w:rPr>
        <w:t>maisto produktus</w:t>
      </w:r>
      <w:r w:rsidR="00394D66">
        <w:rPr>
          <w:rFonts w:ascii="Times New Roman" w:hAnsi="Times New Roman" w:cs="Times New Roman"/>
          <w:b/>
          <w:bCs/>
          <w:sz w:val="24"/>
          <w:szCs w:val="24"/>
        </w:rPr>
        <w:t xml:space="preserve"> </w:t>
      </w:r>
      <w:r w:rsidR="003F7985">
        <w:rPr>
          <w:rFonts w:ascii="Times New Roman" w:hAnsi="Times New Roman" w:cs="Times New Roman"/>
          <w:b/>
          <w:bCs/>
          <w:sz w:val="24"/>
          <w:szCs w:val="24"/>
        </w:rPr>
        <w:t>vaikams</w:t>
      </w:r>
      <w:r w:rsidR="00431536" w:rsidRPr="00345A8A">
        <w:rPr>
          <w:rFonts w:ascii="Times New Roman" w:hAnsi="Times New Roman" w:cs="Times New Roman"/>
          <w:b/>
          <w:bCs/>
          <w:sz w:val="24"/>
          <w:szCs w:val="24"/>
        </w:rPr>
        <w:t xml:space="preserve"> </w:t>
      </w:r>
      <w:r w:rsidR="00431536" w:rsidRPr="00345A8A">
        <w:rPr>
          <w:rFonts w:ascii="Times New Roman" w:hAnsi="Times New Roman" w:cs="Times New Roman"/>
          <w:sz w:val="24"/>
          <w:szCs w:val="24"/>
        </w:rPr>
        <w:t>(toliau – Prekės)</w:t>
      </w:r>
      <w:r w:rsidR="003F22BD" w:rsidRPr="00431536">
        <w:rPr>
          <w:rFonts w:ascii="Times New Roman" w:hAnsi="Times New Roman" w:cs="Times New Roman"/>
          <w:sz w:val="24"/>
          <w:szCs w:val="24"/>
        </w:rPr>
        <w:t>:</w:t>
      </w:r>
    </w:p>
    <w:p w14:paraId="7777EC6E" w14:textId="7296DFB0" w:rsidR="00347D5B" w:rsidRDefault="003F22BD"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347D5B">
        <w:rPr>
          <w:rFonts w:ascii="Times New Roman" w:hAnsi="Times New Roman" w:cs="Times New Roman"/>
          <w:b/>
          <w:bCs/>
          <w:sz w:val="24"/>
          <w:szCs w:val="24"/>
        </w:rPr>
        <w:t>negazuotas vanduo</w:t>
      </w:r>
      <w:r w:rsidRPr="00431536">
        <w:rPr>
          <w:rFonts w:ascii="Times New Roman" w:hAnsi="Times New Roman" w:cs="Times New Roman"/>
          <w:sz w:val="24"/>
          <w:szCs w:val="24"/>
        </w:rPr>
        <w:t xml:space="preserve"> </w:t>
      </w:r>
      <w:r w:rsidR="004A345B" w:rsidRPr="004A345B">
        <w:rPr>
          <w:rFonts w:ascii="Times New Roman" w:hAnsi="Times New Roman" w:cs="Times New Roman"/>
          <w:b/>
          <w:bCs/>
          <w:sz w:val="24"/>
          <w:szCs w:val="24"/>
        </w:rPr>
        <w:t>(3628 vnt.)</w:t>
      </w:r>
      <w:r w:rsidR="004A345B">
        <w:rPr>
          <w:rFonts w:ascii="Times New Roman" w:hAnsi="Times New Roman" w:cs="Times New Roman"/>
          <w:sz w:val="24"/>
          <w:szCs w:val="24"/>
        </w:rPr>
        <w:t xml:space="preserve"> </w:t>
      </w:r>
      <w:r w:rsidRPr="00431536">
        <w:rPr>
          <w:rFonts w:ascii="Times New Roman" w:hAnsi="Times New Roman" w:cs="Times New Roman"/>
          <w:sz w:val="24"/>
          <w:szCs w:val="24"/>
        </w:rPr>
        <w:t>– negazuotas natūralus mineralinis vanduo 0,33 l talpoje. Kilmės  šalis Lietuva. Galiojimas pristatymo dieną iki tinkamumo vartoti termino pabaigos – ne  mažiau 11 mėn.;</w:t>
      </w:r>
    </w:p>
    <w:p w14:paraId="0F650D5C" w14:textId="5C9DB661" w:rsidR="00347D5B" w:rsidRDefault="003F22BD"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D768EE">
        <w:rPr>
          <w:rFonts w:ascii="Times New Roman" w:hAnsi="Times New Roman" w:cs="Times New Roman"/>
          <w:b/>
          <w:bCs/>
          <w:sz w:val="24"/>
          <w:szCs w:val="24"/>
        </w:rPr>
        <w:t>arbata</w:t>
      </w:r>
      <w:r w:rsidRPr="00347D5B">
        <w:rPr>
          <w:rFonts w:ascii="Times New Roman" w:hAnsi="Times New Roman" w:cs="Times New Roman"/>
          <w:sz w:val="24"/>
          <w:szCs w:val="24"/>
        </w:rPr>
        <w:t xml:space="preserve"> </w:t>
      </w:r>
      <w:r w:rsidR="004A345B" w:rsidRPr="004A345B">
        <w:rPr>
          <w:rFonts w:ascii="Times New Roman" w:hAnsi="Times New Roman" w:cs="Times New Roman"/>
          <w:b/>
          <w:bCs/>
          <w:sz w:val="24"/>
          <w:szCs w:val="24"/>
        </w:rPr>
        <w:t>(</w:t>
      </w:r>
      <w:r w:rsidR="00AE6FE7" w:rsidRPr="00DD056C">
        <w:rPr>
          <w:rFonts w:ascii="Times New Roman" w:hAnsi="Times New Roman" w:cs="Times New Roman"/>
          <w:b/>
          <w:bCs/>
          <w:sz w:val="24"/>
          <w:szCs w:val="24"/>
        </w:rPr>
        <w:t xml:space="preserve">600 </w:t>
      </w:r>
      <w:r w:rsidR="00DD056C">
        <w:rPr>
          <w:rFonts w:ascii="Times New Roman" w:hAnsi="Times New Roman" w:cs="Times New Roman"/>
          <w:b/>
          <w:bCs/>
          <w:sz w:val="24"/>
          <w:szCs w:val="24"/>
        </w:rPr>
        <w:t xml:space="preserve">vnt. </w:t>
      </w:r>
      <w:r w:rsidR="00751146">
        <w:rPr>
          <w:rFonts w:ascii="Times New Roman" w:hAnsi="Times New Roman" w:cs="Times New Roman"/>
          <w:b/>
          <w:bCs/>
          <w:sz w:val="24"/>
          <w:szCs w:val="24"/>
        </w:rPr>
        <w:t>pakelių</w:t>
      </w:r>
      <w:r w:rsidR="004A345B" w:rsidRPr="00DD056C">
        <w:rPr>
          <w:rFonts w:ascii="Times New Roman" w:hAnsi="Times New Roman" w:cs="Times New Roman"/>
          <w:b/>
          <w:bCs/>
          <w:sz w:val="24"/>
          <w:szCs w:val="24"/>
        </w:rPr>
        <w:t>)</w:t>
      </w:r>
      <w:r w:rsidR="004A345B">
        <w:rPr>
          <w:rFonts w:ascii="Times New Roman" w:hAnsi="Times New Roman" w:cs="Times New Roman"/>
          <w:sz w:val="24"/>
          <w:szCs w:val="24"/>
        </w:rPr>
        <w:t xml:space="preserve"> </w:t>
      </w:r>
      <w:r w:rsidRPr="00347D5B">
        <w:rPr>
          <w:rFonts w:ascii="Times New Roman" w:hAnsi="Times New Roman" w:cs="Times New Roman"/>
          <w:sz w:val="24"/>
          <w:szCs w:val="24"/>
        </w:rPr>
        <w:t xml:space="preserve">– vaisinė arbata su braškėmis ir vanile. </w:t>
      </w:r>
      <w:r w:rsidR="002C0267">
        <w:rPr>
          <w:rFonts w:ascii="Times New Roman" w:hAnsi="Times New Roman" w:cs="Times New Roman"/>
          <w:sz w:val="24"/>
          <w:szCs w:val="24"/>
        </w:rPr>
        <w:t>Pakelyje</w:t>
      </w:r>
      <w:r w:rsidRPr="00347D5B">
        <w:rPr>
          <w:rFonts w:ascii="Times New Roman" w:hAnsi="Times New Roman" w:cs="Times New Roman"/>
          <w:sz w:val="24"/>
          <w:szCs w:val="24"/>
        </w:rPr>
        <w:t xml:space="preserve"> turi </w:t>
      </w:r>
      <w:r w:rsidRPr="002275F0">
        <w:rPr>
          <w:rFonts w:ascii="Times New Roman" w:hAnsi="Times New Roman" w:cs="Times New Roman"/>
          <w:sz w:val="24"/>
          <w:szCs w:val="24"/>
        </w:rPr>
        <w:t xml:space="preserve">būti </w:t>
      </w:r>
      <w:r w:rsidR="008E74D5">
        <w:rPr>
          <w:rFonts w:ascii="Times New Roman" w:hAnsi="Times New Roman" w:cs="Times New Roman"/>
          <w:sz w:val="24"/>
          <w:szCs w:val="24"/>
        </w:rPr>
        <w:t xml:space="preserve">po </w:t>
      </w:r>
      <w:r w:rsidRPr="002275F0">
        <w:rPr>
          <w:rFonts w:ascii="Times New Roman" w:hAnsi="Times New Roman" w:cs="Times New Roman"/>
          <w:sz w:val="24"/>
          <w:szCs w:val="24"/>
        </w:rPr>
        <w:t>20 vnt</w:t>
      </w:r>
      <w:r w:rsidRPr="00347D5B">
        <w:rPr>
          <w:rFonts w:ascii="Times New Roman" w:hAnsi="Times New Roman" w:cs="Times New Roman"/>
          <w:sz w:val="24"/>
          <w:szCs w:val="24"/>
        </w:rPr>
        <w:t xml:space="preserve">. arbatos </w:t>
      </w:r>
      <w:r w:rsidR="002C0267">
        <w:rPr>
          <w:rFonts w:ascii="Times New Roman" w:hAnsi="Times New Roman" w:cs="Times New Roman"/>
          <w:sz w:val="24"/>
          <w:szCs w:val="24"/>
        </w:rPr>
        <w:t>maišelių</w:t>
      </w:r>
      <w:r w:rsidRPr="00347D5B">
        <w:rPr>
          <w:rFonts w:ascii="Times New Roman" w:hAnsi="Times New Roman" w:cs="Times New Roman"/>
          <w:sz w:val="24"/>
          <w:szCs w:val="24"/>
        </w:rPr>
        <w:t>. Kilmės šalis – Lietuva. Galiojimas pristatymo dieną iki tinkamumo vartoti termino pabaigos – ne mažiau 12 mėn.;</w:t>
      </w:r>
    </w:p>
    <w:p w14:paraId="6B745E6B" w14:textId="783025FC" w:rsidR="00347D5B" w:rsidRDefault="003F22BD"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D768EE">
        <w:rPr>
          <w:rFonts w:ascii="Times New Roman" w:hAnsi="Times New Roman" w:cs="Times New Roman"/>
          <w:b/>
          <w:bCs/>
          <w:sz w:val="24"/>
          <w:szCs w:val="24"/>
        </w:rPr>
        <w:t xml:space="preserve">cukrus </w:t>
      </w:r>
      <w:r w:rsidRPr="00751146">
        <w:rPr>
          <w:rFonts w:ascii="Times New Roman" w:hAnsi="Times New Roman" w:cs="Times New Roman"/>
          <w:b/>
          <w:bCs/>
          <w:sz w:val="24"/>
          <w:szCs w:val="24"/>
        </w:rPr>
        <w:t>juostelėmis</w:t>
      </w:r>
      <w:r w:rsidR="006A3B5C" w:rsidRPr="00751146">
        <w:rPr>
          <w:rFonts w:ascii="Times New Roman" w:hAnsi="Times New Roman" w:cs="Times New Roman"/>
          <w:b/>
          <w:bCs/>
          <w:sz w:val="24"/>
          <w:szCs w:val="24"/>
        </w:rPr>
        <w:t xml:space="preserve"> </w:t>
      </w:r>
      <w:r w:rsidR="00E45287" w:rsidRPr="00751146">
        <w:rPr>
          <w:rFonts w:ascii="Times New Roman" w:hAnsi="Times New Roman" w:cs="Times New Roman"/>
          <w:b/>
          <w:bCs/>
          <w:sz w:val="24"/>
          <w:szCs w:val="24"/>
        </w:rPr>
        <w:t>(</w:t>
      </w:r>
      <w:r w:rsidR="008E74D5" w:rsidRPr="00751146">
        <w:rPr>
          <w:rFonts w:ascii="Times New Roman" w:hAnsi="Times New Roman" w:cs="Times New Roman"/>
          <w:b/>
          <w:bCs/>
          <w:sz w:val="24"/>
          <w:szCs w:val="24"/>
        </w:rPr>
        <w:t>240</w:t>
      </w:r>
      <w:r w:rsidR="00E45287" w:rsidRPr="00751146">
        <w:rPr>
          <w:rFonts w:ascii="Times New Roman" w:hAnsi="Times New Roman" w:cs="Times New Roman"/>
          <w:b/>
          <w:bCs/>
          <w:sz w:val="24"/>
          <w:szCs w:val="24"/>
        </w:rPr>
        <w:t xml:space="preserve"> vnt.</w:t>
      </w:r>
      <w:r w:rsidR="008E74D5" w:rsidRPr="00751146">
        <w:rPr>
          <w:rFonts w:ascii="Times New Roman" w:hAnsi="Times New Roman" w:cs="Times New Roman"/>
          <w:b/>
          <w:bCs/>
          <w:sz w:val="24"/>
          <w:szCs w:val="24"/>
        </w:rPr>
        <w:t xml:space="preserve"> </w:t>
      </w:r>
      <w:r w:rsidR="00751146" w:rsidRPr="00751146">
        <w:rPr>
          <w:rFonts w:ascii="Times New Roman" w:hAnsi="Times New Roman" w:cs="Times New Roman"/>
          <w:b/>
          <w:bCs/>
          <w:sz w:val="24"/>
          <w:szCs w:val="24"/>
        </w:rPr>
        <w:t>pakelių</w:t>
      </w:r>
      <w:r w:rsidR="00E45287" w:rsidRPr="00751146">
        <w:rPr>
          <w:rFonts w:ascii="Times New Roman" w:hAnsi="Times New Roman" w:cs="Times New Roman"/>
          <w:b/>
          <w:bCs/>
          <w:sz w:val="24"/>
          <w:szCs w:val="24"/>
        </w:rPr>
        <w:t>)</w:t>
      </w:r>
      <w:r w:rsidRPr="00347D5B">
        <w:rPr>
          <w:rFonts w:ascii="Times New Roman" w:hAnsi="Times New Roman" w:cs="Times New Roman"/>
          <w:sz w:val="24"/>
          <w:szCs w:val="24"/>
        </w:rPr>
        <w:t xml:space="preserve"> – rudasis arba baltasis cukrus, fasuotas į juosteles po ne mažiau kaip</w:t>
      </w:r>
      <w:r w:rsidR="007F0A63" w:rsidRPr="00347D5B">
        <w:rPr>
          <w:rFonts w:ascii="Times New Roman" w:hAnsi="Times New Roman" w:cs="Times New Roman"/>
          <w:sz w:val="24"/>
          <w:szCs w:val="24"/>
        </w:rPr>
        <w:t xml:space="preserve"> </w:t>
      </w:r>
      <w:r w:rsidRPr="00347D5B">
        <w:rPr>
          <w:rFonts w:ascii="Times New Roman" w:hAnsi="Times New Roman" w:cs="Times New Roman"/>
          <w:sz w:val="24"/>
          <w:szCs w:val="24"/>
        </w:rPr>
        <w:t xml:space="preserve">5 g. </w:t>
      </w:r>
      <w:r w:rsidR="008E74D5">
        <w:rPr>
          <w:rFonts w:ascii="Times New Roman" w:hAnsi="Times New Roman" w:cs="Times New Roman"/>
          <w:sz w:val="24"/>
          <w:szCs w:val="24"/>
        </w:rPr>
        <w:t>Pakelyje</w:t>
      </w:r>
      <w:r w:rsidR="008E74D5" w:rsidRPr="00347D5B">
        <w:rPr>
          <w:rFonts w:ascii="Times New Roman" w:hAnsi="Times New Roman" w:cs="Times New Roman"/>
          <w:sz w:val="24"/>
          <w:szCs w:val="24"/>
        </w:rPr>
        <w:t xml:space="preserve"> turi </w:t>
      </w:r>
      <w:r w:rsidR="008E74D5" w:rsidRPr="002275F0">
        <w:rPr>
          <w:rFonts w:ascii="Times New Roman" w:hAnsi="Times New Roman" w:cs="Times New Roman"/>
          <w:sz w:val="24"/>
          <w:szCs w:val="24"/>
        </w:rPr>
        <w:t xml:space="preserve">būti </w:t>
      </w:r>
      <w:r w:rsidR="008E74D5">
        <w:rPr>
          <w:rFonts w:ascii="Times New Roman" w:hAnsi="Times New Roman" w:cs="Times New Roman"/>
          <w:sz w:val="24"/>
          <w:szCs w:val="24"/>
        </w:rPr>
        <w:t>po 5</w:t>
      </w:r>
      <w:r w:rsidR="008E74D5" w:rsidRPr="002275F0">
        <w:rPr>
          <w:rFonts w:ascii="Times New Roman" w:hAnsi="Times New Roman" w:cs="Times New Roman"/>
          <w:sz w:val="24"/>
          <w:szCs w:val="24"/>
        </w:rPr>
        <w:t>0 vnt</w:t>
      </w:r>
      <w:r w:rsidR="008E74D5" w:rsidRPr="00347D5B">
        <w:rPr>
          <w:rFonts w:ascii="Times New Roman" w:hAnsi="Times New Roman" w:cs="Times New Roman"/>
          <w:sz w:val="24"/>
          <w:szCs w:val="24"/>
        </w:rPr>
        <w:t xml:space="preserve">. </w:t>
      </w:r>
      <w:r w:rsidR="008E74D5" w:rsidRPr="008A595D">
        <w:rPr>
          <w:rFonts w:ascii="Times New Roman" w:hAnsi="Times New Roman" w:cs="Times New Roman"/>
          <w:sz w:val="24"/>
          <w:szCs w:val="24"/>
        </w:rPr>
        <w:t>cukraus juostel</w:t>
      </w:r>
      <w:r w:rsidR="008A595D" w:rsidRPr="008A595D">
        <w:rPr>
          <w:rFonts w:ascii="Times New Roman" w:hAnsi="Times New Roman" w:cs="Times New Roman"/>
          <w:sz w:val="24"/>
          <w:szCs w:val="24"/>
        </w:rPr>
        <w:t>ių</w:t>
      </w:r>
      <w:r w:rsidR="008E74D5" w:rsidRPr="008A595D">
        <w:rPr>
          <w:rFonts w:ascii="Times New Roman" w:hAnsi="Times New Roman" w:cs="Times New Roman"/>
          <w:sz w:val="24"/>
          <w:szCs w:val="24"/>
        </w:rPr>
        <w:t>.</w:t>
      </w:r>
      <w:r w:rsidR="008E74D5" w:rsidRPr="00347D5B">
        <w:rPr>
          <w:rFonts w:ascii="Times New Roman" w:hAnsi="Times New Roman" w:cs="Times New Roman"/>
          <w:sz w:val="24"/>
          <w:szCs w:val="24"/>
        </w:rPr>
        <w:t xml:space="preserve"> </w:t>
      </w:r>
      <w:r w:rsidRPr="00347D5B">
        <w:rPr>
          <w:rFonts w:ascii="Times New Roman" w:hAnsi="Times New Roman" w:cs="Times New Roman"/>
          <w:sz w:val="24"/>
          <w:szCs w:val="24"/>
        </w:rPr>
        <w:t>Sudedamosios dalys: sacharozė. Pagaminta Lietuvoje. Galiojimas pristatymo dieną iki</w:t>
      </w:r>
      <w:r w:rsidR="00431536" w:rsidRPr="00347D5B">
        <w:rPr>
          <w:rFonts w:ascii="Times New Roman" w:hAnsi="Times New Roman" w:cs="Times New Roman"/>
          <w:sz w:val="24"/>
          <w:szCs w:val="24"/>
        </w:rPr>
        <w:t xml:space="preserve"> </w:t>
      </w:r>
      <w:r w:rsidRPr="00347D5B">
        <w:rPr>
          <w:rFonts w:ascii="Times New Roman" w:hAnsi="Times New Roman" w:cs="Times New Roman"/>
          <w:sz w:val="24"/>
          <w:szCs w:val="24"/>
        </w:rPr>
        <w:t>tinkamumo vartoti termino pabaigos – ne mažiau 12 mėn.;</w:t>
      </w:r>
    </w:p>
    <w:p w14:paraId="69E7D312" w14:textId="56100A45" w:rsidR="00347D5B" w:rsidRDefault="003F22BD"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proofErr w:type="spellStart"/>
      <w:r w:rsidRPr="00D768EE">
        <w:rPr>
          <w:rFonts w:ascii="Times New Roman" w:hAnsi="Times New Roman" w:cs="Times New Roman"/>
          <w:b/>
          <w:bCs/>
          <w:sz w:val="24"/>
          <w:szCs w:val="24"/>
        </w:rPr>
        <w:t>hematogenas</w:t>
      </w:r>
      <w:proofErr w:type="spellEnd"/>
      <w:r w:rsidR="00DF5B1D">
        <w:rPr>
          <w:rFonts w:ascii="Times New Roman" w:hAnsi="Times New Roman" w:cs="Times New Roman"/>
          <w:b/>
          <w:bCs/>
          <w:sz w:val="24"/>
          <w:szCs w:val="24"/>
        </w:rPr>
        <w:t xml:space="preserve"> </w:t>
      </w:r>
      <w:r w:rsidR="00DF5B1D" w:rsidRPr="00DF5B1D">
        <w:rPr>
          <w:rFonts w:ascii="Times New Roman" w:hAnsi="Times New Roman" w:cs="Times New Roman"/>
          <w:sz w:val="24"/>
          <w:szCs w:val="24"/>
        </w:rPr>
        <w:t>(arba lygiavertis)</w:t>
      </w:r>
      <w:r w:rsidR="00DB0AFD" w:rsidRPr="00DF5B1D">
        <w:rPr>
          <w:rFonts w:ascii="Times New Roman" w:hAnsi="Times New Roman" w:cs="Times New Roman"/>
          <w:sz w:val="24"/>
          <w:szCs w:val="24"/>
        </w:rPr>
        <w:t xml:space="preserve"> </w:t>
      </w:r>
      <w:r w:rsidR="00DB0AFD">
        <w:rPr>
          <w:rFonts w:ascii="Times New Roman" w:hAnsi="Times New Roman" w:cs="Times New Roman"/>
          <w:b/>
          <w:bCs/>
          <w:sz w:val="24"/>
          <w:szCs w:val="24"/>
        </w:rPr>
        <w:t>(</w:t>
      </w:r>
      <w:r w:rsidR="00DB0AFD" w:rsidRPr="00DB0AFD">
        <w:rPr>
          <w:rFonts w:ascii="Times New Roman" w:hAnsi="Times New Roman" w:cs="Times New Roman"/>
          <w:b/>
          <w:bCs/>
          <w:sz w:val="24"/>
          <w:szCs w:val="24"/>
        </w:rPr>
        <w:t>3626 vnt</w:t>
      </w:r>
      <w:r w:rsidR="00DB0AFD">
        <w:rPr>
          <w:rFonts w:ascii="Times New Roman" w:hAnsi="Times New Roman" w:cs="Times New Roman"/>
          <w:b/>
          <w:bCs/>
          <w:sz w:val="24"/>
          <w:szCs w:val="24"/>
        </w:rPr>
        <w:t>.)</w:t>
      </w:r>
      <w:r w:rsidRPr="00347D5B">
        <w:rPr>
          <w:rFonts w:ascii="Times New Roman" w:hAnsi="Times New Roman" w:cs="Times New Roman"/>
          <w:sz w:val="24"/>
          <w:szCs w:val="24"/>
        </w:rPr>
        <w:t xml:space="preserve"> – tradicinio skonio, su vitaminu C. </w:t>
      </w:r>
      <w:r w:rsidRPr="00394D66">
        <w:rPr>
          <w:rFonts w:ascii="Times New Roman" w:hAnsi="Times New Roman" w:cs="Times New Roman"/>
          <w:sz w:val="24"/>
          <w:szCs w:val="24"/>
        </w:rPr>
        <w:t>Kilmės</w:t>
      </w:r>
      <w:r w:rsidRPr="00347D5B">
        <w:rPr>
          <w:rFonts w:ascii="Times New Roman" w:hAnsi="Times New Roman" w:cs="Times New Roman"/>
          <w:sz w:val="24"/>
          <w:szCs w:val="24"/>
        </w:rPr>
        <w:t xml:space="preserve"> šalis Lietuva. Galiojimas pristatymo dieną iki</w:t>
      </w:r>
      <w:r w:rsidR="00431536" w:rsidRPr="00347D5B">
        <w:rPr>
          <w:rFonts w:ascii="Times New Roman" w:hAnsi="Times New Roman" w:cs="Times New Roman"/>
          <w:sz w:val="24"/>
          <w:szCs w:val="24"/>
        </w:rPr>
        <w:t xml:space="preserve"> </w:t>
      </w:r>
      <w:r w:rsidRPr="00347D5B">
        <w:rPr>
          <w:rFonts w:ascii="Times New Roman" w:hAnsi="Times New Roman" w:cs="Times New Roman"/>
          <w:sz w:val="24"/>
          <w:szCs w:val="24"/>
        </w:rPr>
        <w:t>tinkamumo vartoti termino pabaigos – ne mažiau 12 mėn.;</w:t>
      </w:r>
    </w:p>
    <w:p w14:paraId="48EDE1A0" w14:textId="51EA63CF" w:rsidR="003F22BD" w:rsidRPr="00347D5B" w:rsidRDefault="003F22BD" w:rsidP="00347D5B">
      <w:pPr>
        <w:pStyle w:val="ListParagraph"/>
        <w:numPr>
          <w:ilvl w:val="2"/>
          <w:numId w:val="3"/>
        </w:numPr>
        <w:tabs>
          <w:tab w:val="left" w:pos="993"/>
        </w:tabs>
        <w:spacing w:after="0" w:line="240" w:lineRule="auto"/>
        <w:ind w:left="0" w:firstLine="720"/>
        <w:jc w:val="both"/>
        <w:rPr>
          <w:rFonts w:ascii="Times New Roman" w:hAnsi="Times New Roman" w:cs="Times New Roman"/>
          <w:sz w:val="24"/>
          <w:szCs w:val="24"/>
        </w:rPr>
      </w:pPr>
      <w:r w:rsidRPr="00AC1E6B">
        <w:rPr>
          <w:rFonts w:ascii="Times New Roman" w:hAnsi="Times New Roman" w:cs="Times New Roman"/>
          <w:b/>
          <w:bCs/>
          <w:sz w:val="24"/>
          <w:szCs w:val="24"/>
        </w:rPr>
        <w:t>tyrelės</w:t>
      </w:r>
      <w:r w:rsidR="00DB0AFD">
        <w:rPr>
          <w:rFonts w:ascii="Times New Roman" w:hAnsi="Times New Roman" w:cs="Times New Roman"/>
          <w:b/>
          <w:bCs/>
          <w:sz w:val="24"/>
          <w:szCs w:val="24"/>
        </w:rPr>
        <w:t xml:space="preserve"> </w:t>
      </w:r>
      <w:r w:rsidR="006A3B5C">
        <w:rPr>
          <w:rFonts w:ascii="Times New Roman" w:hAnsi="Times New Roman" w:cs="Times New Roman"/>
          <w:b/>
          <w:bCs/>
          <w:sz w:val="24"/>
          <w:szCs w:val="24"/>
        </w:rPr>
        <w:t>(</w:t>
      </w:r>
      <w:r w:rsidR="006A3B5C" w:rsidRPr="006A3B5C">
        <w:rPr>
          <w:rFonts w:ascii="Times New Roman" w:hAnsi="Times New Roman" w:cs="Times New Roman"/>
          <w:b/>
          <w:bCs/>
          <w:sz w:val="24"/>
          <w:szCs w:val="24"/>
        </w:rPr>
        <w:t xml:space="preserve">288 </w:t>
      </w:r>
      <w:r w:rsidR="006A3B5C">
        <w:rPr>
          <w:rFonts w:ascii="Times New Roman" w:hAnsi="Times New Roman" w:cs="Times New Roman"/>
          <w:b/>
          <w:bCs/>
          <w:sz w:val="24"/>
          <w:szCs w:val="24"/>
        </w:rPr>
        <w:t>vnt.</w:t>
      </w:r>
      <w:r w:rsidR="00DB0AFD">
        <w:rPr>
          <w:rFonts w:ascii="Times New Roman" w:hAnsi="Times New Roman" w:cs="Times New Roman"/>
          <w:b/>
          <w:bCs/>
          <w:sz w:val="24"/>
          <w:szCs w:val="24"/>
        </w:rPr>
        <w:t>)</w:t>
      </w:r>
      <w:r w:rsidRPr="00347D5B">
        <w:rPr>
          <w:rFonts w:ascii="Times New Roman" w:hAnsi="Times New Roman" w:cs="Times New Roman"/>
          <w:sz w:val="24"/>
          <w:szCs w:val="24"/>
        </w:rPr>
        <w:t xml:space="preserve"> – ekologiškos, kūdikių maistui tinkamų vaisių, uogų tyrelės, skirtos kūdikiams nuo 4 mėn. ir mažiems vaikams. Pakuotė – spaudžiamo maišelio tipo, ne mažesnė kaip 100 g. Be pieno, konservantų ir  priedų. Galiojimas pristatymo dieną iki tinkamumo vartoti termino pabaigos – ne mažiau 12 mėn.</w:t>
      </w:r>
    </w:p>
    <w:p w14:paraId="7E26E6B2" w14:textId="7B04F1A5" w:rsidR="00A92DD5" w:rsidRPr="00A92DD5" w:rsidRDefault="005C2928"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t xml:space="preserve">Prekės </w:t>
      </w:r>
      <w:r w:rsidRPr="00B60982">
        <w:t>pagal penkias skirtingas pozicijas</w:t>
      </w:r>
      <w:r>
        <w:t xml:space="preserve"> (</w:t>
      </w:r>
      <w:r w:rsidR="003F527A">
        <w:t>2.1.1</w:t>
      </w:r>
      <w:r w:rsidR="00A2383A">
        <w:t xml:space="preserve"> </w:t>
      </w:r>
      <w:r w:rsidR="00A2383A" w:rsidRPr="00347D5B">
        <w:t>–</w:t>
      </w:r>
      <w:r w:rsidR="00A2383A">
        <w:t xml:space="preserve"> </w:t>
      </w:r>
      <w:r w:rsidR="003F527A">
        <w:t>2.1.5 papunkčiai</w:t>
      </w:r>
      <w:r>
        <w:t>)</w:t>
      </w:r>
      <w:r w:rsidRPr="00B60982">
        <w:t xml:space="preserve"> turi būti pristatyt</w:t>
      </w:r>
      <w:r w:rsidR="003F527A">
        <w:t>os</w:t>
      </w:r>
      <w:r w:rsidRPr="00B60982">
        <w:t xml:space="preserve"> dviem vienodomis dalimis</w:t>
      </w:r>
      <w:r w:rsidR="00A92DD5">
        <w:t>:</w:t>
      </w:r>
    </w:p>
    <w:p w14:paraId="43B48C74" w14:textId="03F3F8D0" w:rsidR="00A92DD5" w:rsidRPr="00A92DD5" w:rsidRDefault="00FA0E33" w:rsidP="00A92DD5">
      <w:pPr>
        <w:pStyle w:val="NormalWeb"/>
        <w:numPr>
          <w:ilvl w:val="2"/>
          <w:numId w:val="3"/>
        </w:numPr>
        <w:tabs>
          <w:tab w:val="left" w:pos="709"/>
          <w:tab w:val="left" w:pos="851"/>
          <w:tab w:val="left" w:pos="993"/>
        </w:tabs>
        <w:spacing w:before="0" w:beforeAutospacing="0" w:after="0" w:afterAutospacing="0"/>
        <w:jc w:val="both"/>
        <w:rPr>
          <w:rFonts w:eastAsia="Calibri"/>
        </w:rPr>
      </w:pPr>
      <w:r>
        <w:t>pirm</w:t>
      </w:r>
      <w:r w:rsidR="001B42B2">
        <w:t xml:space="preserve">a dalis </w:t>
      </w:r>
      <w:r w:rsidR="005C2928" w:rsidRPr="00B60982">
        <w:t xml:space="preserve">iki </w:t>
      </w:r>
      <w:r w:rsidR="003F527A">
        <w:t>2025 m.</w:t>
      </w:r>
      <w:r w:rsidR="005C2928" w:rsidRPr="00B60982">
        <w:t xml:space="preserve"> rugsėjo 30 d.</w:t>
      </w:r>
      <w:r w:rsidR="006B7320">
        <w:t>;</w:t>
      </w:r>
    </w:p>
    <w:p w14:paraId="65208FC6" w14:textId="34582C79" w:rsidR="00D570DF" w:rsidRPr="00D570DF" w:rsidRDefault="00A92DD5" w:rsidP="00A92DD5">
      <w:pPr>
        <w:pStyle w:val="NormalWeb"/>
        <w:numPr>
          <w:ilvl w:val="2"/>
          <w:numId w:val="3"/>
        </w:numPr>
        <w:tabs>
          <w:tab w:val="left" w:pos="709"/>
          <w:tab w:val="left" w:pos="851"/>
          <w:tab w:val="left" w:pos="993"/>
        </w:tabs>
        <w:spacing w:before="0" w:beforeAutospacing="0" w:after="0" w:afterAutospacing="0"/>
        <w:jc w:val="both"/>
        <w:rPr>
          <w:rFonts w:eastAsia="Calibri"/>
        </w:rPr>
      </w:pPr>
      <w:r>
        <w:t xml:space="preserve">antra </w:t>
      </w:r>
      <w:r w:rsidR="005C2928" w:rsidRPr="00B60982">
        <w:t xml:space="preserve">dalis iki </w:t>
      </w:r>
      <w:r w:rsidR="003F527A">
        <w:t xml:space="preserve">2025 m. </w:t>
      </w:r>
      <w:r w:rsidR="005C2928" w:rsidRPr="00B60982">
        <w:t>lapkričio 30 d.</w:t>
      </w:r>
    </w:p>
    <w:p w14:paraId="3E47F839" w14:textId="6F0543E8" w:rsidR="00153EA2" w:rsidRPr="00153EA2" w:rsidRDefault="00153EA2" w:rsidP="00153EA2">
      <w:pPr>
        <w:numPr>
          <w:ilvl w:val="1"/>
          <w:numId w:val="3"/>
        </w:numPr>
        <w:tabs>
          <w:tab w:val="left" w:pos="709"/>
          <w:tab w:val="left" w:pos="851"/>
          <w:tab w:val="left" w:pos="993"/>
        </w:tabs>
        <w:spacing w:after="0" w:line="240" w:lineRule="auto"/>
        <w:ind w:left="0" w:firstLine="720"/>
        <w:jc w:val="both"/>
        <w:rPr>
          <w:rFonts w:eastAsia="Calibri"/>
        </w:rPr>
      </w:pPr>
      <w:r w:rsidRPr="00860FC3">
        <w:rPr>
          <w:rFonts w:ascii="Times New Roman" w:eastAsia="Calibri" w:hAnsi="Times New Roman" w:cs="Times New Roman"/>
          <w:sz w:val="24"/>
          <w:szCs w:val="24"/>
        </w:rPr>
        <w:t>Su laimėjusiu tiekėju bus sudaromo žodinė sutartis galiojanti iki 2025 m. gruodžio 15 d. (įskaitant atsiskaitymo laikotarpį).</w:t>
      </w:r>
    </w:p>
    <w:p w14:paraId="24664E4B" w14:textId="44F9CD5B"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paslaugų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4E77DCDC" w14:textId="77777777" w:rsidR="00345A8A" w:rsidRPr="00345A8A"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345A8A">
        <w:rPr>
          <w:rFonts w:ascii="Times New Roman" w:eastAsia="Calibri" w:hAnsi="Times New Roman" w:cs="Times New Roman"/>
          <w:sz w:val="24"/>
          <w:szCs w:val="24"/>
        </w:rPr>
        <w:t xml:space="preserve">Pirkimo dokumentuose ir pirkimo sutartyje nustatoma fiksuoto </w:t>
      </w:r>
      <w:r w:rsidRPr="00B919A4">
        <w:rPr>
          <w:rFonts w:ascii="Times New Roman" w:eastAsia="Calibri" w:hAnsi="Times New Roman" w:cs="Times New Roman"/>
          <w:sz w:val="24"/>
          <w:szCs w:val="24"/>
        </w:rPr>
        <w:t>įkainio kainodara.</w:t>
      </w:r>
    </w:p>
    <w:p w14:paraId="7A8AF94C" w14:textId="77777777" w:rsidR="00B62B3D" w:rsidRPr="00B62B3D" w:rsidRDefault="00B62B3D" w:rsidP="00B62B3D">
      <w:pPr>
        <w:tabs>
          <w:tab w:val="left" w:pos="709"/>
          <w:tab w:val="left" w:pos="851"/>
          <w:tab w:val="left" w:pos="993"/>
        </w:tabs>
        <w:spacing w:after="0" w:line="240" w:lineRule="auto"/>
        <w:ind w:left="72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154264B" w14:textId="77777777" w:rsidR="00153EA2" w:rsidRPr="00E65C87" w:rsidRDefault="00153EA2"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lastRenderedPageBreak/>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4F86A8EA"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0" w:name="_Hlk149551128"/>
      <w:r w:rsidRPr="00E65C87">
        <w:rPr>
          <w:b/>
        </w:rPr>
        <w:t>Pasiūlymas turi būti pateiktas</w:t>
      </w:r>
      <w:r w:rsidR="00C778C1">
        <w:rPr>
          <w:b/>
        </w:rPr>
        <w:t xml:space="preserve"> </w:t>
      </w:r>
      <w:r w:rsidRPr="00E65C87">
        <w:rPr>
          <w:b/>
        </w:rPr>
        <w:t xml:space="preserve">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w:t>
      </w:r>
      <w:r w:rsidRPr="00E65C87">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02D6E0CC"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galioti </w:t>
      </w:r>
      <w:r w:rsidR="00975A3C">
        <w:rPr>
          <w:rStyle w:val="pildymui"/>
          <w:b/>
          <w:iCs/>
        </w:rPr>
        <w:t>60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b/>
          <w:bCs/>
          <w:u w:val="single"/>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w:t>
      </w:r>
      <w:r w:rsidRPr="002B5A9E">
        <w:rPr>
          <w:rFonts w:ascii="Times New Roman" w:eastAsia="SimSun" w:hAnsi="Times New Roman"/>
          <w:sz w:val="24"/>
          <w:szCs w:val="24"/>
        </w:rPr>
        <w:lastRenderedPageBreak/>
        <w:t xml:space="preserve">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E9476E">
        <w:rPr>
          <w:rFonts w:ascii="Times New Roman" w:hAnsi="Times New Roman" w:cs="Times New Roman"/>
          <w:bCs/>
          <w:sz w:val="24"/>
          <w:szCs w:val="24"/>
        </w:rPr>
        <w:t xml:space="preserve">vyks CVP IS nurodytą pasiūlymų pateikimo dieną. </w:t>
      </w:r>
      <w:r w:rsidR="00A22176" w:rsidRPr="00CF10FC">
        <w:rPr>
          <w:rFonts w:ascii="Times New Roman" w:hAnsi="Times New Roman" w:cs="Times New Roman"/>
          <w:sz w:val="24"/>
          <w:szCs w:val="24"/>
        </w:rPr>
        <w:t>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lastRenderedPageBreak/>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3FF1CEC8"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050144">
        <w:rPr>
          <w:b/>
          <w:bCs/>
        </w:rPr>
        <w:t>atidėjimo terminas netaikomas</w:t>
      </w:r>
      <w:r w:rsidRPr="00DF56F0">
        <w:t>.</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lastRenderedPageBreak/>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1EA2C498" w14:textId="123D6C6A" w:rsidR="00291A2C" w:rsidRPr="00291A2C" w:rsidRDefault="00291A2C" w:rsidP="00291A2C">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291A2C">
        <w:rPr>
          <w:rFonts w:ascii="Times New Roman" w:eastAsia="Calibri" w:hAnsi="Times New Roman" w:cs="Times New Roman"/>
          <w:sz w:val="24"/>
          <w:szCs w:val="24"/>
        </w:rPr>
        <w:t>Su laimėjusiu tiekėju bus sudaromo žodinė sutartis galiojanti iki 2025 m. gruodžio 15 d. (</w:t>
      </w:r>
      <w:r w:rsidR="00587579">
        <w:rPr>
          <w:rFonts w:ascii="Times New Roman" w:eastAsia="Calibri" w:hAnsi="Times New Roman" w:cs="Times New Roman"/>
          <w:sz w:val="24"/>
          <w:szCs w:val="24"/>
        </w:rPr>
        <w:t xml:space="preserve">įskaitant </w:t>
      </w:r>
      <w:r w:rsidRPr="00291A2C">
        <w:rPr>
          <w:rFonts w:ascii="Times New Roman" w:eastAsia="Calibri" w:hAnsi="Times New Roman" w:cs="Times New Roman"/>
          <w:sz w:val="24"/>
          <w:szCs w:val="24"/>
        </w:rPr>
        <w:t>atsiskaitymo laikotarp</w:t>
      </w:r>
      <w:r w:rsidR="00B62B3D">
        <w:rPr>
          <w:rFonts w:ascii="Times New Roman" w:eastAsia="Calibri" w:hAnsi="Times New Roman" w:cs="Times New Roman"/>
          <w:sz w:val="24"/>
          <w:szCs w:val="24"/>
        </w:rPr>
        <w:t>į</w:t>
      </w:r>
      <w:r w:rsidRPr="00291A2C">
        <w:rPr>
          <w:rFonts w:ascii="Times New Roman" w:eastAsia="Calibri" w:hAnsi="Times New Roman" w:cs="Times New Roman"/>
          <w:sz w:val="24"/>
          <w:szCs w:val="24"/>
        </w:rPr>
        <w:t>).</w:t>
      </w:r>
    </w:p>
    <w:p w14:paraId="2EDB5BA5" w14:textId="36E51D45"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informuojamas apie žodinės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r w:rsidR="004175DB">
        <w:rPr>
          <w:rFonts w:ascii="Times New Roman" w:eastAsia="Times New Roman" w:hAnsi="Times New Roman" w:cs="Times New Roman"/>
          <w:sz w:val="24"/>
          <w:szCs w:val="24"/>
          <w:lang w:eastAsia="ar-SA"/>
        </w:rPr>
        <w:t>.</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5E160A">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F935F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0EA0A4A1"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00BE1B19">
        <w:rPr>
          <w:rFonts w:ascii="Times New Roman" w:hAnsi="Times New Roman" w:cs="Times New Roman"/>
          <w:sz w:val="24"/>
          <w:szCs w:val="24"/>
        </w:rPr>
        <w:t>žodinės</w:t>
      </w:r>
      <w:r w:rsidRPr="00F935F6">
        <w:rPr>
          <w:rFonts w:ascii="Times New Roman" w:hAnsi="Times New Roman" w:cs="Times New Roman"/>
          <w:sz w:val="24"/>
          <w:szCs w:val="24"/>
        </w:rPr>
        <w:t xml:space="preserve"> 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.9. punkte nurodytų atmetimo priežasčių.</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D54B" w14:textId="77777777" w:rsidR="009D6B0D" w:rsidRDefault="009D6B0D" w:rsidP="00E65C87">
      <w:pPr>
        <w:spacing w:after="0" w:line="240" w:lineRule="auto"/>
      </w:pPr>
      <w:r>
        <w:separator/>
      </w:r>
    </w:p>
  </w:endnote>
  <w:endnote w:type="continuationSeparator" w:id="0">
    <w:p w14:paraId="7E5180E5" w14:textId="77777777" w:rsidR="009D6B0D" w:rsidRDefault="009D6B0D"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32A1" w14:textId="77777777" w:rsidR="009D6B0D" w:rsidRDefault="009D6B0D" w:rsidP="00E65C87">
      <w:pPr>
        <w:spacing w:after="0" w:line="240" w:lineRule="auto"/>
      </w:pPr>
      <w:r>
        <w:separator/>
      </w:r>
    </w:p>
  </w:footnote>
  <w:footnote w:type="continuationSeparator" w:id="0">
    <w:p w14:paraId="0DF8F99B" w14:textId="77777777" w:rsidR="009D6B0D" w:rsidRDefault="009D6B0D"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40E1FBE"/>
    <w:multiLevelType w:val="hybridMultilevel"/>
    <w:tmpl w:val="D868B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75461B2"/>
    <w:multiLevelType w:val="multilevel"/>
    <w:tmpl w:val="FBBAB246"/>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ascii="Times New Roman" w:eastAsia="Times New Roman" w:hAnsi="Times New Roman" w:cs="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3"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4"/>
  </w:num>
  <w:num w:numId="2" w16cid:durableId="1976374544">
    <w:abstractNumId w:val="0"/>
  </w:num>
  <w:num w:numId="3" w16cid:durableId="46339512">
    <w:abstractNumId w:val="8"/>
  </w:num>
  <w:num w:numId="4" w16cid:durableId="172115883">
    <w:abstractNumId w:val="10"/>
  </w:num>
  <w:num w:numId="5" w16cid:durableId="411506212">
    <w:abstractNumId w:val="1"/>
  </w:num>
  <w:num w:numId="6" w16cid:durableId="1909804833">
    <w:abstractNumId w:val="6"/>
  </w:num>
  <w:num w:numId="7" w16cid:durableId="2122524931">
    <w:abstractNumId w:val="11"/>
  </w:num>
  <w:num w:numId="8" w16cid:durableId="1722365960">
    <w:abstractNumId w:val="12"/>
  </w:num>
  <w:num w:numId="9" w16cid:durableId="1911689742">
    <w:abstractNumId w:val="5"/>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3"/>
  </w:num>
  <w:num w:numId="12" w16cid:durableId="1500341256">
    <w:abstractNumId w:val="16"/>
  </w:num>
  <w:num w:numId="13" w16cid:durableId="162626826">
    <w:abstractNumId w:val="9"/>
  </w:num>
  <w:num w:numId="14" w16cid:durableId="182088749">
    <w:abstractNumId w:val="13"/>
  </w:num>
  <w:num w:numId="15" w16cid:durableId="409549435">
    <w:abstractNumId w:val="7"/>
  </w:num>
  <w:num w:numId="16" w16cid:durableId="733817974">
    <w:abstractNumId w:val="15"/>
  </w:num>
  <w:num w:numId="17" w16cid:durableId="1866212981">
    <w:abstractNumId w:val="14"/>
  </w:num>
  <w:num w:numId="18" w16cid:durableId="119453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2FF4"/>
    <w:rsid w:val="000415E9"/>
    <w:rsid w:val="00050144"/>
    <w:rsid w:val="000707FA"/>
    <w:rsid w:val="00084EF0"/>
    <w:rsid w:val="000B7809"/>
    <w:rsid w:val="000E3E4B"/>
    <w:rsid w:val="000F5BCC"/>
    <w:rsid w:val="000F7198"/>
    <w:rsid w:val="00153EA2"/>
    <w:rsid w:val="001944BF"/>
    <w:rsid w:val="001B1F0F"/>
    <w:rsid w:val="001B42B2"/>
    <w:rsid w:val="001F1961"/>
    <w:rsid w:val="002275F0"/>
    <w:rsid w:val="002808E4"/>
    <w:rsid w:val="0028774E"/>
    <w:rsid w:val="00290995"/>
    <w:rsid w:val="00291A2C"/>
    <w:rsid w:val="002B5A9E"/>
    <w:rsid w:val="002C0267"/>
    <w:rsid w:val="002D6E75"/>
    <w:rsid w:val="002E5705"/>
    <w:rsid w:val="002F51C6"/>
    <w:rsid w:val="003118B4"/>
    <w:rsid w:val="00323659"/>
    <w:rsid w:val="003269BA"/>
    <w:rsid w:val="00345A8A"/>
    <w:rsid w:val="00347D5B"/>
    <w:rsid w:val="00351396"/>
    <w:rsid w:val="00394D66"/>
    <w:rsid w:val="003A1E61"/>
    <w:rsid w:val="003B06DF"/>
    <w:rsid w:val="003B253A"/>
    <w:rsid w:val="003B7068"/>
    <w:rsid w:val="003D5039"/>
    <w:rsid w:val="003F22BD"/>
    <w:rsid w:val="003F527A"/>
    <w:rsid w:val="003F7985"/>
    <w:rsid w:val="004015B8"/>
    <w:rsid w:val="0040531B"/>
    <w:rsid w:val="004175DB"/>
    <w:rsid w:val="00421D5E"/>
    <w:rsid w:val="00431536"/>
    <w:rsid w:val="0043739B"/>
    <w:rsid w:val="00446B07"/>
    <w:rsid w:val="00446B64"/>
    <w:rsid w:val="0048583F"/>
    <w:rsid w:val="00497E0F"/>
    <w:rsid w:val="004A345B"/>
    <w:rsid w:val="004C0DC9"/>
    <w:rsid w:val="004E26B6"/>
    <w:rsid w:val="004E3FF5"/>
    <w:rsid w:val="004E4D54"/>
    <w:rsid w:val="004F34BE"/>
    <w:rsid w:val="00507089"/>
    <w:rsid w:val="00553E26"/>
    <w:rsid w:val="00556262"/>
    <w:rsid w:val="005657B7"/>
    <w:rsid w:val="00577D97"/>
    <w:rsid w:val="00582F14"/>
    <w:rsid w:val="00587579"/>
    <w:rsid w:val="00592E5C"/>
    <w:rsid w:val="005B3F4F"/>
    <w:rsid w:val="005B6391"/>
    <w:rsid w:val="005C2928"/>
    <w:rsid w:val="005C3DC0"/>
    <w:rsid w:val="005C564F"/>
    <w:rsid w:val="005E160A"/>
    <w:rsid w:val="00610A00"/>
    <w:rsid w:val="00677E84"/>
    <w:rsid w:val="006A3B5C"/>
    <w:rsid w:val="006B067D"/>
    <w:rsid w:val="006B7320"/>
    <w:rsid w:val="006C2ABD"/>
    <w:rsid w:val="006D0AF1"/>
    <w:rsid w:val="006D75BC"/>
    <w:rsid w:val="006E396B"/>
    <w:rsid w:val="006F4D31"/>
    <w:rsid w:val="00721299"/>
    <w:rsid w:val="007218B1"/>
    <w:rsid w:val="00723C16"/>
    <w:rsid w:val="00730B49"/>
    <w:rsid w:val="00751146"/>
    <w:rsid w:val="00756DDB"/>
    <w:rsid w:val="00782AE1"/>
    <w:rsid w:val="007A3889"/>
    <w:rsid w:val="007B43D2"/>
    <w:rsid w:val="007D1C33"/>
    <w:rsid w:val="007E0FBB"/>
    <w:rsid w:val="007F0A63"/>
    <w:rsid w:val="0082374B"/>
    <w:rsid w:val="00860FC3"/>
    <w:rsid w:val="00863A09"/>
    <w:rsid w:val="00883972"/>
    <w:rsid w:val="008A595D"/>
    <w:rsid w:val="008B6CA1"/>
    <w:rsid w:val="008D7FF1"/>
    <w:rsid w:val="008E1A38"/>
    <w:rsid w:val="008E74D5"/>
    <w:rsid w:val="008E7F68"/>
    <w:rsid w:val="008F6AA9"/>
    <w:rsid w:val="0090575C"/>
    <w:rsid w:val="0091399B"/>
    <w:rsid w:val="0093102E"/>
    <w:rsid w:val="00960EE3"/>
    <w:rsid w:val="00962B98"/>
    <w:rsid w:val="00975A3C"/>
    <w:rsid w:val="00983679"/>
    <w:rsid w:val="00994F9A"/>
    <w:rsid w:val="00995893"/>
    <w:rsid w:val="00997DE7"/>
    <w:rsid w:val="009A6684"/>
    <w:rsid w:val="009C5E52"/>
    <w:rsid w:val="009D6B0D"/>
    <w:rsid w:val="009E43DB"/>
    <w:rsid w:val="009E77EE"/>
    <w:rsid w:val="00A1077F"/>
    <w:rsid w:val="00A22176"/>
    <w:rsid w:val="00A2383A"/>
    <w:rsid w:val="00A27857"/>
    <w:rsid w:val="00A57BC7"/>
    <w:rsid w:val="00A6090C"/>
    <w:rsid w:val="00A6642E"/>
    <w:rsid w:val="00A70517"/>
    <w:rsid w:val="00A724EB"/>
    <w:rsid w:val="00A73F8F"/>
    <w:rsid w:val="00A92DD5"/>
    <w:rsid w:val="00A93F16"/>
    <w:rsid w:val="00AA6543"/>
    <w:rsid w:val="00AC1E6B"/>
    <w:rsid w:val="00AD3905"/>
    <w:rsid w:val="00AD5796"/>
    <w:rsid w:val="00AE6FE7"/>
    <w:rsid w:val="00AF4677"/>
    <w:rsid w:val="00B21C5C"/>
    <w:rsid w:val="00B51758"/>
    <w:rsid w:val="00B62B3D"/>
    <w:rsid w:val="00B659F6"/>
    <w:rsid w:val="00B7682A"/>
    <w:rsid w:val="00B919A4"/>
    <w:rsid w:val="00B91F9A"/>
    <w:rsid w:val="00BA6046"/>
    <w:rsid w:val="00BC6EDC"/>
    <w:rsid w:val="00BE1B19"/>
    <w:rsid w:val="00BF57F7"/>
    <w:rsid w:val="00BF5B3D"/>
    <w:rsid w:val="00C42030"/>
    <w:rsid w:val="00C51B53"/>
    <w:rsid w:val="00C55E2A"/>
    <w:rsid w:val="00C56D52"/>
    <w:rsid w:val="00C64915"/>
    <w:rsid w:val="00C778C1"/>
    <w:rsid w:val="00C8113E"/>
    <w:rsid w:val="00CA3CB6"/>
    <w:rsid w:val="00CB56DE"/>
    <w:rsid w:val="00CC72AE"/>
    <w:rsid w:val="00CF10FC"/>
    <w:rsid w:val="00D27614"/>
    <w:rsid w:val="00D51A0E"/>
    <w:rsid w:val="00D570DF"/>
    <w:rsid w:val="00D7091B"/>
    <w:rsid w:val="00D768EE"/>
    <w:rsid w:val="00D97E90"/>
    <w:rsid w:val="00DA0653"/>
    <w:rsid w:val="00DB0AFD"/>
    <w:rsid w:val="00DC53AB"/>
    <w:rsid w:val="00DD056C"/>
    <w:rsid w:val="00DF5B1D"/>
    <w:rsid w:val="00E442B2"/>
    <w:rsid w:val="00E45287"/>
    <w:rsid w:val="00E553B7"/>
    <w:rsid w:val="00E5664C"/>
    <w:rsid w:val="00E65C87"/>
    <w:rsid w:val="00E9476E"/>
    <w:rsid w:val="00EA5E7A"/>
    <w:rsid w:val="00EB1354"/>
    <w:rsid w:val="00F00B95"/>
    <w:rsid w:val="00F04445"/>
    <w:rsid w:val="00F935F6"/>
    <w:rsid w:val="00FA0E33"/>
    <w:rsid w:val="00FB6D19"/>
    <w:rsid w:val="00FC3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15452</Words>
  <Characters>8809</Characters>
  <Application>Microsoft Office Word</Application>
  <DocSecurity>0</DocSecurity>
  <Lines>73</Lines>
  <Paragraphs>48</Paragraphs>
  <ScaleCrop>false</ScaleCrop>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61</cp:revision>
  <dcterms:created xsi:type="dcterms:W3CDTF">2025-08-08T12:11:00Z</dcterms:created>
  <dcterms:modified xsi:type="dcterms:W3CDTF">2025-08-12T08:25:00Z</dcterms:modified>
</cp:coreProperties>
</file>