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D80D22">
      <w:pPr>
        <w:tabs>
          <w:tab w:val="left" w:pos="1701"/>
        </w:tabs>
        <w:ind w:firstLine="1298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A9509C">
      <w:pPr>
        <w:tabs>
          <w:tab w:val="left" w:pos="1701"/>
        </w:tabs>
        <w:ind w:firstLine="1298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A9509C">
      <w:pPr>
        <w:tabs>
          <w:tab w:val="left" w:pos="1701"/>
        </w:tabs>
        <w:ind w:firstLine="1298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p w14:paraId="581FF50F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7F886761" w14:textId="77777777" w:rsidR="00F0221C" w:rsidRPr="00F0221C" w:rsidRDefault="00F0221C" w:rsidP="00F0221C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F0221C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52546B66" w:rsidR="00F0221C" w:rsidRPr="00F0221C" w:rsidRDefault="00F0221C" w:rsidP="00F0221C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</w:t>
            </w:r>
            <w:r w:rsidRPr="00F0221C">
              <w:rPr>
                <w:b/>
                <w:bCs/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107785">
              <w:rPr>
                <w:b/>
                <w:bCs/>
                <w:szCs w:val="24"/>
                <w:bdr w:val="none" w:sz="0" w:space="0" w:color="auto" w:frame="1"/>
              </w:rPr>
              <w:t>.</w:t>
            </w:r>
          </w:p>
          <w:p w14:paraId="4339D7FB" w14:textId="054F19D6" w:rsidR="00F0221C" w:rsidRPr="00D44103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</w:t>
            </w:r>
            <w:r w:rsidR="00492796">
              <w:rPr>
                <w:b/>
                <w:bCs/>
                <w:iCs/>
                <w:szCs w:val="24"/>
                <w:bdr w:val="none" w:sz="0" w:space="0" w:color="auto" w:frame="1"/>
              </w:rPr>
              <w:t>2 mėn.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3F8431BA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F0221C">
      <w:pPr>
        <w:tabs>
          <w:tab w:val="left" w:pos="993"/>
        </w:tabs>
        <w:autoSpaceDN w:val="0"/>
        <w:ind w:firstLine="567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168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77777777" w:rsidR="00F0221C" w:rsidRPr="00F0221C" w:rsidRDefault="00F0221C" w:rsidP="00F0221C">
            <w:pPr>
              <w:tabs>
                <w:tab w:val="left" w:pos="318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05AEE283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b/>
          <w:szCs w:val="24"/>
        </w:rPr>
      </w:pPr>
    </w:p>
    <w:p w14:paraId="2134755D" w14:textId="40A5D032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>Pirmas kriterijus – Kaina (C). Pasiūlymo kainos (C) balai apskaičiuojami mažiausios pasiūlytos kainos (C</w:t>
      </w:r>
      <w:r w:rsidRPr="004D7E35">
        <w:rPr>
          <w:rFonts w:eastAsia="Calibri"/>
          <w:bCs/>
          <w:szCs w:val="24"/>
          <w:vertAlign w:val="subscript"/>
        </w:rPr>
        <w:t>min</w:t>
      </w:r>
      <w:r w:rsidRPr="004D7E35">
        <w:rPr>
          <w:rFonts w:eastAsia="Calibri"/>
          <w:bCs/>
          <w:szCs w:val="24"/>
        </w:rPr>
        <w:t>) ir vertinamo pasiūlymo kainos (C</w:t>
      </w:r>
      <w:r w:rsidRPr="004D7E35">
        <w:rPr>
          <w:rFonts w:eastAsia="Calibri"/>
          <w:bCs/>
          <w:szCs w:val="24"/>
          <w:vertAlign w:val="subscript"/>
        </w:rPr>
        <w:t>p</w:t>
      </w:r>
      <w:r w:rsidRPr="004D7E35">
        <w:rPr>
          <w:rFonts w:eastAsia="Calibri"/>
          <w:bCs/>
          <w:szCs w:val="24"/>
        </w:rPr>
        <w:t>) santykį padauginant iš kainos lyginamojo svorio (X):</w:t>
      </w:r>
    </w:p>
    <w:p w14:paraId="7487317A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color w:val="000000"/>
          <w:spacing w:val="-5"/>
          <w:szCs w:val="24"/>
        </w:rPr>
      </w:pPr>
    </w:p>
    <w:p w14:paraId="01821B2F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8DB2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</w:p>
    <w:p w14:paraId="35EB8A05" w14:textId="53BB6EB1" w:rsidR="008B1462" w:rsidRDefault="00F0221C" w:rsidP="00D44103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D44103" w:rsidDel="001E248D">
        <w:rPr>
          <w:rFonts w:eastAsia="Calibri"/>
          <w:bCs/>
          <w:szCs w:val="24"/>
          <w:lang w:eastAsia="lt-LT"/>
        </w:rPr>
        <w:t xml:space="preserve"> </w:t>
      </w:r>
      <w:r w:rsidRPr="00D44103">
        <w:rPr>
          <w:rFonts w:eastAsia="Calibri"/>
          <w:iCs/>
          <w:szCs w:val="24"/>
        </w:rPr>
        <w:t xml:space="preserve">Darbų atlikimo terminas negali būti </w:t>
      </w:r>
      <w:r w:rsidRPr="00D44103">
        <w:rPr>
          <w:rFonts w:eastAsia="Calibri"/>
          <w:iCs/>
          <w:color w:val="000000"/>
          <w:szCs w:val="24"/>
        </w:rPr>
        <w:t xml:space="preserve">ilgesnis kaip </w:t>
      </w:r>
      <w:r w:rsidR="000865D5">
        <w:rPr>
          <w:rFonts w:eastAsia="Calibri"/>
          <w:iCs/>
          <w:color w:val="000000"/>
          <w:szCs w:val="24"/>
        </w:rPr>
        <w:t>2 mėn.</w:t>
      </w:r>
      <w:r w:rsidRPr="00D44103">
        <w:rPr>
          <w:rFonts w:eastAsia="Calibri"/>
          <w:iCs/>
          <w:color w:val="000000"/>
          <w:szCs w:val="24"/>
        </w:rPr>
        <w:t xml:space="preserve"> </w:t>
      </w:r>
      <w:r w:rsidRPr="00D44103">
        <w:rPr>
          <w:rFonts w:eastAsia="Calibri"/>
          <w:iCs/>
          <w:szCs w:val="24"/>
        </w:rPr>
        <w:t>nuo pirkimo sutarties įsigaliojimo</w:t>
      </w:r>
      <w:r w:rsidRPr="00D44103">
        <w:rPr>
          <w:rFonts w:eastAsia="Calibri"/>
          <w:bCs/>
          <w:szCs w:val="24"/>
        </w:rPr>
        <w:t>.</w:t>
      </w:r>
      <w:r w:rsidRP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D44103">
        <w:rPr>
          <w:rFonts w:eastAsia="Calibri"/>
          <w:szCs w:val="24"/>
        </w:rPr>
        <w:t>Terminas dienomis pasiūlyme turi būti įrašytas sveiku skaičiumi.</w:t>
      </w:r>
      <w:r w:rsid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szCs w:val="24"/>
        </w:rPr>
        <w:t>Tiekėjo nurodytas darbų atlikimo terminas turi būti pagrįstas,</w:t>
      </w:r>
      <w:r w:rsidRPr="00D44103">
        <w:rPr>
          <w:rFonts w:eastAsia="Calibri"/>
          <w:b/>
          <w:bCs/>
          <w:szCs w:val="24"/>
        </w:rPr>
        <w:t xml:space="preserve"> todėl tiekėjas kartu su pasiūlymu turi pateikti Rangos darbų </w:t>
      </w:r>
      <w:r w:rsidR="00D44103" w:rsidRPr="00D44103">
        <w:rPr>
          <w:rFonts w:eastAsia="Calibri"/>
          <w:b/>
          <w:bCs/>
          <w:szCs w:val="24"/>
        </w:rPr>
        <w:t>vykdymo</w:t>
      </w:r>
      <w:r w:rsidRPr="00D44103">
        <w:rPr>
          <w:rFonts w:eastAsia="Calibri"/>
          <w:b/>
          <w:bCs/>
          <w:szCs w:val="24"/>
        </w:rPr>
        <w:t xml:space="preserve"> grafiką</w:t>
      </w:r>
      <w:r w:rsidR="00D44103" w:rsidRPr="00D44103">
        <w:rPr>
          <w:rFonts w:eastAsia="Calibri"/>
          <w:b/>
          <w:bCs/>
          <w:szCs w:val="24"/>
        </w:rPr>
        <w:t xml:space="preserve"> (pagal p</w:t>
      </w:r>
      <w:r w:rsidRPr="00D44103">
        <w:rPr>
          <w:rFonts w:eastAsia="Calibri"/>
          <w:b/>
          <w:bCs/>
          <w:szCs w:val="24"/>
        </w:rPr>
        <w:t xml:space="preserve">irkimo sąlygų </w:t>
      </w:r>
      <w:r w:rsidR="00D44103" w:rsidRPr="00D44103">
        <w:rPr>
          <w:rFonts w:eastAsia="Calibri"/>
          <w:b/>
          <w:bCs/>
          <w:szCs w:val="24"/>
        </w:rPr>
        <w:t>9</w:t>
      </w:r>
      <w:r w:rsidRPr="00D44103">
        <w:rPr>
          <w:rFonts w:eastAsia="Calibri"/>
          <w:b/>
          <w:bCs/>
          <w:szCs w:val="24"/>
        </w:rPr>
        <w:t xml:space="preserve"> pried</w:t>
      </w:r>
      <w:r w:rsidR="00D44103" w:rsidRPr="00D44103">
        <w:rPr>
          <w:rFonts w:eastAsia="Calibri"/>
          <w:b/>
          <w:bCs/>
          <w:szCs w:val="24"/>
        </w:rPr>
        <w:t>ą)</w:t>
      </w:r>
      <w:r w:rsidRPr="00D44103">
        <w:rPr>
          <w:rFonts w:eastAsia="Calibri"/>
          <w:szCs w:val="24"/>
        </w:rPr>
        <w:t>.</w:t>
      </w:r>
      <w:r w:rsidR="00D44103" w:rsidRPr="00D44103">
        <w:rPr>
          <w:rFonts w:eastAsia="Calibri"/>
          <w:szCs w:val="24"/>
        </w:rPr>
        <w:t xml:space="preserve"> </w:t>
      </w:r>
      <w:r w:rsidR="008B1462" w:rsidRPr="00D44103">
        <w:rPr>
          <w:rFonts w:eastAsia="Calibri"/>
          <w:color w:val="000000"/>
          <w:szCs w:val="24"/>
        </w:rPr>
        <w:t>Jei tiekėjas nurodys trumpesnį kaip 15 dienų darbų atlikimo terminą, skaičiuojant šio kriterijaus reikšmę, bus skiriama 15 balų.</w:t>
      </w:r>
    </w:p>
    <w:p w14:paraId="315BBC9D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19E87C89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66C32DBE" w14:textId="77777777" w:rsidR="003F7728" w:rsidRPr="00D44103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color w:val="000000"/>
          <w:szCs w:val="24"/>
        </w:rPr>
      </w:pPr>
    </w:p>
    <w:p w14:paraId="710D73D7" w14:textId="080309B7" w:rsidR="00F0221C" w:rsidRPr="00D44103" w:rsidRDefault="00F0221C" w:rsidP="004D7E35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color w:val="000000"/>
          <w:szCs w:val="24"/>
        </w:rPr>
        <w:lastRenderedPageBreak/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930"/>
        <w:gridCol w:w="4111"/>
      </w:tblGrid>
      <w:tr w:rsidR="00F0221C" w:rsidRPr="00D44103" w14:paraId="145275C3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FBB6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2EC251A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5A04" w14:textId="1A048397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04D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(DG)</w:t>
            </w:r>
          </w:p>
        </w:tc>
      </w:tr>
      <w:tr w:rsidR="00F0221C" w:rsidRPr="00D44103" w14:paraId="72936B1A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0DF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bookmarkStart w:id="3" w:name="_Hlk199496411"/>
            <w:r w:rsidRPr="00D44103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CC58" w14:textId="42E82936" w:rsidR="00F0221C" w:rsidRPr="00D44103" w:rsidRDefault="000865D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iCs/>
                <w:color w:val="000000"/>
                <w:szCs w:val="24"/>
              </w:rPr>
              <w:t>2 mėn.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23F0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F0221C" w:rsidRPr="00D44103" w14:paraId="345C70F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823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B94" w14:textId="146D9BA1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 dienomis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D7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F0221C" w:rsidRPr="00D44103" w14:paraId="5EF5BADD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2599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54F" w14:textId="60977833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2AA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F0221C" w:rsidRPr="00F0221C" w14:paraId="6B47655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9897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8657" w14:textId="2880B898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4E6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</w:t>
            </w:r>
          </w:p>
        </w:tc>
      </w:tr>
      <w:bookmarkEnd w:id="3"/>
    </w:tbl>
    <w:p w14:paraId="2D08510A" w14:textId="77777777" w:rsidR="00F0221C" w:rsidRPr="00F0221C" w:rsidRDefault="00F0221C" w:rsidP="00F0221C">
      <w:pPr>
        <w:tabs>
          <w:tab w:val="left" w:pos="567"/>
        </w:tabs>
        <w:autoSpaceDN w:val="0"/>
        <w:spacing w:before="120"/>
        <w:ind w:left="1069"/>
        <w:contextualSpacing/>
        <w:rPr>
          <w:rFonts w:eastAsia="Calibri"/>
          <w:szCs w:val="24"/>
        </w:rPr>
      </w:pPr>
    </w:p>
    <w:p w14:paraId="39DC82F4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123BFC22" w14:textId="34B9C492" w:rsidR="003D4647" w:rsidRPr="004D7E35" w:rsidRDefault="003D4647" w:rsidP="008D2F7C">
      <w:pPr>
        <w:shd w:val="clear" w:color="auto" w:fill="FFFFFF"/>
        <w:tabs>
          <w:tab w:val="left" w:pos="709"/>
          <w:tab w:val="left" w:pos="1843"/>
        </w:tabs>
        <w:ind w:firstLine="1298"/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25D1" w14:textId="77777777" w:rsidR="00BC694E" w:rsidRDefault="00BC694E" w:rsidP="006E383A">
      <w:r>
        <w:separator/>
      </w:r>
    </w:p>
  </w:endnote>
  <w:endnote w:type="continuationSeparator" w:id="0">
    <w:p w14:paraId="0D040B8C" w14:textId="77777777" w:rsidR="00BC694E" w:rsidRDefault="00BC694E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3BD4" w14:textId="77777777" w:rsidR="00BC694E" w:rsidRDefault="00BC694E" w:rsidP="006E383A">
      <w:r>
        <w:separator/>
      </w:r>
    </w:p>
  </w:footnote>
  <w:footnote w:type="continuationSeparator" w:id="0">
    <w:p w14:paraId="38632863" w14:textId="77777777" w:rsidR="00BC694E" w:rsidRDefault="00BC694E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9"/>
  </w:num>
  <w:num w:numId="9" w16cid:durableId="1903982339">
    <w:abstractNumId w:val="6"/>
  </w:num>
  <w:num w:numId="10" w16cid:durableId="54029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865D5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20507A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317C"/>
    <w:rsid w:val="002E626C"/>
    <w:rsid w:val="0031632B"/>
    <w:rsid w:val="00326AD6"/>
    <w:rsid w:val="00330F7B"/>
    <w:rsid w:val="003322C5"/>
    <w:rsid w:val="00335FCB"/>
    <w:rsid w:val="003626C8"/>
    <w:rsid w:val="003660B8"/>
    <w:rsid w:val="00371F5B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92796"/>
    <w:rsid w:val="00494F49"/>
    <w:rsid w:val="004A3668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E383A"/>
    <w:rsid w:val="006E604D"/>
    <w:rsid w:val="00703AA0"/>
    <w:rsid w:val="00726507"/>
    <w:rsid w:val="00744911"/>
    <w:rsid w:val="00770AF3"/>
    <w:rsid w:val="007966E5"/>
    <w:rsid w:val="007A018E"/>
    <w:rsid w:val="007A583C"/>
    <w:rsid w:val="007B02C0"/>
    <w:rsid w:val="007D6D82"/>
    <w:rsid w:val="007E6D96"/>
    <w:rsid w:val="00800D20"/>
    <w:rsid w:val="008136ED"/>
    <w:rsid w:val="00814120"/>
    <w:rsid w:val="00841302"/>
    <w:rsid w:val="0084548F"/>
    <w:rsid w:val="00846FDD"/>
    <w:rsid w:val="008517A8"/>
    <w:rsid w:val="008B1462"/>
    <w:rsid w:val="008D2F7C"/>
    <w:rsid w:val="008D680D"/>
    <w:rsid w:val="008E159A"/>
    <w:rsid w:val="008F68E3"/>
    <w:rsid w:val="0093220C"/>
    <w:rsid w:val="0094257E"/>
    <w:rsid w:val="009619B9"/>
    <w:rsid w:val="009650B1"/>
    <w:rsid w:val="00967DFC"/>
    <w:rsid w:val="00971BEB"/>
    <w:rsid w:val="00990E39"/>
    <w:rsid w:val="00997A47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B319A"/>
    <w:rsid w:val="00AC316A"/>
    <w:rsid w:val="00AC46A8"/>
    <w:rsid w:val="00AC6521"/>
    <w:rsid w:val="00AD6292"/>
    <w:rsid w:val="00AE102D"/>
    <w:rsid w:val="00B00152"/>
    <w:rsid w:val="00B0626C"/>
    <w:rsid w:val="00B343F3"/>
    <w:rsid w:val="00B36916"/>
    <w:rsid w:val="00B50EC7"/>
    <w:rsid w:val="00B52539"/>
    <w:rsid w:val="00B94986"/>
    <w:rsid w:val="00BB0E21"/>
    <w:rsid w:val="00BB1EB0"/>
    <w:rsid w:val="00BC1117"/>
    <w:rsid w:val="00BC694E"/>
    <w:rsid w:val="00BD6C84"/>
    <w:rsid w:val="00BE5124"/>
    <w:rsid w:val="00C00822"/>
    <w:rsid w:val="00C2363B"/>
    <w:rsid w:val="00C30CD5"/>
    <w:rsid w:val="00C43F4C"/>
    <w:rsid w:val="00C5422C"/>
    <w:rsid w:val="00C734FA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C2824"/>
    <w:rsid w:val="00EC39E2"/>
    <w:rsid w:val="00EC450B"/>
    <w:rsid w:val="00ED6259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C30"/>
    <w:rsid w:val="00FB1BD0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Justina Puleikytė</cp:lastModifiedBy>
  <cp:revision>78</cp:revision>
  <cp:lastPrinted>2022-02-14T13:31:00Z</cp:lastPrinted>
  <dcterms:created xsi:type="dcterms:W3CDTF">2022-02-10T08:49:00Z</dcterms:created>
  <dcterms:modified xsi:type="dcterms:W3CDTF">2025-08-12T11:08:00Z</dcterms:modified>
</cp:coreProperties>
</file>