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33256A2B"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277924">
            <w:rPr>
              <w:rFonts w:ascii="Times New Roman" w:hAnsi="Times New Roman" w:cs="Times New Roman"/>
              <w:sz w:val="24"/>
              <w:szCs w:val="24"/>
            </w:rPr>
            <w:t>8</w:t>
          </w:r>
          <w:r w:rsidR="00C70F39">
            <w:rPr>
              <w:rFonts w:ascii="Times New Roman" w:hAnsi="Times New Roman" w:cs="Times New Roman"/>
              <w:sz w:val="24"/>
              <w:szCs w:val="24"/>
            </w:rPr>
            <w:t>-</w:t>
          </w:r>
          <w:r w:rsidR="00B30389">
            <w:rPr>
              <w:rFonts w:ascii="Times New Roman" w:hAnsi="Times New Roman" w:cs="Times New Roman"/>
              <w:sz w:val="24"/>
              <w:szCs w:val="24"/>
            </w:rPr>
            <w:t>12</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4E91411"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B30389" w:rsidRPr="00B30389">
            <w:rPr>
              <w:rFonts w:ascii="Times New Roman" w:hAnsi="Times New Roman" w:cs="Times New Roman"/>
              <w:b/>
              <w:bCs/>
              <w:sz w:val="24"/>
              <w:szCs w:val="24"/>
            </w:rPr>
            <w:t>ELEKTRONINIO ĮRANKIO, SKIRTO LIETUVIŲ (NE GIMTOSIOS) KALBOS MOKĖJIMUI IR ĮGYTOMS KOMPETENCIJOMS VERTINTI, VYSTYMAS IR PRIEŽIŪRA</w:t>
          </w:r>
          <w:r w:rsidR="000E5066" w:rsidRPr="000E5066">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79705104" w14:textId="216A591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p>
                <w:p w14:paraId="64E0F592" w14:textId="486D0E70" w:rsidR="003F1852" w:rsidRDefault="003F1852" w:rsidP="003F1852">
                  <w:pPr>
                    <w:pStyle w:val="Turinys2"/>
                    <w:spacing w:line="240" w:lineRule="auto"/>
                    <w:rPr>
                      <w:rFonts w:ascii="Times New Roman" w:hAnsi="Times New Roman" w:cs="Times New Roman"/>
                      <w:noProof/>
                      <w:sz w:val="24"/>
                      <w:szCs w:val="24"/>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35</w:t>
                    </w:r>
                  </w:hyperlink>
                </w:p>
                <w:p w14:paraId="11EC1F2B" w14:textId="00BC8D33" w:rsidR="000E5AD7" w:rsidRPr="0026700E" w:rsidRDefault="000E5AD7" w:rsidP="000E5AD7">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w:t>
                    </w:r>
                    <w:r>
                      <w:rPr>
                        <w:rStyle w:val="Hipersaitas"/>
                        <w:rFonts w:ascii="Times New Roman" w:eastAsia="Calibri" w:hAnsi="Times New Roman" w:cs="Times New Roman"/>
                        <w:noProof/>
                        <w:sz w:val="24"/>
                        <w:szCs w:val="24"/>
                      </w:rPr>
                      <w:t>2</w:t>
                    </w:r>
                    <w:r w:rsidRPr="0026700E">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Įvykdytos sutartys</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36</w:t>
                    </w:r>
                  </w:hyperlink>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E914EF"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11DB83A7" w:rsidR="00B41C66" w:rsidRPr="0008538B" w:rsidRDefault="00C76EA8" w:rsidP="00EA2EC9">
      <w:pPr>
        <w:pStyle w:val="Numeravimas"/>
        <w:tabs>
          <w:tab w:val="left" w:pos="993"/>
        </w:tabs>
        <w:ind w:firstLine="567"/>
        <w:jc w:val="both"/>
      </w:pPr>
      <w:r>
        <w:t xml:space="preserve">2.1. </w:t>
      </w:r>
      <w:bookmarkStart w:id="6" w:name="_Hlk109222738"/>
      <w:r w:rsidR="0008538B">
        <w:t>Pirkimo objektas -</w:t>
      </w:r>
      <w:r w:rsidR="004832D4">
        <w:t xml:space="preserve"> </w:t>
      </w:r>
      <w:r w:rsidR="004832D4">
        <w:rPr>
          <w:sz w:val="22"/>
          <w:szCs w:val="22"/>
        </w:rPr>
        <w:t>e</w:t>
      </w:r>
      <w:r w:rsidR="00FC6B35" w:rsidRPr="001B2EF2">
        <w:rPr>
          <w:sz w:val="22"/>
          <w:szCs w:val="22"/>
        </w:rPr>
        <w:t>lektroninio įrankio, skirto lietuvių (ne gimtosios) kalbos mokėjimui ir įgytoms kompetencijoms vertinti, vystymas ir priežiūra</w:t>
      </w:r>
      <w:bookmarkEnd w:id="6"/>
      <w:r w:rsidR="0008538B" w:rsidRPr="00B735E1">
        <w:t>.</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EA2EC9">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EA2EC9">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EA2EC9">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EA2EC9">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EA2EC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7380E2AF" w:rsidR="005D18FD" w:rsidRPr="004A598D"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32855487" w14:textId="55A5EDC2" w:rsidR="004A598D" w:rsidRPr="00F15A89" w:rsidRDefault="004A598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w:t>
      </w:r>
      <w:r w:rsidR="00FC78FA">
        <w:rPr>
          <w:rFonts w:ascii="Times New Roman" w:hAnsi="Times New Roman" w:cs="Times New Roman"/>
          <w:sz w:val="24"/>
          <w:szCs w:val="24"/>
        </w:rPr>
        <w:t>įvykdytas sutartis</w:t>
      </w:r>
      <w:r w:rsidRPr="00F15A89">
        <w:rPr>
          <w:rFonts w:ascii="Times New Roman" w:hAnsi="Times New Roman" w:cs="Times New Roman"/>
          <w:sz w:val="24"/>
          <w:szCs w:val="24"/>
        </w:rPr>
        <w:t>(1</w:t>
      </w:r>
      <w:r w:rsidR="00FC78FA">
        <w:rPr>
          <w:rFonts w:ascii="Times New Roman" w:hAnsi="Times New Roman" w:cs="Times New Roman"/>
          <w:sz w:val="24"/>
          <w:szCs w:val="24"/>
        </w:rPr>
        <w:t>2</w:t>
      </w:r>
      <w:r w:rsidRPr="00F15A89">
        <w:rPr>
          <w:rFonts w:ascii="Times New Roman" w:hAnsi="Times New Roman" w:cs="Times New Roman"/>
          <w:sz w:val="24"/>
          <w:szCs w:val="24"/>
        </w:rPr>
        <w:t xml:space="preserve"> priedas).</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lastRenderedPageBreak/>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4D009A2B" w14:textId="77777777" w:rsidR="00976563"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p>
    <w:p w14:paraId="313FDE6C" w14:textId="650F5045" w:rsidR="00D734C6" w:rsidRPr="00976563" w:rsidRDefault="00033EEB" w:rsidP="00976563">
      <w:pPr>
        <w:tabs>
          <w:tab w:val="left" w:pos="993"/>
        </w:tabs>
        <w:spacing w:after="0" w:line="240" w:lineRule="auto"/>
        <w:ind w:firstLine="567"/>
        <w:jc w:val="both"/>
      </w:pPr>
      <w:r>
        <w:rPr>
          <w:rFonts w:ascii="Times New Roman" w:eastAsia="Calibri" w:hAnsi="Times New Roman" w:cs="Times New Roman"/>
          <w:sz w:val="24"/>
          <w:szCs w:val="24"/>
        </w:rPr>
        <w:t xml:space="preserve">9.2. </w:t>
      </w:r>
      <w:r w:rsidR="00D734C6" w:rsidRPr="00EC1D64">
        <w:rPr>
          <w:rFonts w:ascii="Times New Roman" w:hAnsi="Times New Roman" w:cs="Times New Roman"/>
          <w:sz w:val="24"/>
          <w:szCs w:val="24"/>
        </w:rPr>
        <w:t>Laimėjusiu</w:t>
      </w:r>
      <w:r w:rsidR="00EC1D64" w:rsidRPr="00EC1D64">
        <w:rPr>
          <w:rFonts w:ascii="Times New Roman" w:hAnsi="Times New Roman" w:cs="Times New Roman"/>
          <w:sz w:val="24"/>
          <w:szCs w:val="24"/>
        </w:rPr>
        <w:t xml:space="preserve"> </w:t>
      </w:r>
      <w:r w:rsidR="008759E8" w:rsidRPr="00EC1D64">
        <w:rPr>
          <w:rFonts w:ascii="Times New Roman" w:hAnsi="Times New Roman" w:cs="Times New Roman"/>
          <w:sz w:val="24"/>
          <w:szCs w:val="24"/>
        </w:rPr>
        <w:t>pasiūlymu galės būti pripažintas tik 1 (vienas) ekonomiškai naudingiausias pasiūlymas, esantis pasiūlymų eilės pirmojoje vietoje.</w:t>
      </w:r>
      <w:r w:rsidR="008759E8" w:rsidRPr="00F0499F">
        <w:t xml:space="preserve"> </w:t>
      </w:r>
    </w:p>
    <w:p w14:paraId="60FEBC05" w14:textId="6F110254" w:rsidR="001A25FD" w:rsidRPr="00D25CFE" w:rsidRDefault="00EC1D64" w:rsidP="00EC1D64">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08538B">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08538B">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08538B">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10DBB6E" w14:textId="2B731ED1" w:rsidR="00E96B44" w:rsidRPr="0026700E" w:rsidRDefault="00E96B44" w:rsidP="00E96B44">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r>
        <w:rPr>
          <w:rFonts w:ascii="Times New Roman" w:hAnsi="Times New Roman" w:cs="Times New Roman"/>
          <w:sz w:val="24"/>
          <w:szCs w:val="24"/>
        </w:rPr>
        <w:t>.</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6DF048AD" w14:textId="77777777" w:rsidR="00826622" w:rsidRDefault="00826622" w:rsidP="00E914EF">
      <w:pPr>
        <w:pStyle w:val="Standard"/>
        <w:jc w:val="both"/>
        <w:rPr>
          <w:rFonts w:ascii="Times New Roman" w:hAnsi="Times New Roman" w:cs="Times New Roman"/>
          <w:bCs/>
          <w:lang w:val="lt-LT"/>
        </w:rPr>
      </w:pPr>
      <w:bookmarkStart w:id="71" w:name="_2et92p0"/>
      <w:bookmarkEnd w:id="71"/>
    </w:p>
    <w:p w14:paraId="362106BD" w14:textId="77777777" w:rsidR="00826622" w:rsidRDefault="00826622" w:rsidP="00826622">
      <w:pPr>
        <w:pStyle w:val="Standard"/>
        <w:ind w:firstLine="567"/>
        <w:jc w:val="both"/>
        <w:rPr>
          <w:rFonts w:ascii="Times New Roman" w:hAnsi="Times New Roman" w:cs="Times New Roman"/>
          <w:bCs/>
          <w:lang w:val="lt-LT"/>
        </w:rPr>
      </w:pPr>
    </w:p>
    <w:p w14:paraId="2C0C5E19" w14:textId="77777777" w:rsidR="00826622" w:rsidRPr="00B61DBA" w:rsidRDefault="00826622" w:rsidP="00826622">
      <w:pPr>
        <w:pStyle w:val="Standard"/>
        <w:numPr>
          <w:ilvl w:val="0"/>
          <w:numId w:val="35"/>
        </w:numPr>
        <w:tabs>
          <w:tab w:val="left" w:pos="709"/>
        </w:tabs>
        <w:ind w:left="0" w:firstLine="360"/>
        <w:jc w:val="both"/>
        <w:rPr>
          <w:rFonts w:hint="eastAsia"/>
          <w:lang w:val="lt-LT"/>
        </w:rPr>
      </w:pPr>
      <w:r>
        <w:rPr>
          <w:rFonts w:ascii="Times New Roman" w:hAnsi="Times New Roman" w:cs="Times New Roman"/>
          <w:lang w:val="lt-LT"/>
        </w:rPr>
        <w:t xml:space="preserve">Ekonomiškai naudingiausias pasiūlymas išrenkamas pagal kainos ir kokybės (pasirinktas kokybės vertinimo </w:t>
      </w:r>
      <w:r w:rsidRPr="008A28C5">
        <w:rPr>
          <w:rFonts w:ascii="Times New Roman" w:hAnsi="Times New Roman" w:cs="Times New Roman"/>
          <w:lang w:val="lt-LT"/>
        </w:rPr>
        <w:t xml:space="preserve">charakteristikos </w:t>
      </w:r>
      <w:r>
        <w:rPr>
          <w:rFonts w:ascii="Times New Roman" w:hAnsi="Times New Roman" w:cs="Times New Roman"/>
          <w:lang w:val="lt-LT"/>
        </w:rPr>
        <w:t xml:space="preserve">įvertinamos kiekybiškai). Pasiūlymų vertinimo kriterijai </w:t>
      </w:r>
      <w:r>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826622" w14:paraId="3BB4B2E8" w14:textId="77777777" w:rsidTr="00C10DA1">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182ABF6" w14:textId="77777777" w:rsidR="00826622" w:rsidRDefault="00826622" w:rsidP="00C10DA1">
            <w:pPr>
              <w:pStyle w:val="Standard"/>
              <w:rPr>
                <w:rFonts w:hint="eastAsia"/>
              </w:rPr>
            </w:pPr>
            <w:r>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D0BF620" w14:textId="77777777" w:rsidR="00826622" w:rsidRDefault="00826622" w:rsidP="00C10DA1">
            <w:pPr>
              <w:pStyle w:val="Standard"/>
              <w:rPr>
                <w:rFonts w:hint="eastAsia"/>
              </w:rPr>
            </w:pPr>
            <w:r>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EEE09E9" w14:textId="77777777" w:rsidR="00826622" w:rsidRPr="00BF4BC2" w:rsidRDefault="00826622" w:rsidP="00C10DA1">
            <w:pPr>
              <w:pStyle w:val="Standard"/>
              <w:rPr>
                <w:rFonts w:hint="eastAsia"/>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CFEF2C7" w14:textId="77777777" w:rsidR="00826622" w:rsidRDefault="00826622" w:rsidP="00C10DA1">
            <w:pPr>
              <w:pStyle w:val="Standard"/>
              <w:rPr>
                <w:rFonts w:hint="eastAsia"/>
              </w:rPr>
            </w:pPr>
            <w:r>
              <w:rPr>
                <w:rFonts w:ascii="Times New Roman" w:hAnsi="Times New Roman" w:cs="Times New Roman"/>
                <w:bCs/>
                <w:lang w:val="lt-LT" w:eastAsia="en-US"/>
              </w:rPr>
              <w:t>Lyginamasis svoris ekonominio naudingumo įvertinime</w:t>
            </w:r>
          </w:p>
        </w:tc>
      </w:tr>
      <w:tr w:rsidR="00826622" w14:paraId="084C468F" w14:textId="77777777" w:rsidTr="00C10DA1">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E40365D" w14:textId="77777777" w:rsidR="00826622" w:rsidRDefault="00826622" w:rsidP="00C10DA1">
            <w:pPr>
              <w:pStyle w:val="Standard"/>
              <w:rPr>
                <w:rFonts w:hint="eastAsia"/>
              </w:rPr>
            </w:pPr>
            <w:r>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0725D96" w14:textId="77777777" w:rsidR="00826622" w:rsidRDefault="00826622" w:rsidP="00C10DA1">
            <w:pPr>
              <w:pStyle w:val="Standard"/>
              <w:rPr>
                <w:rFonts w:hint="eastAsia"/>
              </w:rPr>
            </w:pPr>
            <w:r>
              <w:rPr>
                <w:rFonts w:ascii="Times New Roman" w:hAnsi="Times New Roman" w:cs="Times New Roman"/>
                <w:b/>
                <w:bCs/>
                <w:lang w:val="lt-LT" w:eastAsia="en-US"/>
              </w:rPr>
              <w:t>Pirmas kriterijus-</w:t>
            </w:r>
            <w:r w:rsidRPr="00F517F6">
              <w:rPr>
                <w:rFonts w:ascii="Times New Roman" w:hAnsi="Times New Roman" w:cs="Times New Roman"/>
                <w:b/>
                <w:bCs/>
                <w:lang w:val="lt-LT" w:eastAsia="en-US"/>
              </w:rPr>
              <w:t>P</w:t>
            </w:r>
            <w:r>
              <w:rPr>
                <w:rFonts w:ascii="Times New Roman" w:hAnsi="Times New Roman" w:cs="Times New Roman"/>
                <w:b/>
                <w:bCs/>
                <w:lang w:val="lt-LT" w:eastAsia="en-US"/>
              </w:rPr>
              <w:t>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E7D0820" w14:textId="77777777" w:rsidR="00826622" w:rsidRDefault="00826622" w:rsidP="00C10DA1">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DAD9C26" w14:textId="77777777" w:rsidR="00826622" w:rsidRDefault="00826622" w:rsidP="00C10DA1">
            <w:pPr>
              <w:pStyle w:val="Standard"/>
              <w:rPr>
                <w:rFonts w:hint="eastAsia"/>
              </w:rPr>
            </w:pPr>
            <w:r>
              <w:rPr>
                <w:rFonts w:ascii="Times New Roman" w:hAnsi="Times New Roman" w:cs="Times New Roman"/>
                <w:lang w:val="lt-LT" w:eastAsia="en-US"/>
              </w:rPr>
              <w:t>X=80</w:t>
            </w:r>
          </w:p>
        </w:tc>
      </w:tr>
      <w:tr w:rsidR="00826622" w14:paraId="6D3B29A8" w14:textId="77777777" w:rsidTr="00C10DA1">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13B8D06" w14:textId="77777777" w:rsidR="00826622" w:rsidRDefault="00826622" w:rsidP="00C10DA1">
            <w:pPr>
              <w:pStyle w:val="Standard"/>
              <w:rPr>
                <w:rFonts w:hint="eastAsia"/>
              </w:rPr>
            </w:pPr>
            <w:r>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49E1E69" w14:textId="77777777" w:rsidR="00826622" w:rsidRPr="00332D25" w:rsidRDefault="00826622" w:rsidP="00C10DA1">
            <w:pPr>
              <w:pStyle w:val="Standard"/>
              <w:rPr>
                <w:rFonts w:ascii="Times New Roman" w:hAnsi="Times New Roman" w:cs="Times New Roman"/>
              </w:rPr>
            </w:pPr>
            <w:r>
              <w:rPr>
                <w:rFonts w:ascii="Times New Roman" w:hAnsi="Times New Roman" w:cs="Times New Roman"/>
                <w:b/>
                <w:bCs/>
                <w:color w:val="000000" w:themeColor="text1"/>
                <w:spacing w:val="-4"/>
                <w:lang w:val="lt-LT"/>
              </w:rPr>
              <w:t>Antras Kriterijus</w:t>
            </w:r>
            <w:r w:rsidRPr="00332D25">
              <w:rPr>
                <w:rFonts w:ascii="Times New Roman" w:hAnsi="Times New Roman" w:cs="Times New Roman"/>
                <w:b/>
                <w:bCs/>
                <w:color w:val="000000" w:themeColor="text1"/>
                <w:spacing w:val="-4"/>
                <w:lang w:val="lt-LT"/>
              </w:rPr>
              <w:t xml:space="preserve">– </w:t>
            </w:r>
            <w:r>
              <w:rPr>
                <w:rFonts w:ascii="Times New Roman" w:hAnsi="Times New Roman" w:cs="Times New Roman"/>
                <w:b/>
                <w:bCs/>
                <w:color w:val="000000" w:themeColor="text1"/>
                <w:spacing w:val="-4"/>
                <w:lang w:val="lt-LT"/>
              </w:rPr>
              <w:t>Siūlomų s</w:t>
            </w:r>
            <w:r w:rsidRPr="00332D25">
              <w:rPr>
                <w:rFonts w:ascii="Times New Roman" w:hAnsi="Times New Roman" w:cs="Times New Roman"/>
                <w:b/>
                <w:bCs/>
                <w:color w:val="000000" w:themeColor="text1"/>
                <w:spacing w:val="-4"/>
                <w:lang w:val="lt-LT"/>
              </w:rPr>
              <w:t>pecialistų patirtis</w:t>
            </w:r>
            <w:r w:rsidRPr="00332D25">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101661C" w14:textId="77777777" w:rsidR="00826622" w:rsidRDefault="00826622" w:rsidP="00C10DA1">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DB6E9FA" w14:textId="77777777" w:rsidR="00826622" w:rsidRDefault="00826622" w:rsidP="00C10DA1">
            <w:pPr>
              <w:pStyle w:val="Standard"/>
              <w:rPr>
                <w:rFonts w:ascii="Times New Roman" w:hAnsi="Times New Roman" w:cs="Times New Roman"/>
                <w:lang w:val="lt-LT" w:eastAsia="en-US"/>
              </w:rPr>
            </w:pPr>
            <w:r>
              <w:rPr>
                <w:rFonts w:ascii="Times New Roman" w:hAnsi="Times New Roman" w:cs="Times New Roman"/>
                <w:lang w:val="lt-LT" w:eastAsia="en-US"/>
              </w:rPr>
              <w:t>Y=20</w:t>
            </w:r>
          </w:p>
        </w:tc>
      </w:tr>
      <w:tr w:rsidR="00826622" w14:paraId="04435B39" w14:textId="77777777" w:rsidTr="00C10DA1">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1BA0C64" w14:textId="77777777" w:rsidR="00826622" w:rsidRDefault="00826622" w:rsidP="00C10DA1">
            <w:pPr>
              <w:pStyle w:val="Standard"/>
              <w:rPr>
                <w:rFonts w:hint="eastAsia"/>
              </w:rPr>
            </w:pPr>
            <w:r>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97A23A2" w14:textId="77777777" w:rsidR="00826622" w:rsidRDefault="00826622" w:rsidP="00C10DA1">
            <w:pPr>
              <w:pStyle w:val="Standard"/>
              <w:rPr>
                <w:rFonts w:hint="eastAsia"/>
              </w:rPr>
            </w:pPr>
            <w:r>
              <w:rPr>
                <w:rFonts w:ascii="Times New Roman" w:hAnsi="Times New Roman" w:cs="Times New Roman"/>
                <w:i/>
                <w:lang w:val="lt-LT" w:eastAsia="en-US"/>
              </w:rPr>
              <w:t xml:space="preserve">Parametras </w:t>
            </w:r>
            <w:r>
              <w:rPr>
                <w:rFonts w:ascii="Times New Roman" w:hAnsi="Times New Roman" w:cs="Times New Roman"/>
                <w:lang w:val="lt-LT" w:eastAsia="en-US"/>
              </w:rPr>
              <w:t>(P</w:t>
            </w:r>
            <w:r>
              <w:rPr>
                <w:rFonts w:ascii="Times New Roman" w:hAnsi="Times New Roman" w:cs="Times New Roman"/>
                <w:vertAlign w:val="subscript"/>
                <w:lang w:val="lt-LT" w:eastAsia="en-US"/>
              </w:rPr>
              <w:t>1</w:t>
            </w:r>
            <w:r>
              <w:rPr>
                <w:rFonts w:ascii="Times New Roman" w:hAnsi="Times New Roman" w:cs="Times New Roman"/>
                <w:lang w:val="lt-LT" w:eastAsia="en-US"/>
              </w:rPr>
              <w:t>)</w:t>
            </w:r>
          </w:p>
          <w:p w14:paraId="4DB5C662" w14:textId="77777777" w:rsidR="00826622" w:rsidRDefault="00826622" w:rsidP="00C10DA1">
            <w:pPr>
              <w:pStyle w:val="Standard"/>
              <w:rPr>
                <w:rFonts w:hint="eastAsia"/>
              </w:rPr>
            </w:pPr>
            <w:proofErr w:type="spellStart"/>
            <w:r w:rsidRPr="005F0F1E">
              <w:rPr>
                <w:rFonts w:ascii="Times New Roman" w:hAnsi="Times New Roman" w:cs="Times New Roman"/>
                <w:iCs/>
              </w:rPr>
              <w:t>Siūlomo</w:t>
            </w:r>
            <w:proofErr w:type="spellEnd"/>
            <w:r w:rsidRPr="005F0F1E">
              <w:rPr>
                <w:rFonts w:ascii="Times New Roman" w:hAnsi="Times New Roman" w:cs="Times New Roman"/>
                <w:iCs/>
              </w:rPr>
              <w:t xml:space="preserve"> </w:t>
            </w:r>
            <w:proofErr w:type="spellStart"/>
            <w:r w:rsidRPr="005F0F1E">
              <w:rPr>
                <w:rFonts w:ascii="Times New Roman" w:hAnsi="Times New Roman" w:cs="Times New Roman"/>
                <w:iCs/>
              </w:rPr>
              <w:t>specialisto</w:t>
            </w:r>
            <w:proofErr w:type="spellEnd"/>
            <w:r w:rsidRPr="005F0F1E">
              <w:rPr>
                <w:rFonts w:ascii="Times New Roman" w:hAnsi="Times New Roman" w:cs="Times New Roman"/>
                <w:iCs/>
              </w:rPr>
              <w:t xml:space="preserve"> į </w:t>
            </w:r>
            <w:proofErr w:type="spellStart"/>
            <w:r w:rsidRPr="005F0F1E">
              <w:rPr>
                <w:rFonts w:ascii="Times New Roman" w:hAnsi="Times New Roman" w:cs="Times New Roman"/>
                <w:iCs/>
              </w:rPr>
              <w:t>Specialisto</w:t>
            </w:r>
            <w:proofErr w:type="spellEnd"/>
            <w:r w:rsidRPr="005F0F1E">
              <w:rPr>
                <w:rFonts w:ascii="Times New Roman" w:hAnsi="Times New Roman" w:cs="Times New Roman"/>
                <w:iCs/>
              </w:rPr>
              <w:t xml:space="preserve"> Nr. </w:t>
            </w:r>
            <w:r>
              <w:rPr>
                <w:rFonts w:ascii="Times New Roman" w:hAnsi="Times New Roman" w:cs="Times New Roman"/>
                <w:iCs/>
              </w:rPr>
              <w:t>3</w:t>
            </w:r>
            <w:r w:rsidRPr="005F0F1E">
              <w:rPr>
                <w:rFonts w:ascii="Times New Roman" w:hAnsi="Times New Roman" w:cs="Times New Roman"/>
                <w:iCs/>
              </w:rPr>
              <w:t xml:space="preserve"> </w:t>
            </w:r>
            <w:proofErr w:type="spellStart"/>
            <w:r w:rsidRPr="005F0F1E">
              <w:rPr>
                <w:rFonts w:ascii="Times New Roman" w:hAnsi="Times New Roman" w:cs="Times New Roman"/>
                <w:iCs/>
              </w:rPr>
              <w:t>poziciją</w:t>
            </w:r>
            <w:proofErr w:type="spellEnd"/>
            <w:r w:rsidRPr="005F0F1E">
              <w:rPr>
                <w:rFonts w:ascii="Times New Roman" w:hAnsi="Times New Roman" w:cs="Times New Roman"/>
                <w:iCs/>
              </w:rPr>
              <w:t xml:space="preserve"> </w:t>
            </w:r>
            <w:proofErr w:type="spellStart"/>
            <w:r w:rsidRPr="005F0F1E">
              <w:rPr>
                <w:rFonts w:ascii="Times New Roman" w:hAnsi="Times New Roman" w:cs="Times New Roman"/>
                <w:iCs/>
              </w:rPr>
              <w:t>papildoma</w:t>
            </w:r>
            <w:proofErr w:type="spellEnd"/>
            <w:r w:rsidRPr="005F0F1E">
              <w:rPr>
                <w:rFonts w:ascii="Times New Roman" w:hAnsi="Times New Roman" w:cs="Times New Roman"/>
                <w:iCs/>
              </w:rPr>
              <w:t xml:space="preserve"> </w:t>
            </w:r>
            <w:proofErr w:type="spellStart"/>
            <w:r w:rsidRPr="005F0F1E">
              <w:rPr>
                <w:rFonts w:ascii="Times New Roman" w:hAnsi="Times New Roman" w:cs="Times New Roman"/>
                <w:iCs/>
              </w:rPr>
              <w:t>profesinė</w:t>
            </w:r>
            <w:proofErr w:type="spellEnd"/>
            <w:r w:rsidRPr="005F0F1E">
              <w:rPr>
                <w:rFonts w:ascii="Times New Roman" w:hAnsi="Times New Roman" w:cs="Times New Roman"/>
                <w:iCs/>
              </w:rPr>
              <w:t xml:space="preserve"> (</w:t>
            </w:r>
            <w:proofErr w:type="spellStart"/>
            <w:r w:rsidRPr="005F0F1E">
              <w:rPr>
                <w:rFonts w:ascii="Times New Roman" w:hAnsi="Times New Roman" w:cs="Times New Roman"/>
                <w:iCs/>
              </w:rPr>
              <w:t>darbinė</w:t>
            </w:r>
            <w:proofErr w:type="spellEnd"/>
            <w:r w:rsidRPr="005F0F1E">
              <w:rPr>
                <w:rFonts w:ascii="Times New Roman" w:hAnsi="Times New Roman" w:cs="Times New Roman"/>
                <w:iCs/>
              </w:rPr>
              <w:t xml:space="preserve">) </w:t>
            </w:r>
            <w:proofErr w:type="spellStart"/>
            <w:r w:rsidRPr="005F0F1E">
              <w:rPr>
                <w:rFonts w:ascii="Times New Roman" w:hAnsi="Times New Roman" w:cs="Times New Roman"/>
                <w:iCs/>
              </w:rPr>
              <w:t>patirtis</w:t>
            </w:r>
            <w:proofErr w:type="spellEnd"/>
            <w:r w:rsidRPr="005F0F1E">
              <w:rPr>
                <w:rFonts w:ascii="Times New Roman" w:hAnsi="Times New Roman" w:cs="Times New Roman"/>
                <w:iCs/>
              </w:rPr>
              <w:t>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18870D9" w14:textId="77777777" w:rsidR="00826622" w:rsidRDefault="00826622" w:rsidP="00C10DA1">
            <w:pPr>
              <w:pStyle w:val="Standard"/>
              <w:ind w:left="18" w:hanging="18"/>
              <w:rPr>
                <w:rFonts w:hint="eastAsia"/>
              </w:rPr>
            </w:pPr>
            <w:r>
              <w:rPr>
                <w:rFonts w:ascii="Times New Roman" w:hAnsi="Times New Roman" w:cs="Times New Roman"/>
                <w:lang w:val="lt-LT" w:eastAsia="en-US"/>
              </w:rPr>
              <w:t xml:space="preserve">Maksimalus balų skaičius: </w:t>
            </w:r>
            <w:r w:rsidRPr="001165B1">
              <w:rPr>
                <w:rFonts w:ascii="Times New Roman" w:eastAsia="Times New Roman" w:hAnsi="Times New Roman" w:cs="Times New Roman"/>
                <w:position w:val="-1"/>
                <w:lang w:val="lt-LT" w:eastAsia="lt-LT"/>
              </w:rPr>
              <w:t>R</w:t>
            </w:r>
            <w:r w:rsidRPr="001165B1">
              <w:rPr>
                <w:rFonts w:ascii="Times New Roman" w:eastAsia="Times New Roman" w:hAnsi="Times New Roman" w:cs="Times New Roman"/>
                <w:position w:val="-1"/>
                <w:vertAlign w:val="subscript"/>
                <w:lang w:val="lt-LT" w:eastAsia="lt-LT"/>
              </w:rPr>
              <w:t>1max</w:t>
            </w:r>
            <w:r w:rsidRPr="001165B1">
              <w:rPr>
                <w:rFonts w:ascii="Times New Roman" w:eastAsia="Times New Roman" w:hAnsi="Times New Roman" w:cs="Times New Roman"/>
                <w:position w:val="-1"/>
                <w:lang w:val="lt-LT" w:eastAsia="lt-LT"/>
              </w:rPr>
              <w:t>=10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A5E071A" w14:textId="77777777" w:rsidR="00826622" w:rsidRDefault="00826622" w:rsidP="00C10DA1">
            <w:pPr>
              <w:pStyle w:val="Standard"/>
              <w:ind w:left="-262" w:firstLine="262"/>
              <w:rPr>
                <w:rFonts w:hint="eastAsia"/>
              </w:rPr>
            </w:pPr>
          </w:p>
        </w:tc>
      </w:tr>
    </w:tbl>
    <w:p w14:paraId="270F470A" w14:textId="77777777" w:rsidR="00826622" w:rsidRDefault="00826622" w:rsidP="00826622">
      <w:pPr>
        <w:pStyle w:val="Sraopastraipa"/>
        <w:tabs>
          <w:tab w:val="left" w:pos="644"/>
          <w:tab w:val="left" w:pos="927"/>
        </w:tabs>
        <w:spacing w:after="0"/>
        <w:ind w:left="360"/>
        <w:jc w:val="both"/>
        <w:rPr>
          <w:rFonts w:ascii="Times New Roman" w:hAnsi="Times New Roman" w:cs="Times New Roman"/>
          <w:sz w:val="24"/>
          <w:szCs w:val="24"/>
        </w:rPr>
      </w:pPr>
    </w:p>
    <w:p w14:paraId="1025205B" w14:textId="77777777" w:rsidR="00826622" w:rsidRPr="001D15C5" w:rsidRDefault="00826622" w:rsidP="00826622">
      <w:pPr>
        <w:pStyle w:val="Sraopastraipa"/>
        <w:numPr>
          <w:ilvl w:val="0"/>
          <w:numId w:val="36"/>
        </w:numPr>
        <w:tabs>
          <w:tab w:val="left" w:pos="284"/>
          <w:tab w:val="left" w:pos="567"/>
        </w:tabs>
        <w:spacing w:after="120" w:line="280" w:lineRule="exact"/>
        <w:ind w:left="-284" w:firstLine="284"/>
        <w:contextualSpacing w:val="0"/>
        <w:jc w:val="both"/>
        <w:rPr>
          <w:rFonts w:ascii="Times New Roman" w:hAnsi="Times New Roman" w:cs="Times New Roman"/>
          <w:sz w:val="24"/>
          <w:szCs w:val="24"/>
        </w:rPr>
      </w:pPr>
      <w:r w:rsidRPr="001D15C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B56EEBD" w14:textId="77777777" w:rsidR="00826622" w:rsidRPr="001D15C5" w:rsidRDefault="00826622" w:rsidP="00826622">
      <w:pPr>
        <w:tabs>
          <w:tab w:val="left" w:pos="0"/>
          <w:tab w:val="left" w:pos="567"/>
        </w:tabs>
        <w:spacing w:line="280" w:lineRule="exact"/>
        <w:ind w:left="-142" w:firstLine="142"/>
        <w:contextualSpacing/>
        <w:jc w:val="center"/>
        <w:rPr>
          <w:rFonts w:ascii="Times New Roman" w:hAnsi="Times New Roman" w:cs="Times New Roman"/>
          <w:b/>
          <w:i/>
        </w:rPr>
      </w:pPr>
      <w:r w:rsidRPr="001D15C5">
        <w:rPr>
          <w:rFonts w:ascii="Times New Roman" w:hAnsi="Times New Roman" w:cs="Times New Roman"/>
          <w:b/>
          <w:i/>
        </w:rPr>
        <w:t>EN = C + T</w:t>
      </w:r>
    </w:p>
    <w:p w14:paraId="5111C4E4" w14:textId="77777777" w:rsidR="00826622" w:rsidRPr="001D15C5" w:rsidRDefault="00826622" w:rsidP="00826622">
      <w:pPr>
        <w:tabs>
          <w:tab w:val="left" w:pos="0"/>
          <w:tab w:val="left" w:pos="567"/>
        </w:tabs>
        <w:ind w:left="-142" w:firstLine="142"/>
        <w:contextualSpacing/>
        <w:jc w:val="center"/>
        <w:rPr>
          <w:rFonts w:ascii="Times New Roman" w:hAnsi="Times New Roman" w:cs="Times New Roman"/>
        </w:rPr>
      </w:pPr>
    </w:p>
    <w:p w14:paraId="31BB3EF6" w14:textId="77777777" w:rsidR="00826622" w:rsidRPr="001D15C5" w:rsidRDefault="00826622" w:rsidP="00826622">
      <w:pPr>
        <w:tabs>
          <w:tab w:val="left" w:pos="567"/>
        </w:tabs>
        <w:spacing w:line="280" w:lineRule="exact"/>
        <w:ind w:left="-284" w:firstLine="284"/>
        <w:contextualSpacing/>
        <w:rPr>
          <w:rFonts w:ascii="Times New Roman" w:hAnsi="Times New Roman" w:cs="Times New Roman"/>
        </w:rPr>
      </w:pPr>
      <w:r w:rsidRPr="001D15C5">
        <w:rPr>
          <w:rFonts w:ascii="Times New Roman" w:hAnsi="Times New Roman" w:cs="Times New Roman"/>
        </w:rPr>
        <w:t>4. Kriterijaus „Pasiūlymo kaina“ (C) balai apskaičiuojami mažiausios pasiūlytos pasiūlymo kainos (</w:t>
      </w:r>
      <w:proofErr w:type="spellStart"/>
      <w:r w:rsidRPr="001D15C5">
        <w:rPr>
          <w:rFonts w:ascii="Times New Roman" w:hAnsi="Times New Roman" w:cs="Times New Roman"/>
        </w:rPr>
        <w:t>C</w:t>
      </w:r>
      <w:r w:rsidRPr="001D15C5">
        <w:rPr>
          <w:rFonts w:ascii="Times New Roman" w:hAnsi="Times New Roman" w:cs="Times New Roman"/>
          <w:vertAlign w:val="subscript"/>
        </w:rPr>
        <w:t>min</w:t>
      </w:r>
      <w:proofErr w:type="spellEnd"/>
      <w:r w:rsidRPr="001D15C5">
        <w:rPr>
          <w:rFonts w:ascii="Times New Roman" w:hAnsi="Times New Roman" w:cs="Times New Roman"/>
        </w:rPr>
        <w:t>) ir vertinamo pasiūlymo kainos (</w:t>
      </w:r>
      <w:proofErr w:type="spellStart"/>
      <w:r w:rsidRPr="001D15C5">
        <w:rPr>
          <w:rFonts w:ascii="Times New Roman" w:hAnsi="Times New Roman" w:cs="Times New Roman"/>
        </w:rPr>
        <w:t>C</w:t>
      </w:r>
      <w:r w:rsidRPr="001D15C5">
        <w:rPr>
          <w:rFonts w:ascii="Times New Roman" w:hAnsi="Times New Roman" w:cs="Times New Roman"/>
          <w:vertAlign w:val="subscript"/>
        </w:rPr>
        <w:t>p</w:t>
      </w:r>
      <w:proofErr w:type="spellEnd"/>
      <w:r w:rsidRPr="001D15C5">
        <w:rPr>
          <w:rFonts w:ascii="Times New Roman" w:hAnsi="Times New Roman" w:cs="Times New Roman"/>
        </w:rPr>
        <w:t>) santykį padauginant iš kainos lyginamojo svorio (X) pagal šią formulę:</w:t>
      </w:r>
    </w:p>
    <w:p w14:paraId="776B3EED" w14:textId="77777777" w:rsidR="00826622" w:rsidRPr="001D15C5" w:rsidRDefault="00826622" w:rsidP="00826622">
      <w:pPr>
        <w:tabs>
          <w:tab w:val="left" w:pos="284"/>
        </w:tabs>
        <w:ind w:left="-142" w:firstLine="142"/>
        <w:jc w:val="center"/>
        <w:rPr>
          <w:rFonts w:ascii="Times New Roman" w:hAnsi="Times New Roman" w:cs="Times New Roman"/>
        </w:rPr>
      </w:pPr>
      <w:r w:rsidRPr="001D15C5">
        <w:rPr>
          <w:rFonts w:ascii="Times New Roman" w:hAnsi="Times New Roman" w:cs="Times New Roman"/>
          <w:b/>
          <w:noProof/>
          <w:vertAlign w:val="subscript"/>
        </w:rPr>
        <w:drawing>
          <wp:inline distT="0" distB="0" distL="0" distR="0" wp14:anchorId="1D03A1F4" wp14:editId="2F68CADC">
            <wp:extent cx="777240" cy="464820"/>
            <wp:effectExtent l="0" t="0" r="3810" b="0"/>
            <wp:docPr id="1958680100" name="Paveikslėlis 1958680100"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685A08F3" w14:textId="77777777" w:rsidR="00826622" w:rsidRPr="001D15C5" w:rsidRDefault="00826622" w:rsidP="00826622">
      <w:pPr>
        <w:spacing w:line="280" w:lineRule="exact"/>
        <w:ind w:left="-142" w:firstLine="709"/>
        <w:contextualSpacing/>
        <w:rPr>
          <w:rFonts w:ascii="Times New Roman" w:hAnsi="Times New Roman" w:cs="Times New Roman"/>
        </w:rPr>
      </w:pPr>
      <w:r w:rsidRPr="001D15C5">
        <w:rPr>
          <w:rFonts w:ascii="Times New Roman" w:hAnsi="Times New Roman" w:cs="Times New Roman"/>
          <w:i/>
        </w:rPr>
        <w:t>C</w:t>
      </w:r>
      <w:r w:rsidRPr="001D15C5">
        <w:rPr>
          <w:rFonts w:ascii="Times New Roman" w:hAnsi="Times New Roman" w:cs="Times New Roman"/>
        </w:rPr>
        <w:t xml:space="preserve"> – Pasiūlymo kaina konkretaus dalyvio pagal nurodytą kriterijų (balais);</w:t>
      </w:r>
    </w:p>
    <w:p w14:paraId="6116400C" w14:textId="77777777" w:rsidR="00826622" w:rsidRPr="001D15C5" w:rsidRDefault="00826622" w:rsidP="00826622">
      <w:pPr>
        <w:tabs>
          <w:tab w:val="left" w:pos="709"/>
        </w:tabs>
        <w:spacing w:line="280" w:lineRule="exact"/>
        <w:ind w:left="-142" w:firstLine="709"/>
        <w:contextualSpacing/>
        <w:rPr>
          <w:rFonts w:ascii="Times New Roman" w:hAnsi="Times New Roman" w:cs="Times New Roman"/>
        </w:rPr>
      </w:pPr>
      <w:proofErr w:type="spellStart"/>
      <w:r w:rsidRPr="001D15C5">
        <w:rPr>
          <w:rFonts w:ascii="Times New Roman" w:hAnsi="Times New Roman" w:cs="Times New Roman"/>
          <w:i/>
        </w:rPr>
        <w:t>C</w:t>
      </w:r>
      <w:r w:rsidRPr="001D15C5">
        <w:rPr>
          <w:rFonts w:ascii="Times New Roman" w:hAnsi="Times New Roman" w:cs="Times New Roman"/>
          <w:i/>
          <w:vertAlign w:val="subscript"/>
        </w:rPr>
        <w:t>min</w:t>
      </w:r>
      <w:proofErr w:type="spellEnd"/>
      <w:r w:rsidRPr="001D15C5">
        <w:rPr>
          <w:rFonts w:ascii="Times New Roman" w:hAnsi="Times New Roman" w:cs="Times New Roman"/>
          <w:i/>
          <w:vertAlign w:val="subscript"/>
        </w:rPr>
        <w:t xml:space="preserve"> </w:t>
      </w:r>
      <w:r w:rsidRPr="001D15C5">
        <w:rPr>
          <w:rFonts w:ascii="Times New Roman" w:hAnsi="Times New Roman" w:cs="Times New Roman"/>
        </w:rPr>
        <w:t>– visų dalyvių pasiūlymų mažiausia Pasiūlymo kaina (eurais);</w:t>
      </w:r>
    </w:p>
    <w:p w14:paraId="2DA3EA2C" w14:textId="77777777" w:rsidR="00826622" w:rsidRPr="001D15C5" w:rsidRDefault="00826622" w:rsidP="00826622">
      <w:pPr>
        <w:spacing w:line="280" w:lineRule="exact"/>
        <w:ind w:left="-142" w:firstLine="709"/>
        <w:contextualSpacing/>
        <w:rPr>
          <w:rFonts w:ascii="Times New Roman" w:hAnsi="Times New Roman" w:cs="Times New Roman"/>
        </w:rPr>
      </w:pPr>
      <w:proofErr w:type="spellStart"/>
      <w:r w:rsidRPr="001D15C5">
        <w:rPr>
          <w:rFonts w:ascii="Times New Roman" w:hAnsi="Times New Roman" w:cs="Times New Roman"/>
          <w:i/>
        </w:rPr>
        <w:t>C</w:t>
      </w:r>
      <w:r w:rsidRPr="001D15C5">
        <w:rPr>
          <w:rFonts w:ascii="Times New Roman" w:hAnsi="Times New Roman" w:cs="Times New Roman"/>
          <w:i/>
          <w:vertAlign w:val="subscript"/>
        </w:rPr>
        <w:t>p</w:t>
      </w:r>
      <w:proofErr w:type="spellEnd"/>
      <w:r w:rsidRPr="001D15C5">
        <w:rPr>
          <w:rFonts w:ascii="Times New Roman" w:hAnsi="Times New Roman" w:cs="Times New Roman"/>
          <w:i/>
        </w:rPr>
        <w:t xml:space="preserve"> </w:t>
      </w:r>
      <w:r w:rsidRPr="001D15C5">
        <w:rPr>
          <w:rFonts w:ascii="Times New Roman" w:hAnsi="Times New Roman" w:cs="Times New Roman"/>
        </w:rPr>
        <w:t xml:space="preserve"> – konkretaus dalyvio pasiūlyta Pasiūlymo kaina (eurais);</w:t>
      </w:r>
    </w:p>
    <w:p w14:paraId="045B5D59" w14:textId="77777777" w:rsidR="00826622" w:rsidRPr="001D15C5" w:rsidRDefault="00826622" w:rsidP="00826622">
      <w:pPr>
        <w:tabs>
          <w:tab w:val="left" w:pos="714"/>
          <w:tab w:val="left" w:pos="851"/>
          <w:tab w:val="left" w:pos="1134"/>
        </w:tabs>
        <w:spacing w:line="280" w:lineRule="exact"/>
        <w:ind w:left="-142" w:firstLine="709"/>
        <w:contextualSpacing/>
        <w:rPr>
          <w:rFonts w:ascii="Times New Roman" w:hAnsi="Times New Roman" w:cs="Times New Roman"/>
        </w:rPr>
      </w:pPr>
      <w:r w:rsidRPr="001D15C5">
        <w:rPr>
          <w:rFonts w:ascii="Times New Roman" w:hAnsi="Times New Roman" w:cs="Times New Roman"/>
          <w:i/>
        </w:rPr>
        <w:t>X</w:t>
      </w:r>
      <w:r w:rsidRPr="001D15C5">
        <w:rPr>
          <w:rFonts w:ascii="Times New Roman" w:hAnsi="Times New Roman" w:cs="Times New Roman"/>
        </w:rPr>
        <w:t xml:space="preserve"> – lyginamojo svorio ekonominio naudingumo įvertinime koeficientas.</w:t>
      </w:r>
    </w:p>
    <w:p w14:paraId="4018DE1F" w14:textId="77777777" w:rsidR="00826622" w:rsidRPr="001D15C5" w:rsidRDefault="00826622" w:rsidP="00826622">
      <w:pPr>
        <w:tabs>
          <w:tab w:val="left" w:pos="714"/>
          <w:tab w:val="left" w:pos="851"/>
          <w:tab w:val="left" w:pos="1134"/>
        </w:tabs>
        <w:spacing w:line="280" w:lineRule="exact"/>
        <w:ind w:left="-142" w:firstLine="709"/>
        <w:contextualSpacing/>
        <w:rPr>
          <w:rFonts w:ascii="Times New Roman" w:hAnsi="Times New Roman" w:cs="Times New Roman"/>
        </w:rPr>
      </w:pPr>
    </w:p>
    <w:p w14:paraId="150E2D59" w14:textId="77777777" w:rsidR="00826622" w:rsidRPr="001D15C5" w:rsidRDefault="00826622" w:rsidP="00826622">
      <w:pPr>
        <w:pStyle w:val="Skaiiai2lygis"/>
        <w:numPr>
          <w:ilvl w:val="0"/>
          <w:numId w:val="0"/>
        </w:numPr>
        <w:tabs>
          <w:tab w:val="left" w:pos="709"/>
        </w:tabs>
        <w:spacing w:line="280" w:lineRule="exact"/>
        <w:ind w:left="-284" w:firstLine="284"/>
        <w:contextualSpacing/>
        <w:rPr>
          <w:sz w:val="24"/>
          <w:szCs w:val="24"/>
          <w:lang w:val="lt-LT"/>
        </w:rPr>
      </w:pPr>
      <w:r w:rsidRPr="001D15C5">
        <w:rPr>
          <w:sz w:val="24"/>
          <w:szCs w:val="24"/>
          <w:lang w:val="lt-LT"/>
        </w:rPr>
        <w:lastRenderedPageBreak/>
        <w:t>5. Kriterijaus</w:t>
      </w:r>
      <w:r w:rsidRPr="001D15C5">
        <w:rPr>
          <w:b/>
          <w:sz w:val="24"/>
          <w:szCs w:val="24"/>
          <w:lang w:val="lt-LT"/>
        </w:rPr>
        <w:t xml:space="preserve"> </w:t>
      </w:r>
      <w:r w:rsidRPr="001D15C5">
        <w:rPr>
          <w:sz w:val="24"/>
          <w:szCs w:val="24"/>
          <w:lang w:val="lt-LT"/>
        </w:rPr>
        <w:t>„Kokybės kriterijus“ (T)</w:t>
      </w:r>
      <w:r w:rsidRPr="001D15C5">
        <w:rPr>
          <w:b/>
          <w:sz w:val="24"/>
          <w:szCs w:val="24"/>
          <w:lang w:val="lt-LT"/>
        </w:rPr>
        <w:t xml:space="preserve"> </w:t>
      </w:r>
      <w:r w:rsidRPr="001D15C5">
        <w:rPr>
          <w:sz w:val="24"/>
          <w:szCs w:val="24"/>
          <w:lang w:val="lt-LT"/>
        </w:rPr>
        <w:t>balas lygus parametr</w:t>
      </w:r>
      <w:r>
        <w:rPr>
          <w:sz w:val="24"/>
          <w:szCs w:val="24"/>
          <w:lang w:val="lt-LT"/>
        </w:rPr>
        <w:t>ui</w:t>
      </w:r>
      <w:r w:rsidRPr="001D15C5">
        <w:rPr>
          <w:sz w:val="24"/>
          <w:szCs w:val="24"/>
          <w:lang w:val="lt-LT"/>
        </w:rPr>
        <w:t xml:space="preserve"> </w:t>
      </w:r>
      <w:r>
        <w:rPr>
          <w:sz w:val="24"/>
          <w:szCs w:val="24"/>
          <w:lang w:val="lt-LT"/>
        </w:rPr>
        <w:t>2·P</w:t>
      </w:r>
      <w:r w:rsidRPr="001D15C5">
        <w:rPr>
          <w:sz w:val="24"/>
          <w:szCs w:val="24"/>
          <w:vertAlign w:val="subscript"/>
          <w:lang w:val="lt-LT"/>
        </w:rPr>
        <w:t>1</w:t>
      </w:r>
      <w:r w:rsidRPr="001D15C5">
        <w:rPr>
          <w:sz w:val="24"/>
          <w:szCs w:val="24"/>
          <w:lang w:val="lt-LT"/>
        </w:rPr>
        <w:t>.</w:t>
      </w:r>
    </w:p>
    <w:p w14:paraId="5BEE59E4" w14:textId="77777777" w:rsidR="00826622" w:rsidRPr="001D15C5" w:rsidRDefault="00826622" w:rsidP="00826622">
      <w:pPr>
        <w:tabs>
          <w:tab w:val="num" w:pos="1080"/>
        </w:tabs>
        <w:spacing w:line="280" w:lineRule="exact"/>
        <w:ind w:firstLine="360"/>
        <w:contextualSpacing/>
        <w:jc w:val="center"/>
        <w:rPr>
          <w:rFonts w:ascii="Times New Roman" w:hAnsi="Times New Roman" w:cs="Times New Roman"/>
          <w:b/>
        </w:rPr>
      </w:pPr>
    </w:p>
    <w:p w14:paraId="61FB6042" w14:textId="77777777" w:rsidR="00826622" w:rsidRPr="00872C51" w:rsidRDefault="00826622" w:rsidP="00826622">
      <w:pPr>
        <w:tabs>
          <w:tab w:val="left" w:pos="284"/>
        </w:tabs>
        <w:ind w:firstLine="709"/>
        <w:jc w:val="both"/>
        <w:rPr>
          <w:rFonts w:ascii="Times New Roman" w:eastAsia="Calibri" w:hAnsi="Times New Roman" w:cs="Times New Roman"/>
          <w:sz w:val="24"/>
          <w:szCs w:val="24"/>
        </w:rPr>
      </w:pPr>
      <w:r w:rsidRPr="00872C51">
        <w:rPr>
          <w:rFonts w:ascii="Times New Roman" w:hAnsi="Times New Roman" w:cs="Times New Roman"/>
          <w:sz w:val="24"/>
          <w:szCs w:val="24"/>
        </w:rPr>
        <w:t>6. Kriterijaus</w:t>
      </w:r>
      <w:r w:rsidRPr="00872C51">
        <w:rPr>
          <w:rFonts w:ascii="Times New Roman" w:eastAsia="Calibri" w:hAnsi="Times New Roman" w:cs="Times New Roman"/>
          <w:sz w:val="24"/>
          <w:szCs w:val="24"/>
        </w:rPr>
        <w:t xml:space="preserve"> parametro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n</w:t>
      </w:r>
      <w:proofErr w:type="spellEnd"/>
      <w:r w:rsidRPr="00872C51">
        <w:rPr>
          <w:rFonts w:ascii="Times New Roman" w:eastAsia="Calibri" w:hAnsi="Times New Roman" w:cs="Times New Roman"/>
          <w:sz w:val="24"/>
          <w:szCs w:val="24"/>
        </w:rPr>
        <w:t>) įvertinimas apskaičiuojamas kriterijaus parametro įvertinimą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s</w:t>
      </w:r>
      <w:proofErr w:type="spellEnd"/>
      <w:r w:rsidRPr="00872C51">
        <w:rPr>
          <w:rFonts w:ascii="Times New Roman" w:eastAsia="Calibri" w:hAnsi="Times New Roman" w:cs="Times New Roman"/>
          <w:sz w:val="24"/>
          <w:szCs w:val="24"/>
        </w:rPr>
        <w:t>) padalinant iš maksimalios (didžiausios galimos) šio kriterijaus parametro reikšmės (</w:t>
      </w: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max</w:t>
      </w:r>
      <w:proofErr w:type="spellEnd"/>
      <w:r w:rsidRPr="00872C51">
        <w:rPr>
          <w:rFonts w:ascii="Times New Roman" w:eastAsia="Calibri" w:hAnsi="Times New Roman" w:cs="Times New Roman"/>
          <w:sz w:val="24"/>
          <w:szCs w:val="24"/>
        </w:rPr>
        <w:t>) bei padauginant iš vertinamo kriterijaus parametro lyginamojo svorio ekonominio naudingumo įvertinime (Y</w:t>
      </w:r>
      <w:r w:rsidRPr="00872C51">
        <w:rPr>
          <w:rFonts w:ascii="Times New Roman" w:eastAsia="Calibri" w:hAnsi="Times New Roman" w:cs="Times New Roman"/>
          <w:sz w:val="24"/>
          <w:szCs w:val="24"/>
          <w:vertAlign w:val="subscript"/>
        </w:rPr>
        <w:t>1</w:t>
      </w:r>
      <w:r w:rsidRPr="00872C51">
        <w:rPr>
          <w:rFonts w:ascii="Times New Roman" w:eastAsia="Calibri" w:hAnsi="Times New Roman" w:cs="Times New Roman"/>
          <w:sz w:val="24"/>
          <w:szCs w:val="24"/>
        </w:rPr>
        <w:t>) pagal šią formulę:</w:t>
      </w:r>
    </w:p>
    <w:p w14:paraId="03A8BB6B" w14:textId="77777777" w:rsidR="00826622" w:rsidRPr="00872C51" w:rsidRDefault="00E914EF" w:rsidP="00826622">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7B2A9983" w14:textId="77777777" w:rsidR="00826622" w:rsidRPr="00872C51" w:rsidRDefault="00826622" w:rsidP="00826622">
      <w:pPr>
        <w:ind w:left="360"/>
        <w:contextualSpacing/>
        <w:rPr>
          <w:rFonts w:ascii="Times New Roman" w:eastAsia="Calibri" w:hAnsi="Times New Roman" w:cs="Times New Roman"/>
          <w:sz w:val="24"/>
          <w:szCs w:val="24"/>
        </w:rPr>
      </w:pPr>
    </w:p>
    <w:p w14:paraId="2C5025C9" w14:textId="77777777" w:rsidR="00826622" w:rsidRPr="00872C51" w:rsidRDefault="00826622" w:rsidP="00826622">
      <w:pPr>
        <w:ind w:left="567"/>
        <w:contextualSpacing/>
        <w:jc w:val="both"/>
        <w:rPr>
          <w:rFonts w:ascii="Times New Roman" w:eastAsia="Calibri" w:hAnsi="Times New Roman" w:cs="Times New Roman"/>
          <w:sz w:val="24"/>
          <w:szCs w:val="24"/>
        </w:rPr>
      </w:pP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n</w:t>
      </w:r>
      <w:proofErr w:type="spellEnd"/>
      <w:r w:rsidRPr="00872C51">
        <w:rPr>
          <w:rFonts w:ascii="Times New Roman" w:eastAsia="Calibri" w:hAnsi="Times New Roman" w:cs="Times New Roman"/>
          <w:sz w:val="24"/>
          <w:szCs w:val="24"/>
          <w:vertAlign w:val="subscript"/>
        </w:rPr>
        <w:t xml:space="preserve"> </w:t>
      </w:r>
      <w:r w:rsidRPr="00872C51">
        <w:rPr>
          <w:rFonts w:ascii="Times New Roman" w:eastAsia="Calibri" w:hAnsi="Times New Roman" w:cs="Times New Roman"/>
          <w:iCs/>
          <w:sz w:val="24"/>
          <w:szCs w:val="24"/>
        </w:rPr>
        <w:t>–</w:t>
      </w:r>
      <w:r w:rsidRPr="00872C51">
        <w:rPr>
          <w:rFonts w:ascii="Times New Roman" w:eastAsia="Calibri" w:hAnsi="Times New Roman" w:cs="Times New Roman"/>
          <w:b/>
          <w:bCs/>
          <w:sz w:val="24"/>
          <w:szCs w:val="24"/>
          <w:vertAlign w:val="subscript"/>
        </w:rPr>
        <w:t xml:space="preserve"> </w:t>
      </w:r>
      <w:r w:rsidRPr="00872C51">
        <w:rPr>
          <w:rFonts w:ascii="Times New Roman" w:eastAsia="Calibri" w:hAnsi="Times New Roman" w:cs="Times New Roman"/>
          <w:sz w:val="24"/>
          <w:szCs w:val="24"/>
        </w:rPr>
        <w:t>konkretaus dalyvio pasiūlymo įvertinimas pagal nurodytą kriterijų (balais);</w:t>
      </w:r>
    </w:p>
    <w:p w14:paraId="19C658C7" w14:textId="77777777" w:rsidR="00826622" w:rsidRPr="00872C51" w:rsidRDefault="00826622" w:rsidP="00826622">
      <w:pPr>
        <w:tabs>
          <w:tab w:val="left" w:pos="709"/>
        </w:tabs>
        <w:ind w:left="567"/>
        <w:contextualSpacing/>
        <w:jc w:val="both"/>
        <w:rPr>
          <w:rFonts w:ascii="Times New Roman" w:eastAsia="Calibri" w:hAnsi="Times New Roman" w:cs="Times New Roman"/>
          <w:iCs/>
          <w:sz w:val="24"/>
          <w:szCs w:val="24"/>
        </w:rPr>
      </w:pPr>
      <w:proofErr w:type="spellStart"/>
      <w:r w:rsidRPr="00872C51">
        <w:rPr>
          <w:rFonts w:ascii="Times New Roman" w:eastAsia="Calibri" w:hAnsi="Times New Roman" w:cs="Times New Roman"/>
          <w:iCs/>
          <w:sz w:val="24"/>
          <w:szCs w:val="24"/>
        </w:rPr>
        <w:t>P</w:t>
      </w:r>
      <w:r w:rsidRPr="00872C51">
        <w:rPr>
          <w:rFonts w:ascii="Times New Roman" w:eastAsia="Calibri" w:hAnsi="Times New Roman" w:cs="Times New Roman"/>
          <w:iCs/>
          <w:sz w:val="24"/>
          <w:szCs w:val="24"/>
          <w:vertAlign w:val="subscript"/>
        </w:rPr>
        <w:t>s</w:t>
      </w:r>
      <w:proofErr w:type="spellEnd"/>
      <w:r w:rsidRPr="00872C51">
        <w:rPr>
          <w:rFonts w:ascii="Times New Roman" w:eastAsia="Calibri" w:hAnsi="Times New Roman" w:cs="Times New Roman"/>
          <w:iCs/>
          <w:sz w:val="24"/>
          <w:szCs w:val="24"/>
          <w:vertAlign w:val="subscript"/>
        </w:rPr>
        <w:t xml:space="preserve">  </w:t>
      </w:r>
      <w:r w:rsidRPr="00872C51">
        <w:rPr>
          <w:rFonts w:ascii="Times New Roman" w:eastAsia="Calibri" w:hAnsi="Times New Roman" w:cs="Times New Roman"/>
          <w:iCs/>
          <w:sz w:val="24"/>
          <w:szCs w:val="24"/>
        </w:rPr>
        <w:t>– konkretaus dalyvio kriterijaus parametro įvertinimas;</w:t>
      </w:r>
    </w:p>
    <w:p w14:paraId="69488C14" w14:textId="77777777" w:rsidR="00826622" w:rsidRPr="00872C51" w:rsidRDefault="00826622" w:rsidP="00826622">
      <w:pPr>
        <w:ind w:left="567"/>
        <w:contextualSpacing/>
        <w:jc w:val="both"/>
        <w:rPr>
          <w:rFonts w:ascii="Times New Roman" w:eastAsia="Calibri" w:hAnsi="Times New Roman" w:cs="Times New Roman"/>
          <w:sz w:val="24"/>
          <w:szCs w:val="24"/>
        </w:rPr>
      </w:pPr>
      <w:proofErr w:type="spellStart"/>
      <w:r w:rsidRPr="00872C51">
        <w:rPr>
          <w:rFonts w:ascii="Times New Roman" w:eastAsia="Calibri" w:hAnsi="Times New Roman" w:cs="Times New Roman"/>
          <w:sz w:val="24"/>
          <w:szCs w:val="24"/>
        </w:rPr>
        <w:t>P</w:t>
      </w:r>
      <w:r w:rsidRPr="00872C51">
        <w:rPr>
          <w:rFonts w:ascii="Times New Roman" w:eastAsia="Calibri" w:hAnsi="Times New Roman" w:cs="Times New Roman"/>
          <w:sz w:val="24"/>
          <w:szCs w:val="24"/>
          <w:vertAlign w:val="subscript"/>
        </w:rPr>
        <w:t>max</w:t>
      </w:r>
      <w:proofErr w:type="spellEnd"/>
      <w:r w:rsidRPr="00872C51">
        <w:rPr>
          <w:rFonts w:ascii="Times New Roman" w:eastAsia="Calibri" w:hAnsi="Times New Roman" w:cs="Times New Roman"/>
          <w:sz w:val="24"/>
          <w:szCs w:val="24"/>
        </w:rPr>
        <w:t xml:space="preserve"> – maksimali (didžiausia galima) parametro reikšmė (</w:t>
      </w:r>
      <w:r w:rsidRPr="00872C51">
        <w:rPr>
          <w:rFonts w:ascii="Times New Roman" w:eastAsia="Calibri" w:hAnsi="Times New Roman" w:cs="Times New Roman"/>
          <w:i/>
          <w:iCs/>
          <w:sz w:val="24"/>
          <w:szCs w:val="24"/>
        </w:rPr>
        <w:t>P</w:t>
      </w:r>
      <w:r w:rsidRPr="00872C51">
        <w:rPr>
          <w:rFonts w:ascii="Times New Roman" w:eastAsia="Calibri" w:hAnsi="Times New Roman" w:cs="Times New Roman"/>
          <w:i/>
          <w:iCs/>
          <w:sz w:val="24"/>
          <w:szCs w:val="24"/>
          <w:vertAlign w:val="subscript"/>
        </w:rPr>
        <w:t xml:space="preserve">1 </w:t>
      </w:r>
      <w:r w:rsidRPr="00872C51">
        <w:rPr>
          <w:rFonts w:ascii="Times New Roman" w:eastAsia="Calibri" w:hAnsi="Times New Roman" w:cs="Times New Roman"/>
          <w:i/>
          <w:iCs/>
          <w:sz w:val="24"/>
          <w:szCs w:val="24"/>
        </w:rPr>
        <w:t>parametro atveju – 3 balai; P</w:t>
      </w:r>
      <w:r w:rsidRPr="00872C51">
        <w:rPr>
          <w:rFonts w:ascii="Times New Roman" w:eastAsia="Calibri" w:hAnsi="Times New Roman" w:cs="Times New Roman"/>
          <w:i/>
          <w:iCs/>
          <w:sz w:val="24"/>
          <w:szCs w:val="24"/>
          <w:vertAlign w:val="subscript"/>
        </w:rPr>
        <w:t xml:space="preserve">2  </w:t>
      </w:r>
      <w:r w:rsidRPr="00872C51">
        <w:rPr>
          <w:rFonts w:ascii="Times New Roman" w:eastAsia="Calibri" w:hAnsi="Times New Roman" w:cs="Times New Roman"/>
          <w:i/>
          <w:iCs/>
          <w:sz w:val="24"/>
          <w:szCs w:val="24"/>
        </w:rPr>
        <w:t>parametro – 3 balai</w:t>
      </w:r>
      <w:r w:rsidRPr="00872C51">
        <w:rPr>
          <w:rFonts w:ascii="Times New Roman" w:eastAsia="Calibri" w:hAnsi="Times New Roman" w:cs="Times New Roman"/>
          <w:sz w:val="24"/>
          <w:szCs w:val="24"/>
        </w:rPr>
        <w:t>);</w:t>
      </w:r>
    </w:p>
    <w:p w14:paraId="1F32C78A" w14:textId="77777777" w:rsidR="00826622" w:rsidRPr="00872C51" w:rsidRDefault="00826622" w:rsidP="00826622">
      <w:pPr>
        <w:tabs>
          <w:tab w:val="left" w:pos="714"/>
          <w:tab w:val="left" w:pos="851"/>
          <w:tab w:val="left" w:pos="1134"/>
        </w:tabs>
        <w:ind w:left="567"/>
        <w:contextualSpacing/>
        <w:jc w:val="both"/>
        <w:rPr>
          <w:rFonts w:ascii="Times New Roman" w:eastAsia="Calibri" w:hAnsi="Times New Roman" w:cs="Times New Roman"/>
          <w:sz w:val="24"/>
          <w:szCs w:val="24"/>
        </w:rPr>
      </w:pPr>
      <w:r w:rsidRPr="00872C51">
        <w:rPr>
          <w:rFonts w:ascii="Times New Roman" w:eastAsia="Calibri" w:hAnsi="Times New Roman" w:cs="Times New Roman"/>
          <w:iCs/>
          <w:sz w:val="24"/>
          <w:szCs w:val="24"/>
        </w:rPr>
        <w:t>Y</w:t>
      </w:r>
      <w:r w:rsidRPr="00872C51">
        <w:rPr>
          <w:rFonts w:ascii="Times New Roman" w:eastAsia="Calibri" w:hAnsi="Times New Roman" w:cs="Times New Roman"/>
          <w:iCs/>
          <w:sz w:val="24"/>
          <w:szCs w:val="24"/>
          <w:vertAlign w:val="subscript"/>
        </w:rPr>
        <w:t>1</w:t>
      </w:r>
      <w:r w:rsidRPr="00872C51">
        <w:rPr>
          <w:rFonts w:ascii="Times New Roman" w:eastAsia="Calibri" w:hAnsi="Times New Roman" w:cs="Times New Roman"/>
          <w:sz w:val="24"/>
          <w:szCs w:val="24"/>
        </w:rPr>
        <w:t xml:space="preserve"> – lyginamojo svorio ekonominio naudingumo įvertinime koeficientas.</w:t>
      </w:r>
    </w:p>
    <w:p w14:paraId="7A1DBEAA" w14:textId="77777777" w:rsidR="00826622" w:rsidRPr="001D15C5" w:rsidRDefault="00826622" w:rsidP="00826622">
      <w:pPr>
        <w:tabs>
          <w:tab w:val="left" w:pos="284"/>
        </w:tabs>
        <w:spacing w:line="280" w:lineRule="exact"/>
        <w:contextualSpacing/>
        <w:jc w:val="center"/>
        <w:rPr>
          <w:rFonts w:ascii="Times New Roman" w:hAnsi="Times New Roman" w:cs="Times New Roman"/>
        </w:rPr>
      </w:pPr>
    </w:p>
    <w:p w14:paraId="62286F2D" w14:textId="77777777" w:rsidR="00826622" w:rsidRPr="00972277" w:rsidRDefault="00826622" w:rsidP="00826622">
      <w:pPr>
        <w:tabs>
          <w:tab w:val="left" w:pos="284"/>
        </w:tabs>
        <w:spacing w:after="120" w:line="280" w:lineRule="exact"/>
        <w:ind w:left="-284" w:firstLine="284"/>
        <w:rPr>
          <w:rFonts w:ascii="Times New Roman" w:eastAsia="Calibri" w:hAnsi="Times New Roman" w:cs="Times New Roman"/>
          <w:lang w:val="pt-BR"/>
        </w:rPr>
      </w:pPr>
      <w:r>
        <w:rPr>
          <w:rFonts w:ascii="Times New Roman" w:eastAsia="Calibri" w:hAnsi="Times New Roman" w:cs="Times New Roman"/>
          <w:lang w:val="pt-BR"/>
        </w:rPr>
        <w:t>7</w:t>
      </w:r>
      <w:r w:rsidRPr="001D15C5">
        <w:rPr>
          <w:rFonts w:ascii="Times New Roman" w:eastAsia="Calibri" w:hAnsi="Times New Roman" w:cs="Times New Roman"/>
          <w:lang w:val="pt-BR"/>
        </w:rPr>
        <w:t>. Visi skaičiavimai atliekami, apvalinant iki dviejų skaičių po kabelio. Jeigu Pirkime tiekėjai surenka vienodą ekonominio naudingumo balą – Pasiūlymų eilėje pirmesnis nurodomas tas tiekėjas, kuris anksčiau pateikė savo pasiūlymą.</w:t>
      </w:r>
    </w:p>
    <w:p w14:paraId="443DEF15" w14:textId="77777777" w:rsidR="00826622" w:rsidRPr="00972277" w:rsidRDefault="00826622" w:rsidP="00826622">
      <w:pPr>
        <w:spacing w:after="200"/>
        <w:rPr>
          <w:rFonts w:ascii="Times New Roman" w:hAnsi="Times New Roman" w:cs="Times New Roman"/>
          <w:lang w:val="pt-BR"/>
        </w:rPr>
      </w:pPr>
      <w:r>
        <w:rPr>
          <w:rFonts w:ascii="Times New Roman" w:hAnsi="Times New Roman" w:cs="Times New Roman"/>
          <w:lang w:val="pt-BR"/>
        </w:rPr>
        <w:t>8</w:t>
      </w:r>
      <w:r w:rsidRPr="00972277">
        <w:rPr>
          <w:rFonts w:ascii="Times New Roman" w:hAnsi="Times New Roman" w:cs="Times New Roman"/>
          <w:lang w:val="pt-BR"/>
        </w:rPr>
        <w:t>. Kokybės kriterijaus (T) parametrai ir aprašymas:</w:t>
      </w:r>
    </w:p>
    <w:p w14:paraId="1709DB63" w14:textId="77777777" w:rsidR="00826622" w:rsidRPr="00972277" w:rsidRDefault="00826622" w:rsidP="00826622">
      <w:pPr>
        <w:spacing w:after="200"/>
        <w:rPr>
          <w:rFonts w:ascii="Times New Roman" w:hAnsi="Times New Roman" w:cs="Times New Roman"/>
          <w:lang w:val="pt-BR"/>
        </w:rPr>
      </w:pPr>
      <w:r>
        <w:rPr>
          <w:rFonts w:ascii="Times New Roman" w:hAnsi="Times New Roman" w:cs="Times New Roman"/>
          <w:lang w:val="pt-BR"/>
        </w:rPr>
        <w:t>8</w:t>
      </w:r>
      <w:r w:rsidRPr="00972277">
        <w:rPr>
          <w:rFonts w:ascii="Times New Roman" w:hAnsi="Times New Roman" w:cs="Times New Roman"/>
          <w:lang w:val="pt-BR"/>
        </w:rPr>
        <w:t xml:space="preserve">.1. Vertinami specialistai turi būti tie patys, kurie nurodomi grindžiant tiekėjo atitiktį minimaliems kvalifikacijos reikalavimams, ir kurie tiesiogiai teiks paslaugas Perkančiajai organizacijai. </w:t>
      </w:r>
    </w:p>
    <w:p w14:paraId="703227E0" w14:textId="77777777" w:rsidR="00826622" w:rsidRDefault="00826622" w:rsidP="00826622">
      <w:pPr>
        <w:spacing w:after="200"/>
        <w:rPr>
          <w:rFonts w:ascii="Times New Roman" w:hAnsi="Times New Roman" w:cs="Times New Roman"/>
          <w:lang w:val="pt-BR"/>
        </w:rPr>
      </w:pPr>
      <w:r>
        <w:rPr>
          <w:rFonts w:ascii="Times New Roman" w:hAnsi="Times New Roman" w:cs="Times New Roman"/>
          <w:lang w:val="pt-BR"/>
        </w:rPr>
        <w:t>8</w:t>
      </w:r>
      <w:r w:rsidRPr="00972277">
        <w:rPr>
          <w:rFonts w:ascii="Times New Roman" w:hAnsi="Times New Roman" w:cs="Times New Roman"/>
          <w:lang w:val="pt-BR"/>
        </w:rPr>
        <w:t xml:space="preserve">.2. Jeigu Pirkimo metu, bus teikiami keli atitinkamų rolių (pozicijų) specialistai – Tiekėjas pasiūlyme turi nurodyti, kurio specialisto patirtis turi būti vertinama (t. y. Perkančioji organizacija vertins ir ekonominio naudingumo balus suteiks tik vieno </w:t>
      </w:r>
      <w:r w:rsidRPr="00297EEB">
        <w:rPr>
          <w:rFonts w:ascii="Times New Roman" w:hAnsi="Times New Roman" w:cs="Times New Roman"/>
          <w:lang w:val="pt-BR"/>
        </w:rPr>
        <w:t>siūlomo specialisto patirtį atitinkamoje srityje).</w:t>
      </w:r>
    </w:p>
    <w:p w14:paraId="4F309E15" w14:textId="77777777" w:rsidR="00826622" w:rsidRPr="00752098" w:rsidRDefault="00826622" w:rsidP="00826622">
      <w:pPr>
        <w:tabs>
          <w:tab w:val="left" w:pos="993"/>
        </w:tabs>
        <w:jc w:val="center"/>
        <w:rPr>
          <w:rFonts w:ascii="Times New Roman" w:hAnsi="Times New Roman" w:cs="Times New Roman"/>
          <w:b/>
        </w:rPr>
      </w:pPr>
      <w:r w:rsidRPr="00752098">
        <w:rPr>
          <w:rFonts w:ascii="Times New Roman" w:hAnsi="Times New Roman" w:cs="Times New Roman"/>
          <w:b/>
        </w:rPr>
        <w:t>Kokybinių kriterijų vertinimo reikšmės</w:t>
      </w:r>
    </w:p>
    <w:p w14:paraId="172D6013" w14:textId="77777777" w:rsidR="00826622" w:rsidRPr="00752098" w:rsidRDefault="00826622" w:rsidP="00826622">
      <w:pPr>
        <w:tabs>
          <w:tab w:val="left" w:pos="284"/>
        </w:tabs>
        <w:rPr>
          <w:rFonts w:ascii="Times New Roman" w:hAnsi="Times New Roman" w:cs="Times New Roman"/>
          <w:b/>
          <w:bCs/>
        </w:rPr>
      </w:pPr>
      <w:r w:rsidRPr="00752098">
        <w:rPr>
          <w:rFonts w:ascii="Times New Roman" w:hAnsi="Times New Roman" w:cs="Times New Roman"/>
        </w:rPr>
        <w:tab/>
      </w:r>
      <w:r w:rsidRPr="00752098">
        <w:rPr>
          <w:rFonts w:ascii="Times New Roman" w:hAnsi="Times New Roman" w:cs="Times New Roman"/>
          <w:b/>
          <w:bCs/>
        </w:rPr>
        <w:t>Pirmojo 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826622" w:rsidRPr="00752098" w14:paraId="1DFADB1A" w14:textId="77777777" w:rsidTr="00C10DA1">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B8794" w14:textId="77777777" w:rsidR="00826622" w:rsidRPr="00752098" w:rsidRDefault="00826622" w:rsidP="00C10DA1">
            <w:pPr>
              <w:jc w:val="center"/>
              <w:rPr>
                <w:rFonts w:ascii="Times New Roman" w:eastAsia="Times New Roman" w:hAnsi="Times New Roman" w:cs="Times New Roman"/>
              </w:rPr>
            </w:pPr>
            <w:r w:rsidRPr="00752098">
              <w:rPr>
                <w:rFonts w:ascii="Times New Roman" w:eastAsia="Times New Roman" w:hAnsi="Times New Roman" w:cs="Times New Roman"/>
                <w:b/>
                <w:bCs/>
                <w:bdr w:val="none" w:sz="0" w:space="0" w:color="auto" w:frame="1"/>
              </w:rPr>
              <w:t>Vertinimo </w:t>
            </w:r>
          </w:p>
          <w:p w14:paraId="151D07F8" w14:textId="77777777" w:rsidR="00826622" w:rsidRPr="00752098" w:rsidRDefault="00826622" w:rsidP="00C10DA1">
            <w:pPr>
              <w:jc w:val="center"/>
              <w:rPr>
                <w:rFonts w:ascii="Times New Roman" w:eastAsia="Times New Roman" w:hAnsi="Times New Roman" w:cs="Times New Roman"/>
              </w:rPr>
            </w:pPr>
            <w:r w:rsidRPr="00752098">
              <w:rPr>
                <w:rFonts w:ascii="Times New Roman" w:eastAsia="Times New Roman" w:hAnsi="Times New Roman" w:cs="Times New Roman"/>
                <w:b/>
                <w:bCs/>
                <w:bdr w:val="none" w:sz="0" w:space="0" w:color="auto" w:frame="1"/>
              </w:rPr>
              <w:t>kriterijaus reikšmė (R</w:t>
            </w:r>
            <w:r w:rsidRPr="00752098">
              <w:rPr>
                <w:rFonts w:ascii="Times New Roman" w:eastAsia="Times New Roman" w:hAnsi="Times New Roman" w:cs="Times New Roman"/>
                <w:b/>
                <w:bCs/>
                <w:bdr w:val="none" w:sz="0" w:space="0" w:color="auto" w:frame="1"/>
                <w:vertAlign w:val="subscript"/>
              </w:rPr>
              <w:t>1</w:t>
            </w:r>
            <w:r w:rsidRPr="00752098">
              <w:rPr>
                <w:rFonts w:ascii="Times New Roman" w:eastAsia="Times New Roman" w:hAnsi="Times New Roman" w:cs="Times New Roman"/>
                <w:b/>
                <w:bCs/>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76859" w14:textId="77777777" w:rsidR="00826622" w:rsidRPr="00752098" w:rsidRDefault="00826622" w:rsidP="00C10DA1">
            <w:pPr>
              <w:widowControl w:val="0"/>
              <w:spacing w:after="120"/>
              <w:ind w:leftChars="-1" w:hangingChars="1" w:hanging="2"/>
              <w:textDirection w:val="btLr"/>
              <w:textAlignment w:val="top"/>
              <w:outlineLvl w:val="0"/>
              <w:rPr>
                <w:rFonts w:ascii="Times New Roman" w:eastAsia="Times New Roman" w:hAnsi="Times New Roman" w:cs="Times New Roman"/>
                <w:b/>
              </w:rPr>
            </w:pPr>
            <w:r w:rsidRPr="00752098">
              <w:rPr>
                <w:rFonts w:ascii="Times New Roman" w:eastAsia="Times New Roman" w:hAnsi="Times New Roman" w:cs="Times New Roman"/>
                <w:b/>
              </w:rPr>
              <w:t xml:space="preserve">Pasiūlyme nurodyto specialisto </w:t>
            </w:r>
            <w:proofErr w:type="spellStart"/>
            <w:r w:rsidRPr="00752098">
              <w:rPr>
                <w:rFonts w:ascii="Times New Roman" w:eastAsia="Times New Roman" w:hAnsi="Times New Roman" w:cs="Times New Roman"/>
                <w:b/>
              </w:rPr>
              <w:t>Specialisto</w:t>
            </w:r>
            <w:proofErr w:type="spellEnd"/>
            <w:r w:rsidRPr="00752098">
              <w:rPr>
                <w:rFonts w:ascii="Times New Roman" w:eastAsia="Times New Roman" w:hAnsi="Times New Roman" w:cs="Times New Roman"/>
                <w:b/>
              </w:rPr>
              <w:t xml:space="preserve"> Nr. </w:t>
            </w:r>
            <w:r>
              <w:rPr>
                <w:rFonts w:ascii="Times New Roman" w:eastAsia="Times New Roman" w:hAnsi="Times New Roman" w:cs="Times New Roman"/>
                <w:b/>
              </w:rPr>
              <w:t>3</w:t>
            </w:r>
            <w:r w:rsidRPr="00752098">
              <w:rPr>
                <w:rFonts w:ascii="Times New Roman" w:eastAsia="Times New Roman" w:hAnsi="Times New Roman" w:cs="Times New Roman"/>
                <w:b/>
              </w:rPr>
              <w:t xml:space="preserve">  darbo patirtis informacinių sistemų ir / ar registrų programavimo srityje</w:t>
            </w:r>
          </w:p>
        </w:tc>
      </w:tr>
      <w:tr w:rsidR="00826622" w:rsidRPr="00752098" w14:paraId="1A90E5CA" w14:textId="77777777" w:rsidTr="00C10DA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433D6" w14:textId="77777777" w:rsidR="00826622" w:rsidRPr="00752098" w:rsidRDefault="00826622" w:rsidP="00C10DA1">
            <w:pPr>
              <w:jc w:val="center"/>
              <w:rPr>
                <w:rFonts w:ascii="Times New Roman" w:eastAsia="Times New Roman" w:hAnsi="Times New Roman" w:cs="Times New Roman"/>
              </w:rPr>
            </w:pPr>
            <w:r w:rsidRPr="00752098">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0B3565D9" w14:textId="77777777" w:rsidR="00826622" w:rsidRPr="00752098" w:rsidRDefault="00826622" w:rsidP="00C10DA1">
            <w:pPr>
              <w:spacing w:after="120"/>
              <w:rPr>
                <w:rFonts w:ascii="Times New Roman" w:eastAsia="Times New Roman" w:hAnsi="Times New Roman" w:cs="Times New Roman"/>
              </w:rPr>
            </w:pPr>
            <w:r w:rsidRPr="00A511BF">
              <w:rPr>
                <w:rFonts w:ascii="Times New Roman" w:eastAsia="Times New Roman" w:hAnsi="Times New Roman" w:cs="Times New Roman"/>
              </w:rPr>
              <w:t>Per pastaruosius 5 metus iki pasi</w:t>
            </w:r>
            <w:r w:rsidRPr="00A511BF">
              <w:rPr>
                <w:rFonts w:ascii="Times New Roman" w:eastAsia="Times New Roman" w:hAnsi="Times New Roman" w:cs="Times New Roman" w:hint="eastAsia"/>
              </w:rPr>
              <w:t>ū</w:t>
            </w:r>
            <w:r w:rsidRPr="00A511BF">
              <w:rPr>
                <w:rFonts w:ascii="Times New Roman" w:eastAsia="Times New Roman" w:hAnsi="Times New Roman" w:cs="Times New Roman"/>
              </w:rPr>
              <w:t>lymo pateikimo dienos turi ne ma</w:t>
            </w:r>
            <w:r w:rsidRPr="00A511BF">
              <w:rPr>
                <w:rFonts w:ascii="Times New Roman" w:eastAsia="Times New Roman" w:hAnsi="Times New Roman" w:cs="Times New Roman" w:hint="eastAsia"/>
              </w:rPr>
              <w:t>ž</w:t>
            </w:r>
            <w:r w:rsidRPr="00A511BF">
              <w:rPr>
                <w:rFonts w:ascii="Times New Roman" w:eastAsia="Times New Roman" w:hAnsi="Times New Roman" w:cs="Times New Roman"/>
              </w:rPr>
              <w:t>esn</w:t>
            </w:r>
            <w:r w:rsidRPr="00A511BF">
              <w:rPr>
                <w:rFonts w:ascii="Times New Roman" w:eastAsia="Times New Roman" w:hAnsi="Times New Roman" w:cs="Times New Roman" w:hint="cs"/>
              </w:rPr>
              <w:t>ę</w:t>
            </w:r>
            <w:r w:rsidRPr="00A511BF">
              <w:rPr>
                <w:rFonts w:ascii="Times New Roman" w:eastAsia="Times New Roman" w:hAnsi="Times New Roman" w:cs="Times New Roman"/>
              </w:rPr>
              <w:t xml:space="preserve"> kaip 12 m</w:t>
            </w:r>
            <w:r w:rsidRPr="00A511BF">
              <w:rPr>
                <w:rFonts w:ascii="Times New Roman" w:eastAsia="Times New Roman" w:hAnsi="Times New Roman" w:cs="Times New Roman" w:hint="cs"/>
              </w:rPr>
              <w:t>ė</w:t>
            </w:r>
            <w:r w:rsidRPr="00A511BF">
              <w:rPr>
                <w:rFonts w:ascii="Times New Roman" w:eastAsia="Times New Roman" w:hAnsi="Times New Roman" w:cs="Times New Roman"/>
              </w:rPr>
              <w:t>nesi</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patirt</w:t>
            </w:r>
            <w:r w:rsidRPr="00A511BF">
              <w:rPr>
                <w:rFonts w:ascii="Times New Roman" w:eastAsia="Times New Roman" w:hAnsi="Times New Roman" w:cs="Times New Roman" w:hint="cs"/>
              </w:rPr>
              <w:t>į</w:t>
            </w:r>
            <w:r w:rsidRPr="00A511BF">
              <w:rPr>
                <w:rFonts w:ascii="Times New Roman" w:eastAsia="Times New Roman" w:hAnsi="Times New Roman" w:cs="Times New Roman"/>
              </w:rPr>
              <w:t xml:space="preserve"> (12 m</w:t>
            </w:r>
            <w:r w:rsidRPr="00A511BF">
              <w:rPr>
                <w:rFonts w:ascii="Times New Roman" w:eastAsia="Times New Roman" w:hAnsi="Times New Roman" w:cs="Times New Roman" w:hint="cs"/>
              </w:rPr>
              <w:t>ė</w:t>
            </w:r>
            <w:r w:rsidRPr="00A511BF">
              <w:rPr>
                <w:rFonts w:ascii="Times New Roman" w:eastAsia="Times New Roman" w:hAnsi="Times New Roman" w:cs="Times New Roman"/>
              </w:rPr>
              <w:t>nesi</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patirtis gali b</w:t>
            </w:r>
            <w:r w:rsidRPr="00A511BF">
              <w:rPr>
                <w:rFonts w:ascii="Times New Roman" w:eastAsia="Times New Roman" w:hAnsi="Times New Roman" w:cs="Times New Roman" w:hint="eastAsia"/>
              </w:rPr>
              <w:t>ū</w:t>
            </w:r>
            <w:r w:rsidRPr="00A511BF">
              <w:rPr>
                <w:rFonts w:ascii="Times New Roman" w:eastAsia="Times New Roman" w:hAnsi="Times New Roman" w:cs="Times New Roman"/>
              </w:rPr>
              <w:t xml:space="preserve">ti </w:t>
            </w:r>
            <w:r w:rsidRPr="00A511BF">
              <w:rPr>
                <w:rFonts w:ascii="Times New Roman" w:eastAsia="Times New Roman" w:hAnsi="Times New Roman" w:cs="Times New Roman" w:hint="cs"/>
              </w:rPr>
              <w:t>į</w:t>
            </w:r>
            <w:r w:rsidRPr="00A511BF">
              <w:rPr>
                <w:rFonts w:ascii="Times New Roman" w:eastAsia="Times New Roman" w:hAnsi="Times New Roman" w:cs="Times New Roman"/>
              </w:rPr>
              <w:t xml:space="preserve">gyta dalyvaujant tiek vienoje, tiek keliose </w:t>
            </w:r>
            <w:r w:rsidRPr="00A511BF">
              <w:rPr>
                <w:rFonts w:ascii="Times New Roman" w:eastAsia="Times New Roman" w:hAnsi="Times New Roman" w:cs="Times New Roman" w:hint="cs"/>
              </w:rPr>
              <w:t>į</w:t>
            </w:r>
            <w:r w:rsidRPr="00A511BF">
              <w:rPr>
                <w:rFonts w:ascii="Times New Roman" w:eastAsia="Times New Roman" w:hAnsi="Times New Roman" w:cs="Times New Roman"/>
              </w:rPr>
              <w:t>vykdytose sutartyse, kuri</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trukm</w:t>
            </w:r>
            <w:r w:rsidRPr="00A511BF">
              <w:rPr>
                <w:rFonts w:ascii="Times New Roman" w:eastAsia="Times New Roman" w:hAnsi="Times New Roman" w:cs="Times New Roman" w:hint="cs"/>
              </w:rPr>
              <w:t>ė</w:t>
            </w:r>
            <w:r w:rsidRPr="00A511BF">
              <w:rPr>
                <w:rFonts w:ascii="Times New Roman" w:eastAsia="Times New Roman" w:hAnsi="Times New Roman" w:cs="Times New Roman"/>
              </w:rPr>
              <w:t>s neb</w:t>
            </w:r>
            <w:r w:rsidRPr="00A511BF">
              <w:rPr>
                <w:rFonts w:ascii="Times New Roman" w:eastAsia="Times New Roman" w:hAnsi="Times New Roman" w:cs="Times New Roman" w:hint="eastAsia"/>
              </w:rPr>
              <w:t>ū</w:t>
            </w:r>
            <w:r w:rsidRPr="00A511BF">
              <w:rPr>
                <w:rFonts w:ascii="Times New Roman" w:eastAsia="Times New Roman" w:hAnsi="Times New Roman" w:cs="Times New Roman"/>
              </w:rPr>
              <w:t>tinai yra 12 m</w:t>
            </w:r>
            <w:r w:rsidRPr="00A511BF">
              <w:rPr>
                <w:rFonts w:ascii="Times New Roman" w:eastAsia="Times New Roman" w:hAnsi="Times New Roman" w:cs="Times New Roman" w:hint="cs"/>
              </w:rPr>
              <w:t>ė</w:t>
            </w:r>
            <w:r w:rsidRPr="00A511BF">
              <w:rPr>
                <w:rFonts w:ascii="Times New Roman" w:eastAsia="Times New Roman" w:hAnsi="Times New Roman" w:cs="Times New Roman"/>
              </w:rPr>
              <w:t>nesi</w:t>
            </w:r>
            <w:r w:rsidRPr="00A511BF">
              <w:rPr>
                <w:rFonts w:ascii="Times New Roman" w:eastAsia="Times New Roman" w:hAnsi="Times New Roman" w:cs="Times New Roman" w:hint="cs"/>
              </w:rPr>
              <w:t>ų</w:t>
            </w:r>
            <w:r w:rsidRPr="00A511BF">
              <w:rPr>
                <w:rFonts w:ascii="Times New Roman" w:eastAsia="Times New Roman" w:hAnsi="Times New Roman" w:cs="Times New Roman"/>
              </w:rPr>
              <w:t>, ta</w:t>
            </w:r>
            <w:r w:rsidRPr="00A511BF">
              <w:rPr>
                <w:rFonts w:ascii="Times New Roman" w:eastAsia="Times New Roman" w:hAnsi="Times New Roman" w:cs="Times New Roman" w:hint="cs"/>
              </w:rPr>
              <w:t>č</w:t>
            </w:r>
            <w:r w:rsidRPr="00A511BF">
              <w:rPr>
                <w:rFonts w:ascii="Times New Roman" w:eastAsia="Times New Roman" w:hAnsi="Times New Roman" w:cs="Times New Roman"/>
              </w:rPr>
              <w:t>iau atskir</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sutar</w:t>
            </w:r>
            <w:r w:rsidRPr="00A511BF">
              <w:rPr>
                <w:rFonts w:ascii="Times New Roman" w:eastAsia="Times New Roman" w:hAnsi="Times New Roman" w:cs="Times New Roman" w:hint="cs"/>
              </w:rPr>
              <w:t>č</w:t>
            </w:r>
            <w:r w:rsidRPr="00A511BF">
              <w:rPr>
                <w:rFonts w:ascii="Times New Roman" w:eastAsia="Times New Roman" w:hAnsi="Times New Roman" w:cs="Times New Roman"/>
              </w:rPr>
              <w:t>i</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vykdymo laikotarpis, jei jis sutampa, bus sumuojama kaip bendra to paties laikotarpio patirtis) sutartyje/projekte, kurios metu buvo teikiamos informacini</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sistem</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ar registr</w:t>
            </w:r>
            <w:r w:rsidRPr="00A511BF">
              <w:rPr>
                <w:rFonts w:ascii="Times New Roman" w:eastAsia="Times New Roman" w:hAnsi="Times New Roman" w:cs="Times New Roman" w:hint="cs"/>
              </w:rPr>
              <w:t>ų</w:t>
            </w:r>
            <w:r w:rsidRPr="00A511BF">
              <w:rPr>
                <w:rFonts w:ascii="Times New Roman" w:eastAsia="Times New Roman" w:hAnsi="Times New Roman" w:cs="Times New Roman"/>
              </w:rPr>
              <w:t xml:space="preserve">, programavimo/vystymo paslaugos.  </w:t>
            </w:r>
          </w:p>
        </w:tc>
      </w:tr>
      <w:tr w:rsidR="00826622" w:rsidRPr="00752098" w14:paraId="7661C89C" w14:textId="77777777" w:rsidTr="00C10DA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CC3373" w14:textId="77777777" w:rsidR="00826622" w:rsidRPr="00752098" w:rsidRDefault="00826622" w:rsidP="00C10DA1">
            <w:pPr>
              <w:jc w:val="center"/>
              <w:rPr>
                <w:rFonts w:ascii="Times New Roman" w:eastAsia="Times New Roman" w:hAnsi="Times New Roman" w:cs="Times New Roman"/>
                <w:bdr w:val="none" w:sz="0" w:space="0" w:color="auto" w:frame="1"/>
              </w:rPr>
            </w:pPr>
            <w:r w:rsidRPr="00752098">
              <w:rPr>
                <w:rFonts w:ascii="Times New Roman" w:eastAsia="Times New Roman" w:hAnsi="Times New Roman" w:cs="Times New Roman"/>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0BDE9E0B" w14:textId="77777777" w:rsidR="00826622" w:rsidRPr="00752098" w:rsidRDefault="00826622" w:rsidP="00C10DA1">
            <w:pPr>
              <w:spacing w:after="120"/>
              <w:rPr>
                <w:rFonts w:ascii="Times New Roman" w:eastAsia="Times New Roman" w:hAnsi="Times New Roman" w:cs="Times New Roman"/>
              </w:rPr>
            </w:pPr>
            <w:r w:rsidRPr="006F4EAD">
              <w:rPr>
                <w:rFonts w:ascii="Times New Roman" w:eastAsia="Times New Roman" w:hAnsi="Times New Roman" w:cs="Times New Roman"/>
              </w:rPr>
              <w:t xml:space="preserve">Per pastaruosius 5 metus iki pasiūlymo pateikimo dienos turi ne mažesnę kaip </w:t>
            </w:r>
            <w:r>
              <w:rPr>
                <w:rFonts w:ascii="Times New Roman" w:eastAsia="Times New Roman" w:hAnsi="Times New Roman" w:cs="Times New Roman"/>
              </w:rPr>
              <w:t>24</w:t>
            </w:r>
            <w:r w:rsidRPr="006F4EAD">
              <w:rPr>
                <w:rFonts w:ascii="Times New Roman" w:eastAsia="Times New Roman" w:hAnsi="Times New Roman" w:cs="Times New Roman"/>
              </w:rPr>
              <w:t xml:space="preserve"> mėnesių patirtį (</w:t>
            </w:r>
            <w:r>
              <w:rPr>
                <w:rFonts w:ascii="Times New Roman" w:eastAsia="Times New Roman" w:hAnsi="Times New Roman" w:cs="Times New Roman"/>
              </w:rPr>
              <w:t>24</w:t>
            </w:r>
            <w:r w:rsidRPr="006F4EAD">
              <w:rPr>
                <w:rFonts w:ascii="Times New Roman" w:eastAsia="Times New Roman" w:hAnsi="Times New Roman" w:cs="Times New Roman"/>
              </w:rPr>
              <w:t xml:space="preserve"> mėnesių patirtis gali būti įgyta dalyvaujant tiek vienoje, tiek keliose įvykdytose sutartyse, kurių trukmės nebūtinai yra </w:t>
            </w:r>
            <w:r>
              <w:rPr>
                <w:rFonts w:ascii="Times New Roman" w:eastAsia="Times New Roman" w:hAnsi="Times New Roman" w:cs="Times New Roman"/>
              </w:rPr>
              <w:t>24</w:t>
            </w:r>
            <w:r w:rsidRPr="006F4EAD">
              <w:rPr>
                <w:rFonts w:ascii="Times New Roman" w:eastAsia="Times New Roman" w:hAnsi="Times New Roman" w:cs="Times New Roman"/>
              </w:rPr>
              <w:t xml:space="preserve"> mėnesių, tačiau atskirų sutarčių vykdymo laikotarpis, jei jis sutampa, bus </w:t>
            </w:r>
            <w:r w:rsidRPr="006F4EAD">
              <w:rPr>
                <w:rFonts w:ascii="Times New Roman" w:eastAsia="Times New Roman" w:hAnsi="Times New Roman" w:cs="Times New Roman"/>
              </w:rPr>
              <w:lastRenderedPageBreak/>
              <w:t xml:space="preserve">sumuojama kaip bendra to paties laikotarpio patirtis) sutartyje/projekte, kurios metu buvo teikiamos informacinių sistemų ar registrų, programavimo/vystymo paslaugos.  </w:t>
            </w:r>
          </w:p>
        </w:tc>
      </w:tr>
      <w:tr w:rsidR="00826622" w:rsidRPr="00752098" w14:paraId="12C5B9B4" w14:textId="77777777" w:rsidTr="00C10DA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A06DA" w14:textId="77777777" w:rsidR="00826622" w:rsidRPr="00752098" w:rsidRDefault="00826622" w:rsidP="00C10DA1">
            <w:pPr>
              <w:jc w:val="center"/>
              <w:rPr>
                <w:rFonts w:ascii="Times New Roman" w:eastAsia="Times New Roman" w:hAnsi="Times New Roman" w:cs="Times New Roman"/>
                <w:bdr w:val="none" w:sz="0" w:space="0" w:color="auto" w:frame="1"/>
              </w:rPr>
            </w:pPr>
            <w:r w:rsidRPr="00752098">
              <w:rPr>
                <w:rFonts w:ascii="Times New Roman" w:eastAsia="Times New Roman" w:hAnsi="Times New Roman" w:cs="Times New Roman"/>
                <w:bdr w:val="none" w:sz="0" w:space="0" w:color="auto" w:frame="1"/>
              </w:rPr>
              <w:lastRenderedPageBreak/>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38C5AE8A" w14:textId="77777777" w:rsidR="00826622" w:rsidRPr="00752098" w:rsidRDefault="00826622" w:rsidP="00C10DA1">
            <w:pPr>
              <w:rPr>
                <w:rFonts w:ascii="Times New Roman" w:eastAsia="Times New Roman" w:hAnsi="Times New Roman" w:cs="Times New Roman"/>
              </w:rPr>
            </w:pPr>
            <w:r w:rsidRPr="006F4EAD">
              <w:rPr>
                <w:rFonts w:ascii="Times New Roman" w:eastAsia="Times New Roman" w:hAnsi="Times New Roman" w:cs="Times New Roman"/>
              </w:rPr>
              <w:t xml:space="preserve">Per pastaruosius 5 metus iki pasiūlymo pateikimo dienos turi ne mažesnę kaip </w:t>
            </w:r>
            <w:r>
              <w:rPr>
                <w:rFonts w:ascii="Times New Roman" w:eastAsia="Times New Roman" w:hAnsi="Times New Roman" w:cs="Times New Roman"/>
              </w:rPr>
              <w:t>36</w:t>
            </w:r>
            <w:r w:rsidRPr="006F4EAD">
              <w:rPr>
                <w:rFonts w:ascii="Times New Roman" w:eastAsia="Times New Roman" w:hAnsi="Times New Roman" w:cs="Times New Roman"/>
              </w:rPr>
              <w:t xml:space="preserve"> mėnesių patirtį (</w:t>
            </w:r>
            <w:r>
              <w:rPr>
                <w:rFonts w:ascii="Times New Roman" w:eastAsia="Times New Roman" w:hAnsi="Times New Roman" w:cs="Times New Roman"/>
              </w:rPr>
              <w:t>36</w:t>
            </w:r>
            <w:r w:rsidRPr="006F4EAD">
              <w:rPr>
                <w:rFonts w:ascii="Times New Roman" w:eastAsia="Times New Roman" w:hAnsi="Times New Roman" w:cs="Times New Roman"/>
              </w:rPr>
              <w:t xml:space="preserve"> mėnesių patirtis gali būti įgyta dalyvaujant tiek vienoje, tiek keliose įvykdytose sutartyse, kurių trukmės nebūtinai yra </w:t>
            </w:r>
            <w:r>
              <w:rPr>
                <w:rFonts w:ascii="Times New Roman" w:eastAsia="Times New Roman" w:hAnsi="Times New Roman" w:cs="Times New Roman"/>
              </w:rPr>
              <w:t>36</w:t>
            </w:r>
            <w:r w:rsidRPr="006F4EAD">
              <w:rPr>
                <w:rFonts w:ascii="Times New Roman" w:eastAsia="Times New Roman" w:hAnsi="Times New Roman" w:cs="Times New Roman"/>
              </w:rPr>
              <w:t xml:space="preserve"> mėnesių, tačiau atskirų sutarčių vykdymo laikotarpis, jei jis sutampa, bus sumuojama kaip bendra to paties laikotarpio patirtis) sutartyje/projekte, kurios metu buvo teikiamos informacinių sistemų ar registrų, programavimo/vystymo paslaugos.  </w:t>
            </w:r>
          </w:p>
        </w:tc>
      </w:tr>
    </w:tbl>
    <w:p w14:paraId="7BA8E0EE" w14:textId="77777777" w:rsidR="00D75ED0" w:rsidRPr="00D75ED0" w:rsidRDefault="00D75ED0" w:rsidP="00D75ED0">
      <w:pPr>
        <w:pStyle w:val="Sraopastraipa"/>
        <w:tabs>
          <w:tab w:val="left" w:pos="709"/>
          <w:tab w:val="left" w:pos="993"/>
        </w:tabs>
        <w:suppressAutoHyphens/>
        <w:spacing w:after="0" w:line="240" w:lineRule="auto"/>
        <w:ind w:left="708"/>
        <w:jc w:val="both"/>
        <w:rPr>
          <w:rFonts w:ascii="Times New Roman" w:hAnsi="Times New Roman" w:cs="Times New Roman"/>
          <w:bCs/>
          <w:sz w:val="24"/>
          <w:szCs w:val="24"/>
        </w:rPr>
      </w:pPr>
    </w:p>
    <w:p w14:paraId="4671F280" w14:textId="0DE3EA86" w:rsidR="00826622" w:rsidRPr="00872C51" w:rsidRDefault="00826622" w:rsidP="00826622">
      <w:pPr>
        <w:pStyle w:val="Sraopastraipa"/>
        <w:numPr>
          <w:ilvl w:val="0"/>
          <w:numId w:val="37"/>
        </w:numPr>
        <w:tabs>
          <w:tab w:val="left" w:pos="709"/>
          <w:tab w:val="left" w:pos="993"/>
        </w:tabs>
        <w:suppressAutoHyphens/>
        <w:spacing w:after="0" w:line="240" w:lineRule="auto"/>
        <w:ind w:left="0" w:firstLine="708"/>
        <w:jc w:val="both"/>
        <w:rPr>
          <w:rFonts w:ascii="Times New Roman" w:hAnsi="Times New Roman" w:cs="Times New Roman"/>
          <w:bCs/>
          <w:sz w:val="24"/>
          <w:szCs w:val="24"/>
        </w:rPr>
      </w:pPr>
      <w:r w:rsidRPr="00872C51">
        <w:rPr>
          <w:rFonts w:ascii="Times New Roman" w:hAnsi="Times New Roman" w:cs="Times New Roman"/>
          <w:sz w:val="24"/>
          <w:szCs w:val="24"/>
        </w:rPr>
        <w:t>Jeigu</w:t>
      </w:r>
      <w:r w:rsidRPr="00872C51">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1C70F69D" w14:textId="77777777" w:rsidR="00826622" w:rsidRDefault="00826622" w:rsidP="00826622">
      <w:pPr>
        <w:spacing w:after="200"/>
        <w:rPr>
          <w:rFonts w:ascii="Times New Roman" w:hAnsi="Times New Roman" w:cs="Times New Roman"/>
        </w:rPr>
      </w:pPr>
    </w:p>
    <w:p w14:paraId="34B19DE8" w14:textId="77777777" w:rsidR="00826622" w:rsidRPr="005756F9" w:rsidRDefault="00826622" w:rsidP="00826622">
      <w:pPr>
        <w:spacing w:after="200"/>
        <w:rPr>
          <w:rFonts w:ascii="Times New Roman" w:hAnsi="Times New Roman" w:cs="Times New Roman"/>
        </w:rPr>
      </w:pPr>
    </w:p>
    <w:p w14:paraId="78D4441C" w14:textId="77777777" w:rsidR="00A07640" w:rsidRDefault="00A07640" w:rsidP="00A07640">
      <w:pPr>
        <w:spacing w:after="0"/>
        <w:jc w:val="both"/>
        <w:rPr>
          <w:rFonts w:ascii="Times New Roman" w:hAnsi="Times New Roman" w:cs="Times New Roman"/>
          <w:bCs/>
          <w:sz w:val="24"/>
          <w:szCs w:val="24"/>
        </w:rPr>
      </w:pPr>
    </w:p>
    <w:p w14:paraId="0245D78B" w14:textId="77777777" w:rsidR="00A07640" w:rsidRPr="00F91670" w:rsidRDefault="00A07640" w:rsidP="00A07640">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4C6A9C3A" w14:textId="77777777" w:rsidR="00A07640" w:rsidRDefault="00A07640" w:rsidP="00A07640">
      <w:pPr>
        <w:spacing w:after="0" w:line="240" w:lineRule="auto"/>
        <w:ind w:firstLine="851"/>
        <w:rPr>
          <w:rFonts w:ascii="Times New Roman" w:hAnsi="Times New Roman"/>
          <w:sz w:val="24"/>
          <w:szCs w:val="24"/>
        </w:rPr>
      </w:pPr>
    </w:p>
    <w:p w14:paraId="30F847C6" w14:textId="77777777" w:rsidR="00A07640" w:rsidRDefault="00A07640" w:rsidP="00A07640">
      <w:pPr>
        <w:spacing w:after="0" w:line="240" w:lineRule="auto"/>
        <w:ind w:firstLine="851"/>
        <w:rPr>
          <w:rFonts w:ascii="Times New Roman" w:hAnsi="Times New Roman"/>
          <w:sz w:val="24"/>
          <w:szCs w:val="24"/>
        </w:rPr>
      </w:pPr>
    </w:p>
    <w:p w14:paraId="3FE63439" w14:textId="77777777" w:rsidR="00A07640" w:rsidRDefault="00A07640" w:rsidP="00A07640">
      <w:pPr>
        <w:spacing w:after="0" w:line="240" w:lineRule="auto"/>
        <w:ind w:firstLine="851"/>
        <w:rPr>
          <w:rFonts w:ascii="Times New Roman" w:hAnsi="Times New Roman"/>
          <w:sz w:val="24"/>
          <w:szCs w:val="24"/>
        </w:rPr>
      </w:pPr>
    </w:p>
    <w:p w14:paraId="7D6E3882" w14:textId="77777777" w:rsidR="00A07640" w:rsidRDefault="00A07640" w:rsidP="00A07640">
      <w:pPr>
        <w:spacing w:after="0" w:line="240" w:lineRule="auto"/>
        <w:ind w:firstLine="851"/>
        <w:rPr>
          <w:rFonts w:ascii="Times New Roman" w:hAnsi="Times New Roman"/>
          <w:sz w:val="24"/>
          <w:szCs w:val="24"/>
        </w:rPr>
      </w:pPr>
    </w:p>
    <w:p w14:paraId="087AD036" w14:textId="77777777" w:rsidR="00A07640" w:rsidRDefault="00A07640" w:rsidP="00A07640">
      <w:pPr>
        <w:spacing w:after="0" w:line="240" w:lineRule="auto"/>
        <w:ind w:firstLine="851"/>
        <w:rPr>
          <w:rFonts w:ascii="Times New Roman" w:hAnsi="Times New Roman"/>
          <w:sz w:val="24"/>
          <w:szCs w:val="24"/>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1F44C759" w14:textId="77777777" w:rsidR="00A07640" w:rsidRDefault="00A07640" w:rsidP="00A07640">
      <w:pPr>
        <w:spacing w:after="0" w:line="240" w:lineRule="auto"/>
        <w:ind w:firstLine="851"/>
        <w:rPr>
          <w:rFonts w:ascii="Times New Roman" w:hAnsi="Times New Roman"/>
          <w:sz w:val="24"/>
          <w:szCs w:val="24"/>
        </w:rPr>
      </w:pPr>
    </w:p>
    <w:p w14:paraId="2CA06BBD" w14:textId="77777777" w:rsidR="00A07640" w:rsidRDefault="00A07640" w:rsidP="00A07640">
      <w:pPr>
        <w:spacing w:after="0" w:line="240" w:lineRule="auto"/>
        <w:ind w:firstLine="851"/>
        <w:rPr>
          <w:rFonts w:ascii="Times New Roman" w:hAnsi="Times New Roman"/>
          <w:sz w:val="24"/>
          <w:szCs w:val="24"/>
        </w:rPr>
      </w:pPr>
    </w:p>
    <w:p w14:paraId="2151F34D" w14:textId="77777777" w:rsidR="00A07640" w:rsidRDefault="00A07640" w:rsidP="00A07640">
      <w:pPr>
        <w:spacing w:after="0" w:line="240" w:lineRule="auto"/>
        <w:ind w:firstLine="851"/>
        <w:rPr>
          <w:rFonts w:ascii="Times New Roman" w:hAnsi="Times New Roman"/>
          <w:sz w:val="24"/>
          <w:szCs w:val="24"/>
        </w:rPr>
      </w:pPr>
    </w:p>
    <w:p w14:paraId="5FEF88F1" w14:textId="77777777" w:rsidR="00A07640" w:rsidRDefault="00A07640" w:rsidP="00A07640">
      <w:pPr>
        <w:spacing w:after="0" w:line="240" w:lineRule="auto"/>
        <w:ind w:firstLine="851"/>
        <w:rPr>
          <w:rFonts w:ascii="Times New Roman" w:hAnsi="Times New Roman"/>
          <w:sz w:val="24"/>
          <w:szCs w:val="24"/>
        </w:rPr>
      </w:pPr>
    </w:p>
    <w:p w14:paraId="036579B2" w14:textId="77777777" w:rsidR="00A07640" w:rsidRDefault="00A07640" w:rsidP="00A07640">
      <w:pPr>
        <w:spacing w:after="0" w:line="240" w:lineRule="auto"/>
        <w:ind w:firstLine="851"/>
        <w:rPr>
          <w:rFonts w:ascii="Times New Roman" w:hAnsi="Times New Roman"/>
          <w:sz w:val="24"/>
          <w:szCs w:val="24"/>
        </w:rPr>
      </w:pPr>
    </w:p>
    <w:p w14:paraId="66FA439B" w14:textId="77777777" w:rsidR="00A07640" w:rsidRDefault="00A07640" w:rsidP="00A07640">
      <w:pPr>
        <w:spacing w:after="0" w:line="240" w:lineRule="auto"/>
        <w:ind w:firstLine="851"/>
        <w:rPr>
          <w:rFonts w:ascii="Times New Roman" w:hAnsi="Times New Roman"/>
          <w:sz w:val="24"/>
          <w:szCs w:val="24"/>
        </w:rPr>
      </w:pPr>
    </w:p>
    <w:p w14:paraId="2A007604" w14:textId="5C1917AC" w:rsidR="00A07640" w:rsidRDefault="00A07640" w:rsidP="00A07640">
      <w:pPr>
        <w:spacing w:after="0" w:line="240" w:lineRule="auto"/>
        <w:ind w:firstLine="851"/>
        <w:rPr>
          <w:rFonts w:ascii="Times New Roman" w:hAnsi="Times New Roman"/>
          <w:sz w:val="24"/>
          <w:szCs w:val="24"/>
        </w:rPr>
      </w:pPr>
    </w:p>
    <w:p w14:paraId="49AE04EA" w14:textId="33FF6046" w:rsidR="00EF6F3B" w:rsidRDefault="00EF6F3B" w:rsidP="00A07640">
      <w:pPr>
        <w:spacing w:after="0" w:line="240" w:lineRule="auto"/>
        <w:ind w:firstLine="851"/>
        <w:rPr>
          <w:rFonts w:ascii="Times New Roman" w:hAnsi="Times New Roman"/>
          <w:sz w:val="24"/>
          <w:szCs w:val="24"/>
        </w:rPr>
      </w:pPr>
    </w:p>
    <w:p w14:paraId="671D1A0B" w14:textId="627D162C" w:rsidR="00EF6F3B" w:rsidRDefault="00EF6F3B" w:rsidP="00A07640">
      <w:pPr>
        <w:spacing w:after="0" w:line="240" w:lineRule="auto"/>
        <w:ind w:firstLine="851"/>
        <w:rPr>
          <w:rFonts w:ascii="Times New Roman" w:hAnsi="Times New Roman"/>
          <w:sz w:val="24"/>
          <w:szCs w:val="24"/>
        </w:rPr>
      </w:pPr>
    </w:p>
    <w:p w14:paraId="73C891B0" w14:textId="708A08DE" w:rsidR="00EF6F3B" w:rsidRDefault="00EF6F3B" w:rsidP="00A07640">
      <w:pPr>
        <w:spacing w:after="0" w:line="240" w:lineRule="auto"/>
        <w:ind w:firstLine="851"/>
        <w:rPr>
          <w:rFonts w:ascii="Times New Roman" w:hAnsi="Times New Roman"/>
          <w:sz w:val="24"/>
          <w:szCs w:val="24"/>
        </w:rPr>
      </w:pPr>
    </w:p>
    <w:p w14:paraId="7A831745" w14:textId="77777777" w:rsidR="00EF6F3B" w:rsidRDefault="00EF6F3B" w:rsidP="00A07640">
      <w:pPr>
        <w:spacing w:after="0" w:line="240" w:lineRule="auto"/>
        <w:ind w:firstLine="851"/>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lastRenderedPageBreak/>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2" w:name="_Hlk125376758"/>
      <w:r w:rsidRPr="00464A87">
        <w:rPr>
          <w:rFonts w:ascii="Times New Roman" w:eastAsia="Calibri" w:hAnsi="Times New Roman" w:cs="Times New Roman"/>
          <w:b/>
          <w:bCs/>
          <w:sz w:val="22"/>
          <w:szCs w:val="22"/>
        </w:rPr>
        <w:t>NACIONALINIO SAUGUMO REIKALAVIMŲ ATITIKTIES DEKLARACIJA</w:t>
      </w:r>
      <w:bookmarkEnd w:id="72"/>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 xml:space="preserve">Suprantu, kad, vadovaudamasi VPĮ 39 straipsnio 4 dalimi, perkančioji organizacija bet kuriuo pirkimo procedūros metu gali paprašyti kandidatų ar dalyvių pateikti visus ar dalį dokumentų, patvirtinančių atitiktį </w:t>
      </w:r>
      <w:r w:rsidRPr="00464A87">
        <w:rPr>
          <w:rFonts w:ascii="Times New Roman" w:hAnsi="Times New Roman" w:cs="Times New Roman"/>
          <w:sz w:val="22"/>
          <w:szCs w:val="22"/>
        </w:rPr>
        <w:lastRenderedPageBreak/>
        <w:t>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7"/>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lastRenderedPageBreak/>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4" w:name="_Ref39673589"/>
      <w:bookmarkStart w:id="75" w:name="_Toc126333949"/>
      <w:bookmarkStart w:id="7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4"/>
      <w:bookmarkEnd w:id="75"/>
    </w:p>
    <w:p w14:paraId="61CFD369" w14:textId="77777777" w:rsidR="00D833A8" w:rsidRPr="00D833A8" w:rsidRDefault="00D833A8" w:rsidP="00D833A8">
      <w:pPr>
        <w:rPr>
          <w:rFonts w:ascii="Times New Roman" w:hAnsi="Times New Roman" w:cs="Times New Roman"/>
          <w:sz w:val="24"/>
          <w:szCs w:val="24"/>
        </w:rPr>
      </w:pPr>
    </w:p>
    <w:bookmarkEnd w:id="7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6158127F" w:rsidR="00EF6F3B" w:rsidRDefault="00EF6F3B">
      <w:r>
        <w:br w:type="page"/>
      </w:r>
    </w:p>
    <w:p w14:paraId="14047754" w14:textId="1869E8C6" w:rsidR="00EF6F3B" w:rsidRPr="00D833A8" w:rsidRDefault="00EF6F3B" w:rsidP="00EF6F3B">
      <w:pPr>
        <w:pStyle w:val="Antrat2"/>
        <w:spacing w:before="0"/>
        <w:ind w:left="5103"/>
        <w:rPr>
          <w:rFonts w:ascii="Times New Roman" w:eastAsia="Calibri" w:hAnsi="Times New Roman" w:cs="Times New Roman"/>
          <w:color w:val="auto"/>
          <w:sz w:val="24"/>
          <w:szCs w:val="24"/>
        </w:rPr>
      </w:pPr>
      <w:r w:rsidRPr="00D833A8">
        <w:rPr>
          <w:rFonts w:ascii="Times New Roman" w:eastAsia="Calibri" w:hAnsi="Times New Roman" w:cs="Times New Roman"/>
          <w:color w:val="auto"/>
          <w:sz w:val="24"/>
          <w:szCs w:val="24"/>
        </w:rPr>
        <w:lastRenderedPageBreak/>
        <w:t>Pirkimo sąlygų 1</w:t>
      </w:r>
      <w:r w:rsidR="00C54531">
        <w:rPr>
          <w:rFonts w:ascii="Times New Roman" w:eastAsia="Calibri" w:hAnsi="Times New Roman" w:cs="Times New Roman"/>
          <w:color w:val="auto"/>
          <w:sz w:val="24"/>
          <w:szCs w:val="24"/>
        </w:rPr>
        <w:t>2</w:t>
      </w:r>
      <w:r w:rsidRPr="00D833A8">
        <w:rPr>
          <w:rFonts w:ascii="Times New Roman" w:eastAsia="Calibri" w:hAnsi="Times New Roman" w:cs="Times New Roman"/>
          <w:color w:val="auto"/>
          <w:sz w:val="24"/>
          <w:szCs w:val="24"/>
        </w:rPr>
        <w:t xml:space="preserve"> priedas „</w:t>
      </w:r>
      <w:r>
        <w:rPr>
          <w:rFonts w:ascii="Times New Roman" w:hAnsi="Times New Roman" w:cs="Times New Roman"/>
          <w:color w:val="auto"/>
          <w:sz w:val="24"/>
          <w:szCs w:val="24"/>
        </w:rPr>
        <w:t>Įvykdytos sutartys</w:t>
      </w:r>
      <w:r w:rsidRPr="00D833A8">
        <w:rPr>
          <w:rFonts w:ascii="Times New Roman" w:eastAsia="Calibri" w:hAnsi="Times New Roman" w:cs="Times New Roman"/>
          <w:color w:val="auto"/>
          <w:sz w:val="24"/>
          <w:szCs w:val="24"/>
        </w:rPr>
        <w:t>“</w:t>
      </w:r>
    </w:p>
    <w:p w14:paraId="0A629A80" w14:textId="77777777" w:rsidR="00EF6F3B" w:rsidRPr="00D833A8" w:rsidRDefault="00EF6F3B" w:rsidP="00EF6F3B">
      <w:pPr>
        <w:rPr>
          <w:rFonts w:ascii="Times New Roman" w:hAnsi="Times New Roman" w:cs="Times New Roman"/>
          <w:sz w:val="24"/>
          <w:szCs w:val="24"/>
        </w:rPr>
      </w:pPr>
    </w:p>
    <w:p w14:paraId="03CDD0D5" w14:textId="77777777" w:rsidR="00EF6F3B" w:rsidRPr="00FE2D50" w:rsidRDefault="00EF6F3B" w:rsidP="00EF6F3B">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ACA7558"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6486" w14:textId="77777777" w:rsidR="00524F89" w:rsidRDefault="00524F89" w:rsidP="00D05666">
      <w:r>
        <w:separator/>
      </w:r>
    </w:p>
  </w:endnote>
  <w:endnote w:type="continuationSeparator" w:id="0">
    <w:p w14:paraId="73D8907D" w14:textId="77777777" w:rsidR="00524F89" w:rsidRDefault="00524F89" w:rsidP="00D05666">
      <w:r>
        <w:continuationSeparator/>
      </w:r>
    </w:p>
  </w:endnote>
  <w:endnote w:type="continuationNotice" w:id="1">
    <w:p w14:paraId="70EEECFD" w14:textId="77777777" w:rsidR="00524F89" w:rsidRDefault="00524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A2EC9" w:rsidRDefault="00EA2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2EC9" w:rsidRDefault="00EA2EC9">
    <w:pPr>
      <w:pStyle w:val="Porat"/>
      <w:jc w:val="right"/>
    </w:pPr>
  </w:p>
  <w:p w14:paraId="2575BBBA" w14:textId="77777777" w:rsidR="00EA2EC9" w:rsidRDefault="00EA2E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A2EC9" w:rsidRDefault="00EA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62C6" w14:textId="77777777" w:rsidR="00524F89" w:rsidRDefault="00524F89" w:rsidP="00D05666">
      <w:r>
        <w:separator/>
      </w:r>
    </w:p>
  </w:footnote>
  <w:footnote w:type="continuationSeparator" w:id="0">
    <w:p w14:paraId="24ED82A2" w14:textId="77777777" w:rsidR="00524F89" w:rsidRDefault="00524F89" w:rsidP="00D05666">
      <w:r>
        <w:continuationSeparator/>
      </w:r>
    </w:p>
  </w:footnote>
  <w:footnote w:type="continuationNotice" w:id="1">
    <w:p w14:paraId="4C0D75AF" w14:textId="77777777" w:rsidR="00524F89" w:rsidRDefault="00524F89">
      <w:pPr>
        <w:spacing w:after="0" w:line="240" w:lineRule="auto"/>
      </w:pPr>
    </w:p>
  </w:footnote>
  <w:footnote w:id="2">
    <w:p w14:paraId="606736E2"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EA2EC9" w:rsidRDefault="00EA2EC9"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EA2EC9" w:rsidRDefault="00EA2EC9" w:rsidP="00BC0296">
      <w:pPr>
        <w:pStyle w:val="Puslapioinaostekstas"/>
        <w:rPr>
          <w:rFonts w:eastAsia="Calibri"/>
        </w:rPr>
      </w:pPr>
    </w:p>
  </w:footnote>
  <w:footnote w:id="3">
    <w:p w14:paraId="260E6F6E" w14:textId="77777777" w:rsidR="00EA2EC9" w:rsidRDefault="00EA2EC9"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649BF09E" w14:textId="77777777" w:rsidR="00EA2EC9" w:rsidRDefault="00EA2EC9"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4684FF"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A4C6B7"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2EC9" w:rsidRDefault="00EA2EC9">
    <w:pPr>
      <w:pStyle w:val="Antrats"/>
      <w:jc w:val="right"/>
    </w:pPr>
  </w:p>
  <w:p w14:paraId="68E3FFE8" w14:textId="3805043F" w:rsidR="00EA2EC9" w:rsidRDefault="00EA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2"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6"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B1218A"/>
    <w:multiLevelType w:val="multilevel"/>
    <w:tmpl w:val="E65CD33A"/>
    <w:styleLink w:val="WWNum35"/>
    <w:lvl w:ilvl="0">
      <w:start w:val="1"/>
      <w:numFmt w:val="decimal"/>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1919DE"/>
    <w:multiLevelType w:val="multilevel"/>
    <w:tmpl w:val="57EEDDEC"/>
    <w:lvl w:ilvl="0">
      <w:start w:val="9"/>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8"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2027235">
    <w:abstractNumId w:val="9"/>
  </w:num>
  <w:num w:numId="2" w16cid:durableId="1328287098">
    <w:abstractNumId w:val="2"/>
  </w:num>
  <w:num w:numId="3" w16cid:durableId="9181282">
    <w:abstractNumId w:val="25"/>
  </w:num>
  <w:num w:numId="4" w16cid:durableId="846289837">
    <w:abstractNumId w:val="29"/>
  </w:num>
  <w:num w:numId="5" w16cid:durableId="1455252711">
    <w:abstractNumId w:val="33"/>
  </w:num>
  <w:num w:numId="6" w16cid:durableId="995105190">
    <w:abstractNumId w:val="1"/>
  </w:num>
  <w:num w:numId="7" w16cid:durableId="613246569">
    <w:abstractNumId w:val="28"/>
  </w:num>
  <w:num w:numId="8" w16cid:durableId="381910403">
    <w:abstractNumId w:val="22"/>
  </w:num>
  <w:num w:numId="9" w16cid:durableId="1707025283">
    <w:abstractNumId w:val="31"/>
  </w:num>
  <w:num w:numId="10" w16cid:durableId="137771702">
    <w:abstractNumId w:val="20"/>
  </w:num>
  <w:num w:numId="11" w16cid:durableId="17861479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378603">
    <w:abstractNumId w:val="19"/>
  </w:num>
  <w:num w:numId="13" w16cid:durableId="87508406">
    <w:abstractNumId w:val="34"/>
  </w:num>
  <w:num w:numId="14" w16cid:durableId="957292928">
    <w:abstractNumId w:val="6"/>
  </w:num>
  <w:num w:numId="15" w16cid:durableId="447352658">
    <w:abstractNumId w:val="18"/>
  </w:num>
  <w:num w:numId="16" w16cid:durableId="1159688063">
    <w:abstractNumId w:val="10"/>
  </w:num>
  <w:num w:numId="17" w16cid:durableId="896938112">
    <w:abstractNumId w:val="7"/>
  </w:num>
  <w:num w:numId="18" w16cid:durableId="989553894">
    <w:abstractNumId w:val="23"/>
  </w:num>
  <w:num w:numId="19" w16cid:durableId="2072729175">
    <w:abstractNumId w:val="15"/>
  </w:num>
  <w:num w:numId="20" w16cid:durableId="170686537">
    <w:abstractNumId w:val="16"/>
  </w:num>
  <w:num w:numId="21" w16cid:durableId="60640029">
    <w:abstractNumId w:val="30"/>
  </w:num>
  <w:num w:numId="22" w16cid:durableId="1559707322">
    <w:abstractNumId w:val="3"/>
  </w:num>
  <w:num w:numId="23" w16cid:durableId="310065973">
    <w:abstractNumId w:val="11"/>
  </w:num>
  <w:num w:numId="24" w16cid:durableId="1286694409">
    <w:abstractNumId w:val="21"/>
  </w:num>
  <w:num w:numId="25" w16cid:durableId="2138453514">
    <w:abstractNumId w:val="32"/>
  </w:num>
  <w:num w:numId="26" w16cid:durableId="1333603989">
    <w:abstractNumId w:val="4"/>
  </w:num>
  <w:num w:numId="27" w16cid:durableId="1019702158">
    <w:abstractNumId w:val="13"/>
  </w:num>
  <w:num w:numId="28" w16cid:durableId="1851286477">
    <w:abstractNumId w:val="8"/>
  </w:num>
  <w:num w:numId="29" w16cid:durableId="152113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291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435751">
    <w:abstractNumId w:val="12"/>
  </w:num>
  <w:num w:numId="32" w16cid:durableId="1396900796">
    <w:abstractNumId w:val="0"/>
  </w:num>
  <w:num w:numId="33" w16cid:durableId="872618316">
    <w:abstractNumId w:val="24"/>
  </w:num>
  <w:num w:numId="34" w16cid:durableId="913471682">
    <w:abstractNumId w:val="17"/>
  </w:num>
  <w:num w:numId="35" w16cid:durableId="1951350119">
    <w:abstractNumId w:val="24"/>
    <w:lvlOverride w:ilvl="0">
      <w:startOverride w:val="1"/>
    </w:lvlOverride>
  </w:num>
  <w:num w:numId="36" w16cid:durableId="1560163682">
    <w:abstractNumId w:val="5"/>
  </w:num>
  <w:num w:numId="37" w16cid:durableId="144429887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EB"/>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2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2A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D4"/>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4F8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6"/>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622"/>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E8"/>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63"/>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4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5ED0"/>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4EF"/>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6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35"/>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 w:type="paragraph" w:customStyle="1" w:styleId="Standard">
    <w:name w:val="Standard"/>
    <w:rsid w:val="0082662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numbering" w:customStyle="1" w:styleId="WWNum36">
    <w:name w:val="WWNum36"/>
    <w:basedOn w:val="Sraonra"/>
    <w:rsid w:val="00826622"/>
    <w:pPr>
      <w:numPr>
        <w:numId w:val="33"/>
      </w:numPr>
    </w:pPr>
  </w:style>
  <w:style w:type="numbering" w:customStyle="1" w:styleId="WWNum35">
    <w:name w:val="WWNum35"/>
    <w:basedOn w:val="Sraonra"/>
    <w:rsid w:val="008266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DDB5A6B-BAB6-475D-BFFE-4F20E568DEA6}">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32050</Words>
  <Characters>18270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15</cp:revision>
  <dcterms:created xsi:type="dcterms:W3CDTF">2025-08-12T05:24:00Z</dcterms:created>
  <dcterms:modified xsi:type="dcterms:W3CDTF">2025-08-12T16:54:00Z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