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223E70" w:rsidP="00B50198">
      <w:pPr>
        <w:jc w:val="center"/>
        <w:rPr>
          <w:rFonts w:asciiTheme="majorHAnsi" w:hAnsiTheme="majorHAnsi"/>
          <w:b/>
          <w:bCs/>
          <w:sz w:val="22"/>
          <w:szCs w:val="22"/>
          <w:lang w:val="lt-LT"/>
        </w:rPr>
      </w:pPr>
      <w:r>
        <w:rPr>
          <w:rFonts w:asciiTheme="majorHAnsi" w:hAnsiTheme="majorHAnsi"/>
          <w:b/>
          <w:bCs/>
          <w:sz w:val="22"/>
          <w:szCs w:val="22"/>
          <w:lang w:val="lt-LT"/>
        </w:rPr>
        <w:t>DIDELIO EFEKTYVUMO SKYSČIŲ CHROMATOGRAFIJOS – MASIŲ SPEKTROMETRIJOS SISTEMA</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223E70" w:rsidRPr="00223E70">
        <w:rPr>
          <w:rFonts w:asciiTheme="majorHAnsi" w:hAnsiTheme="majorHAnsi"/>
          <w:b/>
          <w:bCs/>
          <w:color w:val="4F81BD" w:themeColor="accent1"/>
          <w:sz w:val="22"/>
          <w:szCs w:val="22"/>
          <w:lang w:val="lt-LT"/>
        </w:rPr>
        <w:t>didelio efektyvumo skysčių chromatografijos – masių spektrometrijos sistem</w:t>
      </w:r>
      <w:r w:rsidR="00223E70">
        <w:rPr>
          <w:rFonts w:asciiTheme="majorHAnsi" w:hAnsiTheme="majorHAnsi"/>
          <w:b/>
          <w:bCs/>
          <w:color w:val="4F81BD" w:themeColor="accent1"/>
          <w:sz w:val="22"/>
          <w:szCs w:val="22"/>
          <w:lang w:val="lt-LT"/>
        </w:rPr>
        <w:t>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223E70" w:rsidRPr="00223E70">
        <w:rPr>
          <w:rFonts w:asciiTheme="majorHAnsi" w:hAnsiTheme="majorHAnsi"/>
          <w:b/>
          <w:bCs/>
          <w:color w:val="4F81BD" w:themeColor="accent1"/>
          <w:sz w:val="22"/>
          <w:szCs w:val="22"/>
          <w:lang w:val="lt-LT"/>
        </w:rPr>
        <w:t>didelio efektyvumo skysčių chromatografijos – masių spektrometrijos sistema</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223E70">
        <w:rPr>
          <w:rFonts w:asciiTheme="majorHAnsi" w:hAnsiTheme="majorHAnsi"/>
          <w:b/>
          <w:sz w:val="22"/>
          <w:szCs w:val="22"/>
        </w:rPr>
        <w:t>580.800,00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9E3DFE" w:rsidRPr="003714C3" w:rsidRDefault="008E1CCD" w:rsidP="009E3DFE">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Numatomų įsigyti, techninėje specifikacijoje nurodytų techninių charakteristikų prekių CPO</w:t>
      </w:r>
      <w:r w:rsidR="00F96A07" w:rsidRPr="003714C3">
        <w:rPr>
          <w:rFonts w:asciiTheme="majorHAnsi" w:hAnsiTheme="majorHAnsi"/>
          <w:sz w:val="22"/>
          <w:szCs w:val="22"/>
        </w:rPr>
        <w:t>.LT</w:t>
      </w:r>
      <w:r w:rsidRPr="003714C3">
        <w:rPr>
          <w:rFonts w:asciiTheme="majorHAnsi" w:hAnsiTheme="majorHAnsi"/>
          <w:sz w:val="22"/>
          <w:szCs w:val="22"/>
        </w:rPr>
        <w:t xml:space="preserve"> kataloge nėra</w:t>
      </w:r>
      <w:r w:rsidR="00326CC8" w:rsidRPr="003714C3">
        <w:rPr>
          <w:rFonts w:asciiTheme="majorHAnsi" w:hAnsiTheme="majorHAnsi"/>
          <w:bCs/>
          <w:color w:val="000000"/>
          <w:sz w:val="22"/>
          <w:szCs w:val="22"/>
          <w:shd w:val="clear" w:color="auto" w:fill="FFFFFF"/>
        </w:rPr>
        <w:t>.</w:t>
      </w:r>
      <w:r w:rsidR="001F2CDC" w:rsidRPr="003714C3">
        <w:rPr>
          <w:rFonts w:asciiTheme="majorHAnsi" w:hAnsiTheme="majorHAnsi"/>
          <w:bCs/>
          <w:color w:val="000000"/>
          <w:sz w:val="22"/>
          <w:szCs w:val="22"/>
          <w:shd w:val="clear" w:color="auto" w:fill="FFFFFF"/>
        </w:rPr>
        <w:t xml:space="preserve"> </w:t>
      </w:r>
    </w:p>
    <w:p w:rsidR="00BC1120" w:rsidRPr="003714C3" w:rsidRDefault="00BC1120" w:rsidP="00401D35">
      <w:pPr>
        <w:pStyle w:val="Sraopastraipa"/>
        <w:numPr>
          <w:ilvl w:val="0"/>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BC1120" w:rsidRPr="003714C3" w:rsidRDefault="00BC1120" w:rsidP="00401D35">
      <w:pPr>
        <w:pStyle w:val="Sraopastraipa"/>
        <w:numPr>
          <w:ilvl w:val="1"/>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AD3B82" w:rsidRPr="00AD3B82">
        <w:rPr>
          <w:rFonts w:ascii="Cambria" w:hAnsi="Cambria" w:cstheme="minorHAnsi"/>
          <w:i/>
          <w:noProof/>
          <w:color w:val="4F81BD" w:themeColor="accent1"/>
          <w:szCs w:val="24"/>
        </w:rPr>
        <w:t>didelio efektyvumo skysčių chromatografijos-masių spektrometrijos sistemos</w:t>
      </w:r>
      <w:r w:rsidR="00AD3B82" w:rsidRPr="0079050A">
        <w:rPr>
          <w:rFonts w:ascii="Cambria" w:hAnsi="Cambria"/>
          <w:noProof/>
          <w:szCs w:val="24"/>
          <w:shd w:val="clear" w:color="auto" w:fill="FFFFFF"/>
        </w:rPr>
        <w:t xml:space="preserve"> </w:t>
      </w:r>
      <w:r w:rsidR="00AD3B82" w:rsidRPr="0079050A">
        <w:rPr>
          <w:rFonts w:ascii="Cambria" w:hAnsi="Cambria"/>
          <w:noProof/>
          <w:szCs w:val="24"/>
        </w:rPr>
        <w:t>pirkimo</w:t>
      </w:r>
      <w:r w:rsidR="00AD3B82" w:rsidRPr="0079050A">
        <w:rPr>
          <w:rFonts w:ascii="Cambria" w:hAnsi="Cambria"/>
          <w:b/>
          <w:i/>
          <w:noProof/>
          <w:szCs w:val="24"/>
        </w:rPr>
        <w:t xml:space="preserve"> </w:t>
      </w:r>
      <w:r w:rsidR="00AD3B82" w:rsidRPr="00AD3B82">
        <w:rPr>
          <w:rFonts w:ascii="Cambria" w:hAnsi="Cambria"/>
          <w:noProof/>
          <w:szCs w:val="24"/>
        </w:rPr>
        <w:t>(Nr</w:t>
      </w:r>
      <w:r w:rsidR="00AD3B82" w:rsidRPr="0079050A">
        <w:rPr>
          <w:rFonts w:ascii="Cambria" w:hAnsi="Cambria"/>
          <w:noProof/>
          <w:szCs w:val="24"/>
        </w:rPr>
        <w:t xml:space="preserve">. </w:t>
      </w:r>
      <w:r w:rsidR="00AD3B82" w:rsidRPr="00AD3B82">
        <w:rPr>
          <w:rFonts w:ascii="Cambria" w:hAnsi="Cambria" w:cs="Calibri"/>
          <w:noProof/>
          <w:color w:val="4F81BD" w:themeColor="accent1"/>
          <w:szCs w:val="24"/>
          <w:shd w:val="clear" w:color="auto" w:fill="FFFFFF"/>
        </w:rPr>
        <w:t>3732311</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4C7B28" w:rsidRDefault="00101F37" w:rsidP="00101F37">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Pr>
          <w:rFonts w:ascii="Cambria" w:hAnsi="Cambria"/>
        </w:rPr>
        <w:t>perkamas 1 nedaloma, techniškai suderinama sistema</w:t>
      </w:r>
      <w:r w:rsidRPr="00AB3399">
        <w:rPr>
          <w:rFonts w:ascii="Cambria" w:hAnsi="Cambria"/>
          <w:shd w:val="clear" w:color="auto" w:fill="FFFFFF"/>
        </w:rPr>
        <w:t xml:space="preserve">.  </w:t>
      </w:r>
    </w:p>
    <w:p w:rsidR="008E1CCD"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lastRenderedPageBreak/>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2A6B6D"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2A6B6D"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2A6B6D"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2A6B6D"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Tiekėjas yra padaręs rimtą profesinį pažeidimą, dėl kurio perkančioji organizacija abejoja tiekėjo </w:t>
            </w:r>
            <w:proofErr w:type="gramStart"/>
            <w:r w:rsidRPr="003714C3">
              <w:rPr>
                <w:rFonts w:asciiTheme="majorHAnsi" w:hAnsiTheme="majorHAnsi"/>
                <w:sz w:val="22"/>
                <w:szCs w:val="22"/>
              </w:rPr>
              <w:t>sąžiningumu,  kai</w:t>
            </w:r>
            <w:proofErr w:type="gramEnd"/>
            <w:r w:rsidRPr="003714C3">
              <w:rPr>
                <w:rFonts w:asciiTheme="majorHAnsi" w:hAnsiTheme="majorHAnsi"/>
                <w:sz w:val="22"/>
                <w:szCs w:val="22"/>
              </w:rPr>
              <w:t xml:space="preserve">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2A6B6D"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Default="00267B79" w:rsidP="00267B79">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267B79" w:rsidRPr="00261E71" w:rsidRDefault="00267B79" w:rsidP="00267B79">
      <w:pPr>
        <w:pStyle w:val="Body2"/>
        <w:ind w:firstLine="567"/>
        <w:rPr>
          <w:rFonts w:ascii="Cambria" w:hAnsi="Cambria"/>
          <w:b/>
          <w:u w:val="single"/>
          <w:lang w:val="de-DE"/>
        </w:rPr>
      </w:pPr>
      <w:r w:rsidRPr="00DC61FE">
        <w:rPr>
          <w:rFonts w:ascii="Cambria" w:hAnsi="Cambria"/>
          <w:b/>
          <w:highlight w:val="green"/>
          <w:u w:val="single"/>
        </w:rPr>
        <w:t>3.9.1. Tiekėjas, dalyvaujantis pirkime, turi atitikti kvalifikacinius reikalavimus</w:t>
      </w:r>
      <w:r w:rsidRPr="00DC61FE">
        <w:rPr>
          <w:rFonts w:ascii="Cambria" w:hAnsi="Cambria"/>
          <w:b/>
          <w:highlight w:val="green"/>
          <w:u w:val="single"/>
          <w:lang w:val="de-DE"/>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289"/>
        <w:gridCol w:w="5924"/>
      </w:tblGrid>
      <w:tr w:rsidR="00267B79" w:rsidRPr="00261E71" w:rsidTr="00431EDF">
        <w:trPr>
          <w:cantSplit/>
          <w:trHeight w:val="555"/>
        </w:trPr>
        <w:tc>
          <w:tcPr>
            <w:tcW w:w="539" w:type="dxa"/>
          </w:tcPr>
          <w:p w:rsidR="00267B79" w:rsidRPr="00261E71" w:rsidRDefault="00267B79" w:rsidP="00267B79">
            <w:pPr>
              <w:pStyle w:val="Sraopastraipa"/>
              <w:widowControl w:val="0"/>
              <w:ind w:left="0"/>
              <w:rPr>
                <w:rFonts w:ascii="Cambria" w:hAnsi="Cambria"/>
                <w:lang w:val="en-US"/>
              </w:rPr>
            </w:pPr>
            <w:r w:rsidRPr="00261E71">
              <w:rPr>
                <w:rFonts w:ascii="Cambria" w:hAnsi="Cambria"/>
                <w:lang w:val="en-US"/>
              </w:rPr>
              <w:t>1.</w:t>
            </w:r>
          </w:p>
        </w:tc>
        <w:tc>
          <w:tcPr>
            <w:tcW w:w="3289" w:type="dxa"/>
          </w:tcPr>
          <w:p w:rsidR="00267B79" w:rsidRPr="00267B79" w:rsidRDefault="00267B79" w:rsidP="00267B79">
            <w:pPr>
              <w:widowControl w:val="0"/>
              <w:tabs>
                <w:tab w:val="left" w:pos="1418"/>
                <w:tab w:val="left" w:pos="1701"/>
              </w:tabs>
              <w:spacing w:before="60" w:after="60"/>
              <w:contextualSpacing/>
              <w:jc w:val="both"/>
              <w:rPr>
                <w:rFonts w:asciiTheme="majorHAnsi" w:hAnsiTheme="majorHAnsi"/>
                <w:color w:val="000000"/>
                <w:sz w:val="22"/>
                <w:szCs w:val="22"/>
              </w:rPr>
            </w:pPr>
            <w:r w:rsidRPr="00267B79">
              <w:rPr>
                <w:rFonts w:asciiTheme="majorHAnsi" w:hAnsiTheme="majorHAnsi"/>
                <w:sz w:val="22"/>
                <w:szCs w:val="22"/>
              </w:rPr>
              <w:t>Tiekėjas privalo turėti serviso inžinierius (bent vieną) turinčius teisę atlikti remonto darbus siūlomai įrangai.</w:t>
            </w:r>
          </w:p>
        </w:tc>
        <w:tc>
          <w:tcPr>
            <w:tcW w:w="5924" w:type="dxa"/>
          </w:tcPr>
          <w:p w:rsidR="00267B79" w:rsidRPr="00267B79" w:rsidRDefault="00267B79" w:rsidP="00267B79">
            <w:pPr>
              <w:pStyle w:val="Point1"/>
              <w:widowControl w:val="0"/>
              <w:spacing w:before="60" w:after="60"/>
              <w:ind w:left="0" w:firstLine="0"/>
              <w:contextualSpacing/>
              <w:rPr>
                <w:rFonts w:asciiTheme="majorHAnsi" w:hAnsiTheme="majorHAnsi"/>
                <w:sz w:val="22"/>
                <w:szCs w:val="22"/>
                <w:lang w:val="lt-LT"/>
              </w:rPr>
            </w:pPr>
            <w:r w:rsidRPr="00267B79">
              <w:rPr>
                <w:rFonts w:asciiTheme="majorHAnsi" w:hAnsiTheme="majorHAnsi"/>
                <w:sz w:val="22"/>
                <w:szCs w:val="22"/>
                <w:lang w:val="lt-LT"/>
              </w:rPr>
              <w:t xml:space="preserve">Pateikiami sertifikatai ar kiti lygiaverčiai dokumentai, įrodantys teisę atlikti remonto darbus siūlomai įrangai. </w:t>
            </w:r>
            <w:r w:rsidRPr="00267B79">
              <w:rPr>
                <w:rFonts w:asciiTheme="majorHAnsi" w:hAnsiTheme="majorHAnsi"/>
                <w:sz w:val="22"/>
                <w:szCs w:val="22"/>
                <w:u w:val="single"/>
                <w:lang w:val="lt-LT"/>
              </w:rPr>
              <w:t>Pateikiama skaitmeninė dokumento kopija</w:t>
            </w:r>
            <w:r w:rsidRPr="00267B79">
              <w:rPr>
                <w:rFonts w:asciiTheme="majorHAnsi" w:hAnsiTheme="majorHAnsi"/>
                <w:sz w:val="22"/>
                <w:szCs w:val="22"/>
                <w:lang w:val="lt-LT"/>
              </w:rPr>
              <w:t>.</w:t>
            </w:r>
          </w:p>
        </w:tc>
      </w:tr>
    </w:tbl>
    <w:p w:rsidR="00267B79" w:rsidRPr="003714C3" w:rsidRDefault="00267B79" w:rsidP="008E1CCD">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BE2EA3" w:rsidRPr="003714C3" w:rsidRDefault="00BE2EA3" w:rsidP="00BE2EA3">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267B79">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267B79">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267B79">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92844"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b/>
          <w:bCs/>
          <w:i/>
          <w:iCs/>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lastRenderedPageBreak/>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Default="00692844" w:rsidP="00B50198">
      <w:pPr>
        <w:pStyle w:val="Heading"/>
        <w:jc w:val="center"/>
        <w:rPr>
          <w:rFonts w:asciiTheme="majorHAnsi" w:hAnsiTheme="majorHAnsi" w:cs="Times New Roman"/>
          <w:color w:val="auto"/>
        </w:rPr>
      </w:pPr>
    </w:p>
    <w:p w:rsidR="00431EDF" w:rsidRDefault="00431EDF" w:rsidP="00431EDF">
      <w:pPr>
        <w:pStyle w:val="Body2"/>
      </w:pPr>
    </w:p>
    <w:p w:rsidR="00431EDF" w:rsidRDefault="00431EDF" w:rsidP="00431EDF">
      <w:pPr>
        <w:pStyle w:val="Body2"/>
      </w:pP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BB05F6">
        <w:rPr>
          <w:rFonts w:asciiTheme="majorHAnsi" w:hAnsiTheme="majorHAnsi" w:cs="Times New Roman"/>
          <w:color w:val="auto"/>
        </w:rPr>
        <w:t xml:space="preserve">5.4. </w:t>
      </w:r>
      <w:r w:rsidRPr="00BB05F6">
        <w:rPr>
          <w:rFonts w:asciiTheme="majorHAnsi" w:hAnsiTheme="majorHAnsi" w:cs="Times New Roman"/>
          <w:iCs/>
          <w:color w:val="auto"/>
        </w:rPr>
        <w:t xml:space="preserve">Pasiūlymas turi būti pateiktas iki </w:t>
      </w:r>
      <w:r w:rsidR="00AA5E63" w:rsidRPr="00BB05F6">
        <w:rPr>
          <w:rFonts w:asciiTheme="majorHAnsi" w:hAnsiTheme="majorHAnsi" w:cs="Times New Roman"/>
          <w:b/>
          <w:iCs/>
          <w:color w:val="548DD4" w:themeColor="text2" w:themeTint="99"/>
        </w:rPr>
        <w:t>2025</w:t>
      </w:r>
      <w:r w:rsidRPr="00BB05F6">
        <w:rPr>
          <w:rFonts w:asciiTheme="majorHAnsi" w:hAnsiTheme="majorHAnsi" w:cs="Times New Roman"/>
          <w:b/>
          <w:iCs/>
          <w:color w:val="548DD4" w:themeColor="text2" w:themeTint="99"/>
        </w:rPr>
        <w:t xml:space="preserve"> m. </w:t>
      </w:r>
      <w:r w:rsidR="00692844" w:rsidRPr="00BB05F6">
        <w:rPr>
          <w:rFonts w:asciiTheme="majorHAnsi" w:hAnsiTheme="majorHAnsi" w:cs="Times New Roman"/>
          <w:b/>
          <w:iCs/>
          <w:color w:val="548DD4" w:themeColor="text2" w:themeTint="99"/>
        </w:rPr>
        <w:t>rugsėjo</w:t>
      </w:r>
      <w:r w:rsidR="00F21792" w:rsidRPr="00BB05F6">
        <w:rPr>
          <w:rFonts w:asciiTheme="majorHAnsi" w:hAnsiTheme="majorHAnsi" w:cs="Times New Roman"/>
          <w:b/>
          <w:iCs/>
          <w:color w:val="548DD4" w:themeColor="text2" w:themeTint="99"/>
        </w:rPr>
        <w:t xml:space="preserve"> </w:t>
      </w:r>
      <w:r w:rsidR="00BB05F6" w:rsidRPr="00BB05F6">
        <w:rPr>
          <w:rFonts w:asciiTheme="majorHAnsi" w:hAnsiTheme="majorHAnsi" w:cs="Times New Roman"/>
          <w:b/>
          <w:iCs/>
          <w:color w:val="548DD4" w:themeColor="text2" w:themeTint="99"/>
        </w:rPr>
        <w:t>24</w:t>
      </w:r>
      <w:r w:rsidR="00F21792" w:rsidRPr="00BB05F6">
        <w:rPr>
          <w:rFonts w:asciiTheme="majorHAnsi" w:hAnsiTheme="majorHAnsi" w:cs="Times New Roman"/>
          <w:b/>
          <w:iCs/>
          <w:color w:val="548DD4" w:themeColor="text2" w:themeTint="99"/>
        </w:rPr>
        <w:t xml:space="preserve"> </w:t>
      </w:r>
      <w:r w:rsidRPr="00BB05F6">
        <w:rPr>
          <w:rFonts w:asciiTheme="majorHAnsi" w:hAnsiTheme="majorHAnsi" w:cs="Times New Roman"/>
          <w:b/>
          <w:iCs/>
          <w:color w:val="548DD4" w:themeColor="text2" w:themeTint="99"/>
        </w:rPr>
        <w:t>d.</w:t>
      </w:r>
      <w:r w:rsidR="00E958C2" w:rsidRPr="00BB05F6">
        <w:rPr>
          <w:rFonts w:asciiTheme="majorHAnsi" w:hAnsiTheme="majorHAnsi" w:cs="Times New Roman"/>
          <w:b/>
          <w:iCs/>
          <w:color w:val="548DD4" w:themeColor="text2" w:themeTint="99"/>
        </w:rPr>
        <w:t xml:space="preserve"> 0</w:t>
      </w:r>
      <w:r w:rsidR="00F21792" w:rsidRPr="00BB05F6">
        <w:rPr>
          <w:rFonts w:asciiTheme="majorHAnsi" w:hAnsiTheme="majorHAnsi" w:cs="Times New Roman"/>
          <w:b/>
          <w:iCs/>
          <w:color w:val="548DD4" w:themeColor="text2" w:themeTint="99"/>
        </w:rPr>
        <w:t>8</w:t>
      </w:r>
      <w:r w:rsidR="005823A0" w:rsidRPr="00BB05F6">
        <w:rPr>
          <w:rFonts w:asciiTheme="majorHAnsi" w:hAnsiTheme="majorHAnsi" w:cs="Times New Roman"/>
          <w:b/>
          <w:iCs/>
          <w:color w:val="548DD4" w:themeColor="text2" w:themeTint="99"/>
        </w:rPr>
        <w:t xml:space="preserve"> val. 00</w:t>
      </w:r>
      <w:r w:rsidRPr="00BB05F6">
        <w:rPr>
          <w:rFonts w:asciiTheme="majorHAnsi" w:hAnsiTheme="majorHAnsi" w:cs="Times New Roman"/>
          <w:b/>
          <w:iCs/>
          <w:color w:val="548DD4" w:themeColor="text2" w:themeTint="99"/>
        </w:rPr>
        <w:t xml:space="preserve"> min.</w:t>
      </w:r>
      <w:r w:rsidRPr="00BB05F6">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BB05F6">
        <w:rPr>
          <w:rFonts w:asciiTheme="majorHAnsi" w:hAnsiTheme="majorHAnsi" w:cs="Times New Roman"/>
          <w:lang w:val="it-IT"/>
        </w:rPr>
        <w:t xml:space="preserve">trumpiau </w:t>
      </w:r>
      <w:r w:rsidRPr="00BB05F6">
        <w:rPr>
          <w:rFonts w:asciiTheme="majorHAnsi" w:hAnsiTheme="majorHAnsi" w:cs="Times New Roman"/>
          <w:lang w:val="lt-LT"/>
        </w:rPr>
        <w:t xml:space="preserve">kaip iki </w:t>
      </w:r>
      <w:r w:rsidR="00AF145C" w:rsidRPr="00BB05F6">
        <w:rPr>
          <w:rFonts w:asciiTheme="majorHAnsi" w:hAnsiTheme="majorHAnsi" w:cs="Times New Roman"/>
          <w:b/>
          <w:color w:val="548DD4" w:themeColor="text2" w:themeTint="99"/>
          <w:lang w:val="lt-LT"/>
        </w:rPr>
        <w:t>202</w:t>
      </w:r>
      <w:r w:rsidR="00692844" w:rsidRPr="00BB05F6">
        <w:rPr>
          <w:rFonts w:asciiTheme="majorHAnsi" w:hAnsiTheme="majorHAnsi" w:cs="Times New Roman"/>
          <w:b/>
          <w:color w:val="548DD4" w:themeColor="text2" w:themeTint="99"/>
          <w:lang w:val="lt-LT"/>
        </w:rPr>
        <w:t>6-01-</w:t>
      </w:r>
      <w:r w:rsidR="00BB05F6" w:rsidRPr="00BB05F6">
        <w:rPr>
          <w:rFonts w:asciiTheme="majorHAnsi" w:hAnsiTheme="majorHAnsi" w:cs="Times New Roman"/>
          <w:b/>
          <w:color w:val="548DD4" w:themeColor="text2" w:themeTint="99"/>
          <w:lang w:val="lt-LT"/>
        </w:rPr>
        <w:t>24</w:t>
      </w:r>
      <w:r w:rsidR="00805DD4" w:rsidRPr="00BB05F6">
        <w:rPr>
          <w:rFonts w:asciiTheme="majorHAnsi" w:hAnsiTheme="majorHAnsi" w:cs="Times New Roman"/>
          <w:b/>
          <w:color w:val="548DD4" w:themeColor="text2" w:themeTint="99"/>
          <w:lang w:val="lt-LT"/>
        </w:rPr>
        <w:t>.</w:t>
      </w:r>
      <w:r w:rsidRPr="00BB05F6">
        <w:rPr>
          <w:rFonts w:asciiTheme="majorHAnsi" w:hAnsiTheme="majorHAnsi" w:cs="Times New Roman"/>
          <w:lang w:val="pt-PT"/>
        </w:rPr>
        <w:t xml:space="preserve"> Jeigu pasi</w:t>
      </w:r>
      <w:r w:rsidRPr="00BB05F6">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 xml:space="preserve">turi būti </w:t>
      </w:r>
      <w:r w:rsidRPr="003714C3">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Pr>
          <w:rFonts w:asciiTheme="majorHAnsi" w:hAnsiTheme="majorHAnsi"/>
          <w:b/>
          <w:sz w:val="22"/>
          <w:szCs w:val="22"/>
          <w:lang w:val="lt-LT"/>
        </w:rPr>
        <w:t>9</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Pr>
          <w:rFonts w:asciiTheme="majorHAnsi" w:hAnsiTheme="majorHAnsi"/>
          <w:b/>
          <w:sz w:val="22"/>
          <w:szCs w:val="22"/>
        </w:rPr>
        <w:t xml:space="preserve">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A227A2" w:rsidRDefault="00D5367E" w:rsidP="00A227A2">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970211" w:rsidRPr="00A227A2" w:rsidRDefault="00A227A2" w:rsidP="00A227A2">
      <w:pPr>
        <w:shd w:val="clear" w:color="auto" w:fill="D9D9D9" w:themeFill="background1" w:themeFillShade="D9"/>
        <w:tabs>
          <w:tab w:val="left" w:pos="851"/>
          <w:tab w:val="left" w:pos="1276"/>
        </w:tabs>
        <w:ind w:firstLine="1276"/>
        <w:jc w:val="both"/>
        <w:rPr>
          <w:rFonts w:asciiTheme="majorHAnsi" w:hAnsiTheme="majorHAnsi"/>
          <w:sz w:val="22"/>
          <w:szCs w:val="22"/>
        </w:rPr>
      </w:pPr>
      <w:r w:rsidRPr="00A227A2">
        <w:rPr>
          <w:rFonts w:asciiTheme="majorHAnsi" w:hAnsiTheme="majorHAnsi"/>
          <w:b/>
          <w:sz w:val="22"/>
          <w:szCs w:val="22"/>
          <w:highlight w:val="lightGray"/>
          <w:shd w:val="clear" w:color="auto" w:fill="D9D9D9" w:themeFill="background1" w:themeFillShade="D9"/>
        </w:rPr>
        <w:t>5.11.10. Tiekėjas turi turėti atstovavimo teisę gamintojui (jei pats nėra gamintojas) arba turi turėti oficialų susitarimą su ūkio subjektu, turinčiu atstovavimo teisę gamintojui, dėl prekybos siūloma įranga. Tiekėjas kartu su pasiūlymu turi pateikti gamintojo išduotą dokumentą, patvirtinantį tiekėjo atstovavimo teisę gamintojui arba oficialų susitarimą su ūkio subjektu, turinčiu atstovavimo teisę gamintojui, dėl prekybos siūloma įranga. Jei pateikiamas susitarimas su ūkio subjektu, turinčiu atstovavimo teisę, taip pat turi būti pateiktas ir ūkio subjektui išduotas gamintojo dokumentas, patvirtinantis atstovavimo teisę.</w:t>
      </w:r>
      <w:r w:rsidRPr="00A227A2">
        <w:rPr>
          <w:rFonts w:asciiTheme="majorHAnsi" w:hAnsiTheme="majorHAnsi"/>
          <w:b/>
          <w:iCs/>
          <w:sz w:val="22"/>
          <w:szCs w:val="22"/>
          <w:highlight w:val="lightGray"/>
          <w:shd w:val="clear" w:color="auto" w:fill="D9D9D9" w:themeFill="background1" w:themeFillShade="D9"/>
          <w:lang w:val="lt-LT"/>
        </w:rPr>
        <w:t xml:space="preserve"> </w:t>
      </w:r>
      <w:r w:rsidRPr="00A227A2">
        <w:rPr>
          <w:rFonts w:asciiTheme="majorHAnsi" w:hAnsiTheme="majorHAnsi"/>
          <w:b/>
          <w:iCs/>
          <w:sz w:val="22"/>
          <w:szCs w:val="22"/>
          <w:highlight w:val="lightGray"/>
          <w:u w:val="single"/>
          <w:shd w:val="clear" w:color="auto" w:fill="D9D9D9" w:themeFill="background1" w:themeFillShade="D9"/>
          <w:lang w:val="lt-LT"/>
        </w:rPr>
        <w:t>Pateikiamos skaitmeninės dokumentų kopijos</w:t>
      </w:r>
      <w:r w:rsidRPr="00A227A2">
        <w:rPr>
          <w:rFonts w:asciiTheme="majorHAnsi" w:hAnsiTheme="majorHAnsi"/>
          <w:b/>
          <w:iCs/>
          <w:sz w:val="22"/>
          <w:szCs w:val="22"/>
          <w:highlight w:val="lightGray"/>
          <w:u w:val="single"/>
          <w:lang w:val="lt-LT"/>
        </w:rPr>
        <w:t>.</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A227A2">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A227A2">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lastRenderedPageBreak/>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CD5FC2" w:rsidRPr="003714C3" w:rsidRDefault="00B50198" w:rsidP="005A53A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D1B92">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 xml:space="preserve">8.1. </w:t>
      </w:r>
      <w:r w:rsidR="001D1B92">
        <w:rPr>
          <w:rFonts w:asciiTheme="majorHAnsi" w:hAnsiTheme="majorHAnsi" w:cs="Times New Roman"/>
          <w:color w:val="auto"/>
          <w:lang w:val="lt-LT"/>
        </w:rPr>
        <w:t>Netaikoma</w:t>
      </w:r>
      <w:r w:rsidRPr="003714C3">
        <w:rPr>
          <w:rFonts w:asciiTheme="majorHAnsi" w:hAnsiTheme="majorHAnsi" w:cs="Times New Roman"/>
          <w:color w:val="auto"/>
        </w:rPr>
        <w:t>.</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lastRenderedPageBreak/>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BB05F6">
        <w:rPr>
          <w:rFonts w:asciiTheme="majorHAnsi" w:hAnsiTheme="majorHAnsi"/>
          <w:b/>
          <w:iCs/>
          <w:color w:val="548DD4" w:themeColor="text2" w:themeTint="99"/>
          <w:sz w:val="22"/>
          <w:szCs w:val="22"/>
        </w:rPr>
        <w:t>2025</w:t>
      </w:r>
      <w:r w:rsidRPr="00BB05F6">
        <w:rPr>
          <w:rFonts w:asciiTheme="majorHAnsi" w:hAnsiTheme="majorHAnsi"/>
          <w:b/>
          <w:iCs/>
          <w:color w:val="548DD4" w:themeColor="text2" w:themeTint="99"/>
          <w:sz w:val="22"/>
          <w:szCs w:val="22"/>
        </w:rPr>
        <w:t xml:space="preserve"> m.</w:t>
      </w:r>
      <w:r w:rsidR="00BE67E8" w:rsidRPr="00BB05F6">
        <w:rPr>
          <w:rFonts w:asciiTheme="majorHAnsi" w:hAnsiTheme="majorHAnsi"/>
          <w:b/>
          <w:iCs/>
          <w:color w:val="548DD4" w:themeColor="text2" w:themeTint="99"/>
          <w:sz w:val="22"/>
          <w:szCs w:val="22"/>
        </w:rPr>
        <w:t xml:space="preserve"> </w:t>
      </w:r>
      <w:r w:rsidR="001C79F8" w:rsidRPr="00BB05F6">
        <w:rPr>
          <w:rFonts w:asciiTheme="majorHAnsi" w:hAnsiTheme="majorHAnsi"/>
          <w:b/>
          <w:iCs/>
          <w:color w:val="548DD4" w:themeColor="text2" w:themeTint="99"/>
          <w:sz w:val="22"/>
          <w:szCs w:val="22"/>
        </w:rPr>
        <w:t xml:space="preserve">rugsėjo </w:t>
      </w:r>
      <w:r w:rsidR="00BB05F6" w:rsidRPr="00BB05F6">
        <w:rPr>
          <w:rFonts w:asciiTheme="majorHAnsi" w:hAnsiTheme="majorHAnsi"/>
          <w:b/>
          <w:iCs/>
          <w:color w:val="548DD4" w:themeColor="text2" w:themeTint="99"/>
          <w:sz w:val="22"/>
          <w:szCs w:val="22"/>
        </w:rPr>
        <w:t>24</w:t>
      </w:r>
      <w:r w:rsidR="002B1E54" w:rsidRPr="00BB05F6">
        <w:rPr>
          <w:rFonts w:asciiTheme="majorHAnsi" w:hAnsiTheme="majorHAnsi"/>
          <w:b/>
          <w:iCs/>
          <w:color w:val="548DD4" w:themeColor="text2" w:themeTint="99"/>
          <w:sz w:val="22"/>
          <w:szCs w:val="22"/>
        </w:rPr>
        <w:t xml:space="preserve"> </w:t>
      </w:r>
      <w:r w:rsidR="00E958C2" w:rsidRPr="00BB05F6">
        <w:rPr>
          <w:rFonts w:asciiTheme="majorHAnsi" w:hAnsiTheme="majorHAnsi"/>
          <w:b/>
          <w:iCs/>
          <w:color w:val="548DD4" w:themeColor="text2" w:themeTint="99"/>
          <w:sz w:val="22"/>
          <w:szCs w:val="22"/>
        </w:rPr>
        <w:t>d. 0</w:t>
      </w:r>
      <w:r w:rsidR="00F21792" w:rsidRPr="00BB05F6">
        <w:rPr>
          <w:rFonts w:asciiTheme="majorHAnsi" w:hAnsiTheme="majorHAnsi"/>
          <w:b/>
          <w:iCs/>
          <w:color w:val="548DD4" w:themeColor="text2" w:themeTint="99"/>
          <w:sz w:val="22"/>
          <w:szCs w:val="22"/>
        </w:rPr>
        <w:t>8</w:t>
      </w:r>
      <w:r w:rsidR="005823A0" w:rsidRPr="00BB05F6">
        <w:rPr>
          <w:rFonts w:asciiTheme="majorHAnsi" w:hAnsiTheme="majorHAnsi"/>
          <w:b/>
          <w:iCs/>
          <w:color w:val="548DD4" w:themeColor="text2" w:themeTint="99"/>
          <w:sz w:val="22"/>
          <w:szCs w:val="22"/>
        </w:rPr>
        <w:t xml:space="preserve"> val. 30</w:t>
      </w:r>
      <w:r w:rsidRPr="00BB05F6">
        <w:rPr>
          <w:rFonts w:asciiTheme="majorHAnsi" w:hAnsiTheme="majorHAnsi"/>
          <w:b/>
          <w:iCs/>
          <w:color w:val="548DD4" w:themeColor="text2" w:themeTint="99"/>
          <w:sz w:val="22"/>
          <w:szCs w:val="22"/>
        </w:rPr>
        <w:t xml:space="preserve"> min</w:t>
      </w:r>
      <w:r w:rsidRPr="00BB05F6">
        <w:rPr>
          <w:rFonts w:asciiTheme="majorHAnsi" w:hAnsiTheme="majorHAnsi"/>
          <w:b/>
          <w:iCs/>
          <w:sz w:val="22"/>
          <w:szCs w:val="22"/>
        </w:rPr>
        <w:t>.</w:t>
      </w:r>
      <w:r w:rsidRPr="00BB05F6">
        <w:rPr>
          <w:rFonts w:asciiTheme="majorHAnsi" w:hAnsiTheme="majorHAnsi"/>
          <w:iCs/>
          <w:sz w:val="22"/>
          <w:szCs w:val="22"/>
        </w:rPr>
        <w:t xml:space="preserve"> </w:t>
      </w:r>
      <w:r w:rsidRPr="00BB05F6">
        <w:rPr>
          <w:rFonts w:asciiTheme="majorHAnsi" w:hAnsiTheme="majorHAnsi"/>
          <w:iCs/>
          <w:sz w:val="22"/>
          <w:szCs w:val="22"/>
          <w:u w:val="single"/>
        </w:rPr>
        <w:t xml:space="preserve">Jei pasiūlymas teikiamas šifruotas, slaptažodis turi būti pateiktas </w:t>
      </w:r>
      <w:r w:rsidR="009B3BF7" w:rsidRPr="00BB05F6">
        <w:rPr>
          <w:rFonts w:asciiTheme="majorHAnsi" w:hAnsiTheme="majorHAnsi"/>
          <w:b/>
          <w:iCs/>
          <w:color w:val="548DD4" w:themeColor="text2" w:themeTint="99"/>
          <w:sz w:val="22"/>
          <w:szCs w:val="22"/>
          <w:u w:val="single"/>
        </w:rPr>
        <w:t>2025</w:t>
      </w:r>
      <w:r w:rsidR="005A189F" w:rsidRPr="00BB05F6">
        <w:rPr>
          <w:rFonts w:asciiTheme="majorHAnsi" w:hAnsiTheme="majorHAnsi"/>
          <w:b/>
          <w:iCs/>
          <w:color w:val="548DD4" w:themeColor="text2" w:themeTint="99"/>
          <w:sz w:val="22"/>
          <w:szCs w:val="22"/>
          <w:u w:val="single"/>
        </w:rPr>
        <w:t xml:space="preserve"> m. </w:t>
      </w:r>
      <w:r w:rsidR="001C79F8" w:rsidRPr="00BB05F6">
        <w:rPr>
          <w:rFonts w:asciiTheme="majorHAnsi" w:hAnsiTheme="majorHAnsi"/>
          <w:b/>
          <w:iCs/>
          <w:color w:val="548DD4" w:themeColor="text2" w:themeTint="99"/>
          <w:sz w:val="22"/>
          <w:szCs w:val="22"/>
          <w:u w:val="single"/>
        </w:rPr>
        <w:t>rugsėjo</w:t>
      </w:r>
      <w:r w:rsidR="00E958C2" w:rsidRPr="00BB05F6">
        <w:rPr>
          <w:rFonts w:asciiTheme="majorHAnsi" w:hAnsiTheme="majorHAnsi"/>
          <w:b/>
          <w:iCs/>
          <w:color w:val="548DD4" w:themeColor="text2" w:themeTint="99"/>
          <w:sz w:val="22"/>
          <w:szCs w:val="22"/>
          <w:u w:val="single"/>
        </w:rPr>
        <w:t xml:space="preserve"> </w:t>
      </w:r>
      <w:r w:rsidR="00BB05F6" w:rsidRPr="00BB05F6">
        <w:rPr>
          <w:rFonts w:asciiTheme="majorHAnsi" w:hAnsiTheme="majorHAnsi"/>
          <w:b/>
          <w:iCs/>
          <w:color w:val="548DD4" w:themeColor="text2" w:themeTint="99"/>
          <w:sz w:val="22"/>
          <w:szCs w:val="22"/>
          <w:u w:val="single"/>
        </w:rPr>
        <w:t>24</w:t>
      </w:r>
      <w:r w:rsidR="00F21792" w:rsidRPr="00BB05F6">
        <w:rPr>
          <w:rFonts w:asciiTheme="majorHAnsi" w:hAnsiTheme="majorHAnsi"/>
          <w:b/>
          <w:iCs/>
          <w:color w:val="548DD4" w:themeColor="text2" w:themeTint="99"/>
          <w:sz w:val="22"/>
          <w:szCs w:val="22"/>
          <w:u w:val="single"/>
        </w:rPr>
        <w:t xml:space="preserve"> </w:t>
      </w:r>
      <w:r w:rsidRPr="00BB05F6">
        <w:rPr>
          <w:rFonts w:asciiTheme="majorHAnsi" w:hAnsiTheme="majorHAnsi"/>
          <w:b/>
          <w:iCs/>
          <w:color w:val="548DD4" w:themeColor="text2" w:themeTint="99"/>
          <w:sz w:val="22"/>
          <w:szCs w:val="22"/>
          <w:u w:val="single"/>
        </w:rPr>
        <w:t>d.</w:t>
      </w:r>
      <w:r w:rsidRPr="00BB05F6">
        <w:rPr>
          <w:rFonts w:asciiTheme="majorHAnsi" w:hAnsiTheme="majorHAnsi"/>
          <w:iCs/>
          <w:color w:val="548DD4" w:themeColor="text2" w:themeTint="99"/>
          <w:sz w:val="22"/>
          <w:szCs w:val="22"/>
          <w:u w:val="single"/>
        </w:rPr>
        <w:t xml:space="preserve"> intervale </w:t>
      </w:r>
      <w:r w:rsidR="00E958C2" w:rsidRPr="00BB05F6">
        <w:rPr>
          <w:rFonts w:asciiTheme="majorHAnsi" w:hAnsiTheme="majorHAnsi"/>
          <w:b/>
          <w:iCs/>
          <w:color w:val="548DD4" w:themeColor="text2" w:themeTint="99"/>
          <w:sz w:val="22"/>
          <w:szCs w:val="22"/>
          <w:u w:val="single"/>
        </w:rPr>
        <w:t>0</w:t>
      </w:r>
      <w:r w:rsidR="00F21792" w:rsidRPr="00BB05F6">
        <w:rPr>
          <w:rFonts w:asciiTheme="majorHAnsi" w:hAnsiTheme="majorHAnsi"/>
          <w:b/>
          <w:iCs/>
          <w:color w:val="548DD4" w:themeColor="text2" w:themeTint="99"/>
          <w:sz w:val="22"/>
          <w:szCs w:val="22"/>
          <w:u w:val="single"/>
        </w:rPr>
        <w:t>8</w:t>
      </w:r>
      <w:r w:rsidR="005823A0" w:rsidRPr="00BB05F6">
        <w:rPr>
          <w:rFonts w:asciiTheme="majorHAnsi" w:hAnsiTheme="majorHAnsi"/>
          <w:b/>
          <w:iCs/>
          <w:color w:val="548DD4" w:themeColor="text2" w:themeTint="99"/>
          <w:sz w:val="22"/>
          <w:szCs w:val="22"/>
          <w:u w:val="single"/>
        </w:rPr>
        <w:t>.00</w:t>
      </w:r>
      <w:r w:rsidR="00652BA3" w:rsidRPr="00BB05F6">
        <w:rPr>
          <w:rFonts w:asciiTheme="majorHAnsi" w:hAnsiTheme="majorHAnsi"/>
          <w:b/>
          <w:iCs/>
          <w:color w:val="548DD4" w:themeColor="text2" w:themeTint="99"/>
          <w:sz w:val="22"/>
          <w:szCs w:val="22"/>
          <w:u w:val="single"/>
        </w:rPr>
        <w:t xml:space="preserve"> –</w:t>
      </w:r>
      <w:r w:rsidR="009B15AA" w:rsidRPr="00BB05F6">
        <w:rPr>
          <w:rFonts w:asciiTheme="majorHAnsi" w:hAnsiTheme="majorHAnsi"/>
          <w:b/>
          <w:iCs/>
          <w:color w:val="548DD4" w:themeColor="text2" w:themeTint="99"/>
          <w:sz w:val="22"/>
          <w:szCs w:val="22"/>
          <w:u w:val="single"/>
        </w:rPr>
        <w:t xml:space="preserve"> </w:t>
      </w:r>
      <w:r w:rsidR="00E958C2" w:rsidRPr="00BB05F6">
        <w:rPr>
          <w:rFonts w:asciiTheme="majorHAnsi" w:hAnsiTheme="majorHAnsi"/>
          <w:b/>
          <w:iCs/>
          <w:color w:val="548DD4" w:themeColor="text2" w:themeTint="99"/>
          <w:sz w:val="22"/>
          <w:szCs w:val="22"/>
          <w:u w:val="single"/>
        </w:rPr>
        <w:t>0</w:t>
      </w:r>
      <w:r w:rsidR="00F21792" w:rsidRPr="00BB05F6">
        <w:rPr>
          <w:rFonts w:asciiTheme="majorHAnsi" w:hAnsiTheme="majorHAnsi"/>
          <w:b/>
          <w:iCs/>
          <w:color w:val="548DD4" w:themeColor="text2" w:themeTint="99"/>
          <w:sz w:val="22"/>
          <w:szCs w:val="22"/>
          <w:u w:val="single"/>
        </w:rPr>
        <w:t>8</w:t>
      </w:r>
      <w:r w:rsidR="005823A0" w:rsidRPr="00BB05F6">
        <w:rPr>
          <w:rFonts w:asciiTheme="majorHAnsi" w:hAnsiTheme="majorHAnsi"/>
          <w:b/>
          <w:iCs/>
          <w:color w:val="548DD4" w:themeColor="text2" w:themeTint="99"/>
          <w:sz w:val="22"/>
          <w:szCs w:val="22"/>
          <w:u w:val="single"/>
        </w:rPr>
        <w:t>.30</w:t>
      </w:r>
      <w:r w:rsidRPr="00BB05F6">
        <w:rPr>
          <w:rFonts w:asciiTheme="majorHAnsi" w:hAnsiTheme="majorHAnsi"/>
          <w:b/>
          <w:iCs/>
          <w:color w:val="548DD4" w:themeColor="text2" w:themeTint="99"/>
          <w:sz w:val="22"/>
          <w:szCs w:val="22"/>
          <w:u w:val="single"/>
        </w:rPr>
        <w:t xml:space="preserve"> val.</w:t>
      </w:r>
      <w:r w:rsidRPr="00BB05F6">
        <w:rPr>
          <w:rFonts w:asciiTheme="majorHAnsi" w:hAnsiTheme="majorHAnsi"/>
          <w:b/>
          <w:iCs/>
          <w:sz w:val="22"/>
          <w:szCs w:val="22"/>
          <w:u w:val="single"/>
        </w:rPr>
        <w:t xml:space="preserve"> </w:t>
      </w:r>
      <w:r w:rsidRPr="00BB05F6">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8E6D22" w:rsidRPr="00DC593B" w:rsidRDefault="008E6D22" w:rsidP="008E6D22">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rPr>
        <w:lastRenderedPageBreak/>
        <w:t xml:space="preserve">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1D1B92" w:rsidRPr="003714C3" w:rsidRDefault="001D1B92"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B457CE">
      <w:pPr>
        <w:pStyle w:val="Body2"/>
        <w:rPr>
          <w:rFonts w:asciiTheme="majorHAnsi" w:hAnsiTheme="majorHAnsi"/>
        </w:rPr>
      </w:pPr>
    </w:p>
    <w:p w:rsidR="007C3D2F" w:rsidRPr="003714C3" w:rsidRDefault="00B457CE" w:rsidP="007C3D2F">
      <w:pPr>
        <w:pStyle w:val="Body2"/>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8E6D22">
        <w:rPr>
          <w:rFonts w:asciiTheme="majorHAnsi" w:hAnsiTheme="majorHAnsi"/>
          <w:b/>
          <w:highlight w:val="green"/>
        </w:rPr>
        <w:t>580.800,00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5A53AF" w:rsidRDefault="005A53AF"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5522B7" w:rsidRPr="005522B7" w:rsidRDefault="005522B7" w:rsidP="005522B7">
      <w:pPr>
        <w:ind w:left="-142" w:firstLine="709"/>
        <w:contextualSpacing/>
        <w:jc w:val="both"/>
        <w:rPr>
          <w:rFonts w:asciiTheme="majorHAnsi" w:eastAsia="Times New Roman" w:hAnsiTheme="majorHAnsi"/>
          <w:color w:val="000000" w:themeColor="text1"/>
          <w:sz w:val="22"/>
          <w:szCs w:val="22"/>
        </w:rPr>
      </w:pPr>
      <w:r w:rsidRPr="005522B7">
        <w:rPr>
          <w:rFonts w:asciiTheme="majorHAnsi" w:hAnsiTheme="majorHAnsi"/>
          <w:color w:val="000000" w:themeColor="text1"/>
          <w:sz w:val="22"/>
          <w:szCs w:val="22"/>
        </w:rPr>
        <w:t>Numatytų vertinimo kriterijų lyginamieji svoriai:</w:t>
      </w:r>
    </w:p>
    <w:p w:rsidR="005522B7" w:rsidRPr="005522B7" w:rsidRDefault="005522B7" w:rsidP="005522B7">
      <w:pPr>
        <w:shd w:val="clear" w:color="auto" w:fill="FFFFFF"/>
        <w:ind w:left="-142" w:firstLine="709"/>
        <w:jc w:val="both"/>
        <w:rPr>
          <w:rFonts w:asciiTheme="majorHAnsi" w:hAnsiTheme="majorHAnsi"/>
          <w:color w:val="000000" w:themeColor="text1"/>
          <w:sz w:val="22"/>
          <w:szCs w:val="22"/>
          <w:lang w:eastAsia="lt-LT"/>
        </w:rPr>
      </w:pPr>
      <w:r w:rsidRPr="005522B7">
        <w:rPr>
          <w:rFonts w:asciiTheme="majorHAnsi" w:hAnsiTheme="majorHAnsi"/>
          <w:color w:val="000000" w:themeColor="text1"/>
          <w:sz w:val="22"/>
          <w:szCs w:val="22"/>
          <w:lang w:eastAsia="lt-LT"/>
        </w:rPr>
        <w:t>1) kaina (K) – 60;</w:t>
      </w:r>
    </w:p>
    <w:p w:rsidR="005522B7" w:rsidRPr="005522B7" w:rsidRDefault="005522B7" w:rsidP="005522B7">
      <w:pPr>
        <w:shd w:val="clear" w:color="auto" w:fill="FFFFFF"/>
        <w:ind w:left="-142" w:firstLine="709"/>
        <w:jc w:val="both"/>
        <w:rPr>
          <w:rFonts w:asciiTheme="majorHAnsi" w:hAnsiTheme="majorHAnsi"/>
          <w:color w:val="000000" w:themeColor="text1"/>
          <w:sz w:val="22"/>
          <w:szCs w:val="22"/>
          <w:lang w:eastAsia="lt-LT"/>
        </w:rPr>
      </w:pPr>
      <w:r w:rsidRPr="005522B7">
        <w:rPr>
          <w:rFonts w:asciiTheme="majorHAnsi" w:hAnsiTheme="majorHAnsi"/>
          <w:color w:val="000000" w:themeColor="text1"/>
          <w:sz w:val="22"/>
          <w:szCs w:val="22"/>
          <w:lang w:eastAsia="lt-LT"/>
        </w:rPr>
        <w:t>2) techniniai pranašumai (T) –40;</w:t>
      </w:r>
    </w:p>
    <w:p w:rsidR="005522B7" w:rsidRPr="005522B7" w:rsidRDefault="005522B7" w:rsidP="005522B7">
      <w:pPr>
        <w:rPr>
          <w:rFonts w:asciiTheme="majorHAnsi" w:hAnsiTheme="majorHAnsi"/>
          <w:sz w:val="22"/>
          <w:szCs w:val="22"/>
        </w:rPr>
      </w:pPr>
    </w:p>
    <w:p w:rsidR="005522B7" w:rsidRPr="005522B7" w:rsidRDefault="005522B7" w:rsidP="005522B7">
      <w:pPr>
        <w:rPr>
          <w:rFonts w:asciiTheme="majorHAnsi" w:hAnsiTheme="majorHAnsi"/>
          <w:color w:val="000000" w:themeColor="text1"/>
          <w:sz w:val="22"/>
          <w:szCs w:val="22"/>
          <w:lang w:eastAsia="lt-LT"/>
        </w:rPr>
      </w:pPr>
      <w:r w:rsidRPr="005522B7">
        <w:rPr>
          <w:rFonts w:asciiTheme="majorHAnsi" w:hAnsiTheme="majorHAnsi"/>
          <w:color w:val="000000" w:themeColor="text1"/>
          <w:sz w:val="22"/>
          <w:szCs w:val="22"/>
          <w:lang w:eastAsia="lt-LT"/>
        </w:rPr>
        <w:t>Vertinimo kriterijai ir jų parametrų lyginamieji svoriai:</w:t>
      </w:r>
    </w:p>
    <w:p w:rsidR="005522B7" w:rsidRPr="005522B7" w:rsidRDefault="005522B7" w:rsidP="005522B7">
      <w:pPr>
        <w:rPr>
          <w:rFonts w:asciiTheme="majorHAnsi" w:hAnsiTheme="majorHAnsi"/>
          <w:color w:val="000000" w:themeColor="text1"/>
          <w:sz w:val="22"/>
          <w:szCs w:val="22"/>
          <w:lang w:eastAsia="lt-LT"/>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674"/>
        <w:gridCol w:w="1311"/>
        <w:gridCol w:w="1473"/>
        <w:gridCol w:w="2348"/>
      </w:tblGrid>
      <w:tr w:rsidR="005522B7" w:rsidRPr="005522B7" w:rsidTr="0071339D">
        <w:tc>
          <w:tcPr>
            <w:tcW w:w="3047"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522B7" w:rsidRPr="005522B7" w:rsidRDefault="005522B7" w:rsidP="0071339D">
            <w:pPr>
              <w:jc w:val="center"/>
              <w:rPr>
                <w:rFonts w:asciiTheme="majorHAnsi" w:hAnsiTheme="majorHAnsi"/>
                <w:b/>
                <w:color w:val="000000" w:themeColor="text1"/>
                <w:sz w:val="22"/>
                <w:szCs w:val="22"/>
              </w:rPr>
            </w:pPr>
            <w:r w:rsidRPr="005522B7">
              <w:rPr>
                <w:rFonts w:asciiTheme="majorHAnsi" w:hAnsiTheme="majorHAnsi"/>
                <w:b/>
                <w:color w:val="000000" w:themeColor="text1"/>
                <w:sz w:val="22"/>
                <w:szCs w:val="22"/>
              </w:rPr>
              <w:t>Vertinimo kriterijai</w:t>
            </w:r>
          </w:p>
        </w:tc>
        <w:tc>
          <w:tcPr>
            <w:tcW w:w="72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522B7" w:rsidRPr="005522B7" w:rsidRDefault="005522B7" w:rsidP="0071339D">
            <w:pPr>
              <w:jc w:val="center"/>
              <w:rPr>
                <w:rFonts w:asciiTheme="majorHAnsi" w:hAnsiTheme="majorHAnsi"/>
                <w:b/>
                <w:color w:val="000000" w:themeColor="text1"/>
                <w:sz w:val="22"/>
                <w:szCs w:val="22"/>
              </w:rPr>
            </w:pPr>
            <w:r w:rsidRPr="005522B7">
              <w:rPr>
                <w:rFonts w:asciiTheme="majorHAnsi" w:hAnsiTheme="majorHAnsi"/>
                <w:b/>
                <w:color w:val="000000" w:themeColor="text1"/>
                <w:sz w:val="22"/>
                <w:szCs w:val="22"/>
              </w:rPr>
              <w:t>Parametro lyginamasis svoris</w:t>
            </w:r>
          </w:p>
        </w:tc>
        <w:tc>
          <w:tcPr>
            <w:tcW w:w="123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522B7" w:rsidRPr="005522B7" w:rsidRDefault="005522B7" w:rsidP="0071339D">
            <w:pPr>
              <w:jc w:val="center"/>
              <w:rPr>
                <w:rFonts w:asciiTheme="majorHAnsi" w:hAnsiTheme="majorHAnsi"/>
                <w:b/>
                <w:color w:val="000000" w:themeColor="text1"/>
                <w:sz w:val="22"/>
                <w:szCs w:val="22"/>
              </w:rPr>
            </w:pPr>
            <w:r w:rsidRPr="005522B7">
              <w:rPr>
                <w:rFonts w:asciiTheme="majorHAnsi" w:hAnsiTheme="majorHAnsi"/>
                <w:b/>
                <w:color w:val="000000" w:themeColor="text1"/>
                <w:sz w:val="22"/>
                <w:szCs w:val="22"/>
              </w:rPr>
              <w:t>Lyginamasis svoris ekonominio naudingumo įvertinime</w:t>
            </w:r>
          </w:p>
        </w:tc>
      </w:tr>
      <w:tr w:rsidR="005522B7" w:rsidRPr="005522B7" w:rsidTr="0071339D">
        <w:trPr>
          <w:trHeight w:hRule="exact" w:val="284"/>
        </w:trPr>
        <w:tc>
          <w:tcPr>
            <w:tcW w:w="376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522B7" w:rsidRPr="005522B7" w:rsidRDefault="005522B7" w:rsidP="0071339D">
            <w:pPr>
              <w:rPr>
                <w:rFonts w:asciiTheme="majorHAnsi" w:hAnsiTheme="majorHAnsi"/>
                <w:b/>
                <w:color w:val="000000" w:themeColor="text1"/>
                <w:sz w:val="22"/>
                <w:szCs w:val="22"/>
              </w:rPr>
            </w:pPr>
            <w:r w:rsidRPr="005522B7">
              <w:rPr>
                <w:rFonts w:asciiTheme="majorHAnsi" w:hAnsiTheme="majorHAnsi"/>
                <w:b/>
                <w:color w:val="000000" w:themeColor="text1"/>
                <w:sz w:val="22"/>
                <w:szCs w:val="22"/>
              </w:rPr>
              <w:t>Kaina (K)</w:t>
            </w:r>
          </w:p>
        </w:tc>
        <w:tc>
          <w:tcPr>
            <w:tcW w:w="1231" w:type="pct"/>
            <w:tcBorders>
              <w:top w:val="single" w:sz="4" w:space="0" w:color="auto"/>
              <w:left w:val="single" w:sz="4" w:space="0" w:color="auto"/>
              <w:bottom w:val="single" w:sz="4" w:space="0" w:color="auto"/>
              <w:right w:val="single" w:sz="4" w:space="0" w:color="auto"/>
            </w:tcBorders>
            <w:shd w:val="clear" w:color="auto" w:fill="D9D9D9"/>
            <w:hideMark/>
          </w:tcPr>
          <w:p w:rsidR="005522B7" w:rsidRPr="005522B7" w:rsidRDefault="005522B7" w:rsidP="0071339D">
            <w:pPr>
              <w:rPr>
                <w:rFonts w:asciiTheme="majorHAnsi" w:hAnsiTheme="majorHAnsi"/>
                <w:b/>
                <w:color w:val="000000" w:themeColor="text1"/>
                <w:sz w:val="22"/>
                <w:szCs w:val="22"/>
              </w:rPr>
            </w:pPr>
            <w:r w:rsidRPr="005522B7">
              <w:rPr>
                <w:rFonts w:asciiTheme="majorHAnsi" w:hAnsiTheme="majorHAnsi"/>
                <w:b/>
                <w:color w:val="000000" w:themeColor="text1"/>
                <w:sz w:val="22"/>
                <w:szCs w:val="22"/>
              </w:rPr>
              <w:t>X=60</w:t>
            </w:r>
          </w:p>
        </w:tc>
      </w:tr>
      <w:tr w:rsidR="005522B7" w:rsidRPr="005522B7" w:rsidTr="0071339D">
        <w:trPr>
          <w:trHeight w:hRule="exact" w:val="290"/>
        </w:trPr>
        <w:tc>
          <w:tcPr>
            <w:tcW w:w="376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522B7" w:rsidRPr="005522B7" w:rsidRDefault="005522B7" w:rsidP="0071339D">
            <w:pPr>
              <w:rPr>
                <w:rFonts w:asciiTheme="majorHAnsi" w:hAnsiTheme="majorHAnsi"/>
                <w:b/>
                <w:color w:val="000000" w:themeColor="text1"/>
                <w:sz w:val="22"/>
                <w:szCs w:val="22"/>
              </w:rPr>
            </w:pPr>
            <w:r w:rsidRPr="005522B7">
              <w:rPr>
                <w:rFonts w:asciiTheme="majorHAnsi" w:hAnsiTheme="majorHAnsi"/>
                <w:b/>
                <w:color w:val="000000" w:themeColor="text1"/>
                <w:sz w:val="22"/>
                <w:szCs w:val="22"/>
              </w:rPr>
              <w:t>Techniniai pranašumai (T)</w:t>
            </w:r>
          </w:p>
        </w:tc>
        <w:tc>
          <w:tcPr>
            <w:tcW w:w="1231" w:type="pct"/>
            <w:tcBorders>
              <w:top w:val="single" w:sz="4" w:space="0" w:color="auto"/>
              <w:left w:val="single" w:sz="4" w:space="0" w:color="auto"/>
              <w:bottom w:val="single" w:sz="4" w:space="0" w:color="auto"/>
              <w:right w:val="single" w:sz="4" w:space="0" w:color="auto"/>
            </w:tcBorders>
            <w:shd w:val="clear" w:color="auto" w:fill="D9D9D9"/>
            <w:hideMark/>
          </w:tcPr>
          <w:p w:rsidR="005522B7" w:rsidRPr="005522B7" w:rsidRDefault="005522B7" w:rsidP="0071339D">
            <w:pPr>
              <w:rPr>
                <w:rFonts w:asciiTheme="majorHAnsi" w:hAnsiTheme="majorHAnsi"/>
                <w:b/>
                <w:color w:val="000000" w:themeColor="text1"/>
                <w:sz w:val="22"/>
                <w:szCs w:val="22"/>
              </w:rPr>
            </w:pPr>
            <w:r w:rsidRPr="005522B7">
              <w:rPr>
                <w:rFonts w:asciiTheme="majorHAnsi" w:hAnsiTheme="majorHAnsi"/>
                <w:b/>
                <w:color w:val="000000" w:themeColor="text1"/>
                <w:sz w:val="22"/>
                <w:szCs w:val="22"/>
              </w:rPr>
              <w:t>Y=40</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vAlign w:val="center"/>
            <w:hideMark/>
          </w:tcPr>
          <w:p w:rsidR="005522B7" w:rsidRPr="005522B7" w:rsidRDefault="005522B7" w:rsidP="0071339D">
            <w:pPr>
              <w:jc w:val="center"/>
              <w:rPr>
                <w:rFonts w:asciiTheme="majorHAnsi" w:hAnsiTheme="majorHAnsi"/>
                <w:b/>
                <w:color w:val="000000" w:themeColor="text1"/>
                <w:sz w:val="22"/>
                <w:szCs w:val="22"/>
              </w:rPr>
            </w:pPr>
            <w:r w:rsidRPr="005522B7">
              <w:rPr>
                <w:rFonts w:asciiTheme="majorHAnsi" w:hAnsiTheme="majorHAnsi"/>
                <w:b/>
                <w:color w:val="000000" w:themeColor="text1"/>
                <w:sz w:val="22"/>
                <w:szCs w:val="22"/>
              </w:rPr>
              <w:t>Nr.</w:t>
            </w:r>
          </w:p>
        </w:tc>
        <w:tc>
          <w:tcPr>
            <w:tcW w:w="1920" w:type="pct"/>
            <w:tcBorders>
              <w:top w:val="single" w:sz="4" w:space="0" w:color="auto"/>
              <w:left w:val="single" w:sz="4" w:space="0" w:color="auto"/>
              <w:bottom w:val="single" w:sz="4" w:space="0" w:color="auto"/>
              <w:right w:val="single" w:sz="4" w:space="0" w:color="auto"/>
            </w:tcBorders>
            <w:vAlign w:val="center"/>
            <w:hideMark/>
          </w:tcPr>
          <w:p w:rsidR="005522B7" w:rsidRPr="005522B7" w:rsidRDefault="005522B7" w:rsidP="0071339D">
            <w:pPr>
              <w:jc w:val="center"/>
              <w:rPr>
                <w:rFonts w:asciiTheme="majorHAnsi" w:hAnsiTheme="majorHAnsi"/>
                <w:b/>
                <w:color w:val="000000" w:themeColor="text1"/>
                <w:sz w:val="22"/>
                <w:szCs w:val="22"/>
              </w:rPr>
            </w:pPr>
            <w:r w:rsidRPr="005522B7">
              <w:rPr>
                <w:rFonts w:asciiTheme="majorHAnsi" w:hAnsiTheme="majorHAnsi"/>
                <w:b/>
                <w:color w:val="000000" w:themeColor="text1"/>
                <w:sz w:val="22"/>
                <w:szCs w:val="22"/>
              </w:rPr>
              <w:t>Parametrai</w:t>
            </w:r>
          </w:p>
        </w:tc>
        <w:tc>
          <w:tcPr>
            <w:tcW w:w="692" w:type="pct"/>
            <w:tcBorders>
              <w:top w:val="single" w:sz="4" w:space="0" w:color="auto"/>
              <w:left w:val="single" w:sz="4" w:space="0" w:color="auto"/>
              <w:bottom w:val="single" w:sz="4" w:space="0" w:color="auto"/>
              <w:right w:val="single" w:sz="4" w:space="0" w:color="auto"/>
            </w:tcBorders>
            <w:vAlign w:val="center"/>
            <w:hideMark/>
          </w:tcPr>
          <w:p w:rsidR="005522B7" w:rsidRPr="005522B7" w:rsidRDefault="005522B7" w:rsidP="0071339D">
            <w:pPr>
              <w:jc w:val="center"/>
              <w:rPr>
                <w:rFonts w:asciiTheme="majorHAnsi" w:hAnsiTheme="majorHAnsi"/>
                <w:b/>
                <w:color w:val="000000" w:themeColor="text1"/>
                <w:sz w:val="22"/>
                <w:szCs w:val="22"/>
              </w:rPr>
            </w:pPr>
            <w:r w:rsidRPr="005522B7">
              <w:rPr>
                <w:rFonts w:asciiTheme="majorHAnsi" w:hAnsiTheme="majorHAnsi"/>
                <w:b/>
                <w:color w:val="000000" w:themeColor="text1"/>
                <w:sz w:val="22"/>
                <w:szCs w:val="22"/>
              </w:rPr>
              <w:t>Vertinimo būdas</w:t>
            </w:r>
          </w:p>
        </w:tc>
        <w:tc>
          <w:tcPr>
            <w:tcW w:w="722" w:type="pct"/>
            <w:tcBorders>
              <w:top w:val="single" w:sz="4" w:space="0" w:color="auto"/>
              <w:left w:val="single" w:sz="4" w:space="0" w:color="auto"/>
              <w:bottom w:val="single" w:sz="4" w:space="0" w:color="auto"/>
              <w:right w:val="single" w:sz="4" w:space="0" w:color="auto"/>
            </w:tcBorders>
            <w:vAlign w:val="center"/>
            <w:hideMark/>
          </w:tcPr>
          <w:p w:rsidR="005522B7" w:rsidRPr="005522B7" w:rsidRDefault="005522B7" w:rsidP="0071339D">
            <w:pPr>
              <w:jc w:val="center"/>
              <w:rPr>
                <w:rFonts w:asciiTheme="majorHAnsi" w:hAnsiTheme="majorHAnsi"/>
                <w:b/>
                <w:color w:val="000000" w:themeColor="text1"/>
                <w:sz w:val="22"/>
                <w:szCs w:val="22"/>
              </w:rPr>
            </w:pPr>
            <w:r w:rsidRPr="005522B7">
              <w:rPr>
                <w:rFonts w:asciiTheme="majorHAnsi" w:hAnsiTheme="majorHAnsi"/>
                <w:b/>
                <w:color w:val="000000" w:themeColor="text1"/>
                <w:sz w:val="22"/>
                <w:szCs w:val="22"/>
              </w:rPr>
              <w:t>Lyginamasis svoris</w:t>
            </w:r>
          </w:p>
        </w:tc>
        <w:tc>
          <w:tcPr>
            <w:tcW w:w="1231" w:type="pct"/>
            <w:tcBorders>
              <w:top w:val="single" w:sz="4" w:space="0" w:color="auto"/>
              <w:left w:val="single" w:sz="4" w:space="0" w:color="auto"/>
              <w:bottom w:val="single" w:sz="4" w:space="0" w:color="auto"/>
              <w:right w:val="single" w:sz="4" w:space="0" w:color="auto"/>
            </w:tcBorders>
            <w:vAlign w:val="center"/>
          </w:tcPr>
          <w:p w:rsidR="005522B7" w:rsidRPr="005522B7" w:rsidRDefault="005522B7" w:rsidP="0071339D">
            <w:pPr>
              <w:jc w:val="center"/>
              <w:rPr>
                <w:rFonts w:asciiTheme="majorHAnsi" w:hAnsiTheme="majorHAnsi"/>
                <w:b/>
                <w:color w:val="000000" w:themeColor="text1"/>
                <w:sz w:val="22"/>
                <w:szCs w:val="22"/>
              </w:rPr>
            </w:pPr>
            <w:r w:rsidRPr="005522B7">
              <w:rPr>
                <w:rFonts w:asciiTheme="majorHAnsi" w:hAnsiTheme="majorHAnsi"/>
                <w:b/>
                <w:color w:val="000000" w:themeColor="text1"/>
                <w:sz w:val="22"/>
                <w:szCs w:val="22"/>
              </w:rPr>
              <w:t>Vertė</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hideMark/>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w:t>
            </w:r>
          </w:p>
        </w:tc>
        <w:tc>
          <w:tcPr>
            <w:tcW w:w="1920" w:type="pct"/>
            <w:tcBorders>
              <w:top w:val="single" w:sz="4" w:space="0" w:color="auto"/>
              <w:left w:val="single" w:sz="4" w:space="0" w:color="auto"/>
              <w:bottom w:val="single" w:sz="4" w:space="0" w:color="auto"/>
              <w:right w:val="single" w:sz="4" w:space="0" w:color="auto"/>
            </w:tcBorders>
            <w:hideMark/>
          </w:tcPr>
          <w:p w:rsidR="005522B7" w:rsidRPr="005522B7" w:rsidRDefault="005522B7" w:rsidP="0071339D">
            <w:pPr>
              <w:rPr>
                <w:rFonts w:asciiTheme="majorHAnsi" w:hAnsiTheme="majorHAnsi"/>
                <w:color w:val="000000" w:themeColor="text1"/>
                <w:sz w:val="22"/>
                <w:szCs w:val="22"/>
              </w:rPr>
            </w:pPr>
            <w:r w:rsidRPr="005522B7">
              <w:rPr>
                <w:rFonts w:asciiTheme="majorHAnsi" w:hAnsiTheme="majorHAnsi"/>
                <w:color w:val="000000"/>
                <w:sz w:val="22"/>
                <w:szCs w:val="22"/>
              </w:rPr>
              <w:t>Funkcija, užtikrinanti tirpiklių kondicionavimą kolonų termostate</w:t>
            </w:r>
          </w:p>
        </w:tc>
        <w:tc>
          <w:tcPr>
            <w:tcW w:w="692" w:type="pct"/>
            <w:tcBorders>
              <w:top w:val="single" w:sz="4" w:space="0" w:color="auto"/>
              <w:left w:val="single" w:sz="4" w:space="0" w:color="auto"/>
              <w:bottom w:val="single" w:sz="4" w:space="0" w:color="auto"/>
              <w:right w:val="single" w:sz="4" w:space="0" w:color="auto"/>
            </w:tcBorders>
            <w:hideMark/>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hideMark/>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2</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sz w:val="22"/>
                <w:szCs w:val="22"/>
              </w:rPr>
            </w:pPr>
            <w:r w:rsidRPr="005522B7">
              <w:rPr>
                <w:rFonts w:asciiTheme="majorHAnsi" w:hAnsiTheme="majorHAnsi"/>
                <w:color w:val="000000" w:themeColor="text1"/>
                <w:sz w:val="22"/>
                <w:szCs w:val="22"/>
              </w:rPr>
              <w:t>Funkcija, stebinti ir sauganti bet kurio gamintojo analitinės kolonos naudojimo istoriją</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2</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3</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sz w:val="22"/>
                <w:szCs w:val="22"/>
              </w:rPr>
            </w:pPr>
            <w:r w:rsidRPr="005522B7">
              <w:rPr>
                <w:rFonts w:asciiTheme="majorHAnsi" w:hAnsiTheme="majorHAnsi"/>
                <w:color w:val="000000"/>
                <w:sz w:val="22"/>
                <w:szCs w:val="22"/>
              </w:rPr>
              <w:t>Įtariant tikslinės analitės buvimą mėginyje atlikus greitos analizės metodą (angl. screening), sistema automatiškai inicijuoja to paties mėginio analizę pagrindiniu tikslinės analitės identifikacijos metodu</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3</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4</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sz w:val="22"/>
                <w:szCs w:val="22"/>
              </w:rPr>
            </w:pPr>
            <w:r w:rsidRPr="005522B7">
              <w:rPr>
                <w:rFonts w:asciiTheme="majorHAnsi" w:hAnsiTheme="majorHAnsi"/>
                <w:color w:val="000000"/>
                <w:sz w:val="22"/>
                <w:szCs w:val="22"/>
              </w:rPr>
              <w:t xml:space="preserve">Automatinė mėginio pernašos (angl. carryover) apsauga įskaitant galimybę sistemoje numatyti sekos </w:t>
            </w:r>
            <w:r w:rsidRPr="005522B7">
              <w:rPr>
                <w:rFonts w:asciiTheme="majorHAnsi" w:hAnsiTheme="majorHAnsi"/>
                <w:color w:val="000000"/>
                <w:sz w:val="22"/>
                <w:szCs w:val="22"/>
              </w:rPr>
              <w:lastRenderedPageBreak/>
              <w:t>stabdymo parametrą (-us) / kriterijų (-us)</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lastRenderedPageBreak/>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4</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5</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sz w:val="22"/>
                <w:szCs w:val="22"/>
              </w:rPr>
            </w:pPr>
            <w:r w:rsidRPr="005522B7">
              <w:rPr>
                <w:rFonts w:asciiTheme="majorHAnsi" w:hAnsiTheme="majorHAnsi"/>
                <w:color w:val="000000"/>
                <w:sz w:val="22"/>
                <w:szCs w:val="22"/>
              </w:rPr>
              <w:t>Funkcija, savarankiškai tikrinanti esamą eliuentų kiekį ir pateikianti perspėjimą, kai bent vieno iš naudojamų metode eliuento likęs kiekis yra mažesnis nei programinėje įrangoje nustatyta eliuento kiekio minimali riba</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5</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rPr>
          <w:trHeight w:hRule="exact" w:val="829"/>
        </w:trPr>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6</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sz w:val="22"/>
                <w:szCs w:val="22"/>
              </w:rPr>
            </w:pPr>
            <w:r w:rsidRPr="005522B7">
              <w:rPr>
                <w:rFonts w:asciiTheme="majorHAnsi" w:hAnsiTheme="majorHAnsi"/>
                <w:color w:val="000000"/>
                <w:sz w:val="22"/>
                <w:szCs w:val="22"/>
              </w:rPr>
              <w:t>Automatinė mažesnio kiekio mėginio injekcija aptikus, jog analitė viršija kalibracinės kreivės diapazoną</w:t>
            </w:r>
          </w:p>
          <w:p w:rsidR="005522B7" w:rsidRPr="005522B7" w:rsidRDefault="005522B7" w:rsidP="0071339D">
            <w:pPr>
              <w:rPr>
                <w:rFonts w:asciiTheme="majorHAnsi" w:hAnsiTheme="majorHAnsi"/>
                <w:color w:val="000000"/>
                <w:sz w:val="22"/>
                <w:szCs w:val="22"/>
              </w:rPr>
            </w:pP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6</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7</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themeColor="text1"/>
                <w:sz w:val="22"/>
                <w:szCs w:val="22"/>
              </w:rPr>
            </w:pPr>
            <w:r w:rsidRPr="005522B7">
              <w:rPr>
                <w:rFonts w:asciiTheme="majorHAnsi" w:hAnsiTheme="majorHAnsi"/>
                <w:color w:val="000000" w:themeColor="text1"/>
                <w:sz w:val="22"/>
                <w:szCs w:val="22"/>
              </w:rPr>
              <w:t xml:space="preserve">Instrumento detekcijos riba (IDL) </w:t>
            </w:r>
          </w:p>
          <w:p w:rsidR="005522B7" w:rsidRPr="005522B7" w:rsidRDefault="005522B7" w:rsidP="0071339D">
            <w:pPr>
              <w:rPr>
                <w:rFonts w:asciiTheme="majorHAnsi" w:eastAsia="Times New Roman" w:hAnsiTheme="majorHAnsi"/>
                <w:color w:val="000000" w:themeColor="text1"/>
                <w:sz w:val="22"/>
                <w:szCs w:val="22"/>
              </w:rPr>
            </w:pPr>
            <w:r w:rsidRPr="005522B7">
              <w:rPr>
                <w:rFonts w:asciiTheme="majorHAnsi" w:eastAsia="Times New Roman" w:hAnsiTheme="majorHAnsi"/>
                <w:color w:val="000000" w:themeColor="text1"/>
                <w:sz w:val="22"/>
                <w:szCs w:val="22"/>
              </w:rPr>
              <w:t>≤ 5 fg teigiamoje ir neigiamoje jonizacijoje injekuojant ne daugiau nei 10 fg analitės (rezerpino, chloramfenikolio)</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7</w:t>
            </w:r>
            <w:r w:rsidRPr="005522B7">
              <w:rPr>
                <w:rFonts w:asciiTheme="majorHAnsi" w:hAnsiTheme="majorHAnsi"/>
                <w:color w:val="000000" w:themeColor="text1"/>
                <w:sz w:val="22"/>
                <w:szCs w:val="22"/>
              </w:rPr>
              <w:t xml:space="preserve"> = 0,100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8</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themeColor="text1"/>
                <w:sz w:val="22"/>
                <w:szCs w:val="22"/>
              </w:rPr>
            </w:pPr>
            <w:r w:rsidRPr="005522B7">
              <w:rPr>
                <w:rFonts w:asciiTheme="majorHAnsi" w:hAnsiTheme="majorHAnsi"/>
                <w:color w:val="000000" w:themeColor="text1"/>
                <w:sz w:val="22"/>
                <w:szCs w:val="22"/>
              </w:rPr>
              <w:t xml:space="preserve">Trumpiausias galimas matavimo laikas vienai tranzicijai (angl. dwell time) </w:t>
            </w:r>
            <w:r w:rsidRPr="005522B7">
              <w:rPr>
                <w:rFonts w:asciiTheme="majorHAnsi" w:eastAsia="Times New Roman" w:hAnsiTheme="majorHAnsi"/>
                <w:color w:val="000000" w:themeColor="text1"/>
                <w:sz w:val="22"/>
                <w:szCs w:val="22"/>
              </w:rPr>
              <w:t xml:space="preserve">≤ </w:t>
            </w:r>
            <w:r w:rsidRPr="005522B7">
              <w:rPr>
                <w:rFonts w:asciiTheme="majorHAnsi" w:hAnsiTheme="majorHAnsi"/>
                <w:color w:val="000000" w:themeColor="text1"/>
                <w:sz w:val="22"/>
                <w:szCs w:val="22"/>
              </w:rPr>
              <w:t>0,6 ms</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8</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9</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themeColor="text1"/>
                <w:sz w:val="22"/>
                <w:szCs w:val="22"/>
              </w:rPr>
            </w:pPr>
            <w:r w:rsidRPr="005522B7">
              <w:rPr>
                <w:rFonts w:asciiTheme="majorHAnsi" w:hAnsiTheme="majorHAnsi"/>
                <w:color w:val="000000" w:themeColor="text1"/>
                <w:sz w:val="22"/>
                <w:szCs w:val="22"/>
              </w:rPr>
              <w:t xml:space="preserve">Maksimalus MRM tranzicijų skaičius metode </w:t>
            </w:r>
            <w:r w:rsidRPr="005522B7">
              <w:rPr>
                <w:rFonts w:asciiTheme="majorHAnsi" w:eastAsia="Times New Roman" w:hAnsiTheme="majorHAnsi"/>
                <w:color w:val="000000" w:themeColor="text1"/>
                <w:sz w:val="22"/>
                <w:szCs w:val="22"/>
              </w:rPr>
              <w:t>≥ 10000</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9</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10</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themeColor="text1"/>
                <w:sz w:val="22"/>
                <w:szCs w:val="22"/>
              </w:rPr>
            </w:pPr>
            <w:r w:rsidRPr="005522B7">
              <w:rPr>
                <w:rFonts w:asciiTheme="majorHAnsi" w:hAnsiTheme="majorHAnsi"/>
                <w:color w:val="000000" w:themeColor="text1"/>
                <w:sz w:val="22"/>
                <w:szCs w:val="22"/>
              </w:rPr>
              <w:t xml:space="preserve">Maksimalus MRM tranzicijų skaičius segmente </w:t>
            </w:r>
            <w:r w:rsidRPr="005522B7">
              <w:rPr>
                <w:rFonts w:asciiTheme="majorHAnsi" w:eastAsia="Times New Roman" w:hAnsiTheme="majorHAnsi"/>
                <w:color w:val="000000" w:themeColor="text1"/>
                <w:sz w:val="22"/>
                <w:szCs w:val="22"/>
              </w:rPr>
              <w:t>≥ 100 neribojant segmentų skaičiaus metode</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10</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rPr>
          <w:trHeight w:val="1138"/>
        </w:trPr>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11</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themeColor="text1"/>
                <w:sz w:val="22"/>
                <w:szCs w:val="22"/>
              </w:rPr>
            </w:pPr>
            <w:r w:rsidRPr="005522B7">
              <w:rPr>
                <w:rFonts w:asciiTheme="majorHAnsi" w:hAnsiTheme="majorHAnsi"/>
                <w:color w:val="000000" w:themeColor="text1"/>
                <w:sz w:val="22"/>
                <w:szCs w:val="22"/>
              </w:rPr>
              <w:t>Dinaminės (pagal laiko segmentus) MRM analizės metu automatiškai palaikomas pastovus ciklo laikas net kai tranzicijų skaičius segmente kinta</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11</w:t>
            </w:r>
            <w:r w:rsidRPr="005522B7">
              <w:rPr>
                <w:rFonts w:asciiTheme="majorHAnsi" w:hAnsiTheme="majorHAnsi"/>
                <w:color w:val="000000" w:themeColor="text1"/>
                <w:sz w:val="22"/>
                <w:szCs w:val="22"/>
              </w:rPr>
              <w:t xml:space="preserve"> = 0,010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rPr>
          <w:trHeight w:val="1835"/>
        </w:trPr>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12</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themeColor="text1"/>
                <w:sz w:val="22"/>
                <w:szCs w:val="22"/>
              </w:rPr>
            </w:pPr>
            <w:r w:rsidRPr="005522B7">
              <w:rPr>
                <w:rFonts w:asciiTheme="majorHAnsi" w:eastAsia="Times New Roman" w:hAnsiTheme="majorHAnsi"/>
                <w:sz w:val="22"/>
                <w:szCs w:val="22"/>
              </w:rPr>
              <w:t>Sistema turi palaikyti automatinio masių spektrometro optimizavimo (angl. autotune/checktune) planavimą, kuris būtų vykdomas periodiškai pagal kalendoriaus grafiką be operatoriaus įsikišimo, užtikrinant visada darbui parengtą prietaisą</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12</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13</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eastAsia="Times New Roman" w:hAnsiTheme="majorHAnsi"/>
                <w:sz w:val="22"/>
                <w:szCs w:val="22"/>
              </w:rPr>
            </w:pPr>
            <w:r w:rsidRPr="005522B7">
              <w:rPr>
                <w:rFonts w:asciiTheme="majorHAnsi" w:eastAsia="Times New Roman" w:hAnsiTheme="majorHAnsi"/>
                <w:sz w:val="22"/>
                <w:szCs w:val="22"/>
              </w:rPr>
              <w:t>Masių spektrometras turi turėti iš anksto sukonfigūruotus optimizavimo režimus, pritaikytus skirtingiems taikymams. Vartotojas turi turėti galimybę pasirinkti prietaiso optimizavimo režimą pagal analizės pobūdį, atsižvelgiant į tokius kriterijus kaip analizuojamų junginių masės sritis, molekulių stabilumas bei jonizacijos poliariškumas</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13</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14</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eastAsia="Times New Roman" w:hAnsiTheme="majorHAnsi"/>
                <w:sz w:val="22"/>
                <w:szCs w:val="22"/>
              </w:rPr>
            </w:pPr>
            <w:r w:rsidRPr="005522B7">
              <w:rPr>
                <w:rFonts w:asciiTheme="majorHAnsi" w:eastAsia="Times New Roman" w:hAnsiTheme="majorHAnsi"/>
                <w:color w:val="000000" w:themeColor="text1"/>
                <w:sz w:val="22"/>
                <w:szCs w:val="22"/>
              </w:rPr>
              <w:t>Nustatomų masių intervalas ≥ 2500 m/z</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14</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15</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eastAsia="Times New Roman" w:hAnsiTheme="majorHAnsi"/>
                <w:sz w:val="22"/>
                <w:szCs w:val="22"/>
              </w:rPr>
            </w:pPr>
            <w:r w:rsidRPr="005522B7">
              <w:rPr>
                <w:rFonts w:asciiTheme="majorHAnsi" w:eastAsia="Times New Roman" w:hAnsiTheme="majorHAnsi"/>
                <w:color w:val="000000" w:themeColor="text1"/>
                <w:sz w:val="22"/>
                <w:szCs w:val="22"/>
              </w:rPr>
              <w:t>Injekcijos pernaša ≤ 0,001 %</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15</w:t>
            </w:r>
            <w:r w:rsidRPr="005522B7">
              <w:rPr>
                <w:rFonts w:asciiTheme="majorHAnsi" w:hAnsiTheme="majorHAnsi"/>
                <w:color w:val="000000" w:themeColor="text1"/>
                <w:sz w:val="22"/>
                <w:szCs w:val="22"/>
              </w:rPr>
              <w:t xml:space="preserve"> = 0,050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rPr>
          <w:trHeight w:hRule="exact" w:val="643"/>
        </w:trPr>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lastRenderedPageBreak/>
              <w:t>T</w:t>
            </w:r>
            <w:r w:rsidRPr="005522B7">
              <w:rPr>
                <w:rFonts w:asciiTheme="majorHAnsi" w:hAnsiTheme="majorHAnsi"/>
                <w:color w:val="000000" w:themeColor="text1"/>
                <w:sz w:val="22"/>
                <w:szCs w:val="22"/>
                <w:vertAlign w:val="subscript"/>
              </w:rPr>
              <w:t>16</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eastAsia="Times New Roman" w:hAnsiTheme="majorHAnsi"/>
                <w:color w:val="000000" w:themeColor="text1"/>
                <w:sz w:val="22"/>
                <w:szCs w:val="22"/>
              </w:rPr>
            </w:pPr>
            <w:r w:rsidRPr="005522B7">
              <w:rPr>
                <w:rFonts w:asciiTheme="majorHAnsi" w:eastAsia="Times New Roman" w:hAnsiTheme="majorHAnsi"/>
                <w:color w:val="000000" w:themeColor="text1"/>
                <w:sz w:val="22"/>
                <w:szCs w:val="22"/>
              </w:rPr>
              <w:t>Mėginių talpa daugiau nei 300 pozicijų 2 ml chromatografiniams buteliukams</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16</w:t>
            </w:r>
            <w:r w:rsidRPr="005522B7">
              <w:rPr>
                <w:rFonts w:asciiTheme="majorHAnsi" w:hAnsiTheme="majorHAnsi"/>
                <w:color w:val="000000" w:themeColor="text1"/>
                <w:sz w:val="22"/>
                <w:szCs w:val="22"/>
              </w:rPr>
              <w:t>= 0,010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17</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eastAsia="Times New Roman" w:hAnsiTheme="majorHAnsi"/>
                <w:color w:val="000000" w:themeColor="text1"/>
                <w:sz w:val="22"/>
                <w:szCs w:val="22"/>
              </w:rPr>
            </w:pPr>
            <w:r w:rsidRPr="005522B7">
              <w:rPr>
                <w:rFonts w:asciiTheme="majorHAnsi" w:hAnsiTheme="majorHAnsi"/>
                <w:color w:val="000000"/>
                <w:sz w:val="22"/>
                <w:szCs w:val="22"/>
              </w:rPr>
              <w:t>Maksimalus palaikomas eliuentų tiekimo sistemos slėgis ≥ 1300 bar</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17</w:t>
            </w:r>
            <w:r w:rsidRPr="005522B7">
              <w:rPr>
                <w:rFonts w:asciiTheme="majorHAnsi" w:hAnsiTheme="majorHAnsi"/>
                <w:color w:val="000000" w:themeColor="text1"/>
                <w:sz w:val="22"/>
                <w:szCs w:val="22"/>
              </w:rPr>
              <w:t>= 0,165</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18</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eastAsia="Times New Roman" w:hAnsiTheme="majorHAnsi"/>
                <w:color w:val="000000" w:themeColor="text1"/>
                <w:sz w:val="22"/>
                <w:szCs w:val="22"/>
              </w:rPr>
            </w:pPr>
            <w:r w:rsidRPr="005522B7">
              <w:rPr>
                <w:rFonts w:asciiTheme="majorHAnsi" w:hAnsiTheme="majorHAnsi"/>
                <w:color w:val="000000"/>
                <w:sz w:val="22"/>
                <w:szCs w:val="22"/>
              </w:rPr>
              <w:t>Kolonėlių termostatas talpina ne mažiau nei 7</w:t>
            </w:r>
            <w:r w:rsidRPr="005522B7">
              <w:rPr>
                <w:rFonts w:asciiTheme="majorHAnsi" w:hAnsiTheme="majorHAnsi"/>
                <w:sz w:val="22"/>
                <w:szCs w:val="22"/>
              </w:rPr>
              <w:t xml:space="preserve"> kolonėles, kurių ilgis ne mažesnis nei 10 cm, su prieškolonėmis</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18</w:t>
            </w:r>
            <w:r w:rsidRPr="005522B7">
              <w:rPr>
                <w:rFonts w:asciiTheme="majorHAnsi" w:hAnsiTheme="majorHAnsi"/>
                <w:color w:val="000000" w:themeColor="text1"/>
                <w:sz w:val="22"/>
                <w:szCs w:val="22"/>
              </w:rPr>
              <w:t>= 0,010</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rPr>
          <w:trHeight w:hRule="exact" w:val="1434"/>
        </w:trPr>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19</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eastAsia="Times New Roman" w:hAnsiTheme="majorHAnsi"/>
                <w:color w:val="000000" w:themeColor="text1"/>
                <w:sz w:val="22"/>
                <w:szCs w:val="22"/>
              </w:rPr>
            </w:pPr>
            <w:r w:rsidRPr="005522B7">
              <w:rPr>
                <w:rFonts w:asciiTheme="majorHAnsi" w:eastAsia="Times New Roman" w:hAnsiTheme="majorHAnsi"/>
                <w:color w:val="000000" w:themeColor="text1"/>
                <w:sz w:val="22"/>
                <w:szCs w:val="22"/>
              </w:rPr>
              <w:t>Kolonėlių termostate integruotas vožtuvas ne mažiau nei 7 kolonėlių parinkimui, palaikantis skysčių chroatografinės sistemos maksimalų slėgį</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19</w:t>
            </w:r>
            <w:r w:rsidRPr="005522B7">
              <w:rPr>
                <w:rFonts w:asciiTheme="majorHAnsi" w:hAnsiTheme="majorHAnsi"/>
                <w:color w:val="000000" w:themeColor="text1"/>
                <w:sz w:val="22"/>
                <w:szCs w:val="22"/>
              </w:rPr>
              <w:t>= 0,015</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20</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eastAsia="Times New Roman" w:hAnsiTheme="majorHAnsi"/>
                <w:color w:val="000000" w:themeColor="text1"/>
                <w:sz w:val="22"/>
                <w:szCs w:val="22"/>
              </w:rPr>
            </w:pPr>
            <w:r w:rsidRPr="005522B7">
              <w:rPr>
                <w:rFonts w:asciiTheme="majorHAnsi" w:hAnsiTheme="majorHAnsi"/>
                <w:color w:val="000000"/>
                <w:sz w:val="22"/>
                <w:szCs w:val="22"/>
              </w:rPr>
              <w:t>Injekcijos preciziškumas (RSD) ≤ 0,2 %</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20</w:t>
            </w:r>
            <w:r w:rsidRPr="005522B7">
              <w:rPr>
                <w:rFonts w:asciiTheme="majorHAnsi" w:hAnsiTheme="majorHAnsi"/>
                <w:color w:val="000000" w:themeColor="text1"/>
                <w:sz w:val="22"/>
                <w:szCs w:val="22"/>
              </w:rPr>
              <w:t>= 0,025</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r w:rsidR="005522B7" w:rsidRPr="005522B7" w:rsidTr="0071339D">
        <w:tc>
          <w:tcPr>
            <w:tcW w:w="435"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ind w:right="-81"/>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T</w:t>
            </w:r>
            <w:r w:rsidRPr="005522B7">
              <w:rPr>
                <w:rFonts w:asciiTheme="majorHAnsi" w:hAnsiTheme="majorHAnsi"/>
                <w:color w:val="000000" w:themeColor="text1"/>
                <w:sz w:val="22"/>
                <w:szCs w:val="22"/>
                <w:vertAlign w:val="subscript"/>
              </w:rPr>
              <w:t>21</w:t>
            </w:r>
          </w:p>
        </w:tc>
        <w:tc>
          <w:tcPr>
            <w:tcW w:w="1920"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rPr>
                <w:rFonts w:asciiTheme="majorHAnsi" w:hAnsiTheme="majorHAnsi"/>
                <w:color w:val="000000"/>
                <w:sz w:val="22"/>
                <w:szCs w:val="22"/>
              </w:rPr>
            </w:pPr>
            <w:r w:rsidRPr="005522B7">
              <w:rPr>
                <w:rFonts w:asciiTheme="majorHAnsi" w:hAnsiTheme="majorHAnsi"/>
                <w:color w:val="000000"/>
                <w:sz w:val="22"/>
                <w:szCs w:val="22"/>
              </w:rPr>
              <w:t>LC-MS/MS maksimalus skenavimo greitis ≥ 17000 Da/s.</w:t>
            </w:r>
          </w:p>
        </w:tc>
        <w:tc>
          <w:tcPr>
            <w:tcW w:w="69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Statinis: (taip/ne)</w:t>
            </w:r>
          </w:p>
        </w:tc>
        <w:tc>
          <w:tcPr>
            <w:tcW w:w="722"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hAnsiTheme="majorHAnsi"/>
                <w:color w:val="000000" w:themeColor="text1"/>
                <w:sz w:val="22"/>
                <w:szCs w:val="22"/>
              </w:rPr>
            </w:pPr>
            <w:r w:rsidRPr="005522B7">
              <w:rPr>
                <w:rFonts w:asciiTheme="majorHAnsi" w:hAnsiTheme="majorHAnsi"/>
                <w:color w:val="000000" w:themeColor="text1"/>
                <w:sz w:val="22"/>
                <w:szCs w:val="22"/>
              </w:rPr>
              <w:t>L</w:t>
            </w:r>
            <w:r w:rsidRPr="005522B7">
              <w:rPr>
                <w:rFonts w:asciiTheme="majorHAnsi" w:hAnsiTheme="majorHAnsi"/>
                <w:color w:val="000000" w:themeColor="text1"/>
                <w:sz w:val="22"/>
                <w:szCs w:val="22"/>
                <w:vertAlign w:val="subscript"/>
              </w:rPr>
              <w:t>21</w:t>
            </w:r>
            <w:r w:rsidRPr="005522B7">
              <w:rPr>
                <w:rFonts w:asciiTheme="majorHAnsi" w:hAnsiTheme="majorHAnsi"/>
                <w:color w:val="000000" w:themeColor="text1"/>
                <w:sz w:val="22"/>
                <w:szCs w:val="22"/>
              </w:rPr>
              <w:t>= 0,015</w:t>
            </w:r>
          </w:p>
        </w:tc>
        <w:tc>
          <w:tcPr>
            <w:tcW w:w="1231" w:type="pct"/>
            <w:tcBorders>
              <w:top w:val="single" w:sz="4" w:space="0" w:color="auto"/>
              <w:left w:val="single" w:sz="4" w:space="0" w:color="auto"/>
              <w:bottom w:val="single" w:sz="4" w:space="0" w:color="auto"/>
              <w:right w:val="single" w:sz="4" w:space="0" w:color="auto"/>
            </w:tcBorders>
          </w:tcPr>
          <w:p w:rsidR="005522B7" w:rsidRPr="005522B7" w:rsidRDefault="005522B7" w:rsidP="0071339D">
            <w:pPr>
              <w:jc w:val="center"/>
              <w:rPr>
                <w:rFonts w:asciiTheme="majorHAnsi" w:eastAsia="Times New Roman" w:hAnsiTheme="majorHAnsi"/>
                <w:color w:val="000000" w:themeColor="text1"/>
                <w:sz w:val="22"/>
                <w:szCs w:val="22"/>
                <w:lang w:val="pt-PT"/>
              </w:rPr>
            </w:pPr>
            <w:r w:rsidRPr="005522B7">
              <w:rPr>
                <w:rFonts w:asciiTheme="majorHAnsi" w:eastAsia="Times New Roman" w:hAnsiTheme="majorHAnsi"/>
                <w:color w:val="000000" w:themeColor="text1"/>
                <w:sz w:val="22"/>
                <w:szCs w:val="22"/>
                <w:lang w:val="pt-PT"/>
              </w:rPr>
              <w:t>Įrašyti parametro vertę: taip/ne</w:t>
            </w:r>
          </w:p>
        </w:tc>
      </w:tr>
    </w:tbl>
    <w:p w:rsidR="005522B7" w:rsidRPr="005522B7" w:rsidRDefault="005522B7" w:rsidP="005522B7">
      <w:pPr>
        <w:shd w:val="clear" w:color="auto" w:fill="FFFFFF"/>
        <w:jc w:val="both"/>
        <w:rPr>
          <w:rFonts w:asciiTheme="majorHAnsi" w:hAnsiTheme="majorHAnsi"/>
          <w:color w:val="000000" w:themeColor="text1"/>
          <w:sz w:val="22"/>
          <w:szCs w:val="22"/>
          <w:bdr w:val="none" w:sz="0" w:space="0" w:color="auto" w:frame="1"/>
        </w:rPr>
      </w:pPr>
    </w:p>
    <w:p w:rsidR="005522B7" w:rsidRPr="005522B7" w:rsidRDefault="005522B7" w:rsidP="005522B7">
      <w:pPr>
        <w:shd w:val="clear" w:color="auto" w:fill="FFFFFF"/>
        <w:ind w:firstLine="567"/>
        <w:jc w:val="both"/>
        <w:rPr>
          <w:rFonts w:asciiTheme="majorHAnsi" w:hAnsiTheme="majorHAnsi"/>
          <w:color w:val="000000" w:themeColor="text1"/>
          <w:sz w:val="22"/>
          <w:szCs w:val="22"/>
          <w:bdr w:val="none" w:sz="0" w:space="0" w:color="auto" w:frame="1"/>
        </w:rPr>
      </w:pPr>
    </w:p>
    <w:p w:rsidR="005522B7" w:rsidRPr="005522B7" w:rsidRDefault="005522B7" w:rsidP="005522B7">
      <w:pPr>
        <w:shd w:val="clear" w:color="auto" w:fill="FFFFFF"/>
        <w:ind w:firstLine="567"/>
        <w:jc w:val="both"/>
        <w:rPr>
          <w:rFonts w:asciiTheme="majorHAnsi" w:hAnsiTheme="majorHAnsi"/>
          <w:color w:val="000000" w:themeColor="text1"/>
          <w:sz w:val="22"/>
          <w:szCs w:val="22"/>
          <w:bdr w:val="none" w:sz="0" w:space="0" w:color="auto" w:frame="1"/>
        </w:rPr>
      </w:pPr>
      <w:r w:rsidRPr="005522B7">
        <w:rPr>
          <w:rFonts w:asciiTheme="majorHAnsi" w:hAnsiTheme="majorHAnsi"/>
          <w:color w:val="000000" w:themeColor="text1"/>
          <w:sz w:val="22"/>
          <w:szCs w:val="22"/>
          <w:bdr w:val="none" w:sz="0" w:space="0" w:color="auto" w:frame="1"/>
        </w:rPr>
        <w:t>Pasiūlymo ekonominio naudingumo (kainos ir kokybės santykio) apskaičiavimo tvarka (formulė) yra pateikiama žemiau:</w:t>
      </w:r>
    </w:p>
    <w:p w:rsidR="005522B7" w:rsidRPr="005522B7" w:rsidRDefault="005522B7" w:rsidP="005522B7">
      <w:pPr>
        <w:shd w:val="clear" w:color="auto" w:fill="FFFFFF"/>
        <w:ind w:firstLine="567"/>
        <w:jc w:val="both"/>
        <w:rPr>
          <w:rFonts w:asciiTheme="majorHAnsi" w:hAnsiTheme="majorHAnsi"/>
          <w:color w:val="000000" w:themeColor="text1"/>
          <w:sz w:val="22"/>
          <w:szCs w:val="22"/>
          <w:bdr w:val="none" w:sz="0" w:space="0" w:color="auto" w:frame="1"/>
        </w:rPr>
      </w:pPr>
      <w:r w:rsidRPr="005522B7">
        <w:rPr>
          <w:rFonts w:asciiTheme="majorHAnsi" w:hAnsiTheme="majorHAnsi"/>
          <w:color w:val="000000" w:themeColor="text1"/>
          <w:sz w:val="22"/>
          <w:szCs w:val="22"/>
          <w:bdr w:val="none" w:sz="0" w:space="0" w:color="auto" w:frame="1"/>
        </w:rPr>
        <w:t>1. Pasiūlymo ekonominis naudingumas (E) apskaičiuojamas sudedant tiekėjo pasiūlymo kainos (K) ir techninių pranašumų (T) balus:</w:t>
      </w:r>
    </w:p>
    <w:p w:rsidR="005522B7" w:rsidRPr="005522B7" w:rsidRDefault="005522B7" w:rsidP="005522B7">
      <w:pPr>
        <w:shd w:val="clear" w:color="auto" w:fill="FFFFFF"/>
        <w:jc w:val="center"/>
        <w:rPr>
          <w:rFonts w:asciiTheme="majorHAnsi" w:hAnsiTheme="majorHAnsi"/>
          <w:color w:val="000000" w:themeColor="text1"/>
          <w:sz w:val="22"/>
          <w:szCs w:val="22"/>
          <w:bdr w:val="none" w:sz="0" w:space="0" w:color="auto" w:frame="1"/>
        </w:rPr>
      </w:pPr>
      <w:r w:rsidRPr="005522B7">
        <w:rPr>
          <w:rFonts w:asciiTheme="majorHAnsi" w:hAnsiTheme="majorHAnsi"/>
          <w:i/>
          <w:iCs/>
          <w:color w:val="000000" w:themeColor="text1"/>
          <w:sz w:val="22"/>
          <w:szCs w:val="22"/>
          <w:bdr w:val="none" w:sz="0" w:space="0" w:color="auto" w:frame="1"/>
        </w:rPr>
        <w:t xml:space="preserve">E </w:t>
      </w:r>
      <w:r w:rsidRPr="005522B7">
        <w:rPr>
          <w:rFonts w:asciiTheme="majorHAnsi" w:hAnsiTheme="majorHAnsi"/>
          <w:color w:val="000000" w:themeColor="text1"/>
          <w:sz w:val="22"/>
          <w:szCs w:val="22"/>
          <w:bdr w:val="none" w:sz="0" w:space="0" w:color="auto" w:frame="1"/>
        </w:rPr>
        <w:t xml:space="preserve">= </w:t>
      </w:r>
      <w:r w:rsidRPr="005522B7">
        <w:rPr>
          <w:rFonts w:asciiTheme="majorHAnsi" w:hAnsiTheme="majorHAnsi"/>
          <w:i/>
          <w:color w:val="000000" w:themeColor="text1"/>
          <w:sz w:val="22"/>
          <w:szCs w:val="22"/>
          <w:bdr w:val="none" w:sz="0" w:space="0" w:color="auto" w:frame="1"/>
        </w:rPr>
        <w:t>K</w:t>
      </w:r>
      <w:r w:rsidRPr="005522B7">
        <w:rPr>
          <w:rFonts w:asciiTheme="majorHAnsi" w:hAnsiTheme="majorHAnsi"/>
          <w:color w:val="000000" w:themeColor="text1"/>
          <w:sz w:val="22"/>
          <w:szCs w:val="22"/>
          <w:bdr w:val="none" w:sz="0" w:space="0" w:color="auto" w:frame="1"/>
        </w:rPr>
        <w:t xml:space="preserve"> </w:t>
      </w:r>
      <w:r w:rsidRPr="005522B7">
        <w:rPr>
          <w:rFonts w:asciiTheme="majorHAnsi" w:hAnsiTheme="majorHAnsi"/>
          <w:i/>
          <w:iCs/>
          <w:color w:val="000000" w:themeColor="text1"/>
          <w:sz w:val="22"/>
          <w:szCs w:val="22"/>
          <w:bdr w:val="none" w:sz="0" w:space="0" w:color="auto" w:frame="1"/>
        </w:rPr>
        <w:t>+ T</w:t>
      </w:r>
    </w:p>
    <w:p w:rsidR="005522B7" w:rsidRPr="005522B7" w:rsidRDefault="005522B7" w:rsidP="005522B7">
      <w:pPr>
        <w:shd w:val="clear" w:color="auto" w:fill="FFFFFF"/>
        <w:ind w:firstLine="567"/>
        <w:jc w:val="both"/>
        <w:rPr>
          <w:rFonts w:asciiTheme="majorHAnsi" w:hAnsiTheme="majorHAnsi"/>
          <w:color w:val="000000" w:themeColor="text1"/>
          <w:sz w:val="22"/>
          <w:szCs w:val="22"/>
          <w:bdr w:val="none" w:sz="0" w:space="0" w:color="auto" w:frame="1"/>
        </w:rPr>
      </w:pPr>
      <w:r w:rsidRPr="005522B7">
        <w:rPr>
          <w:rFonts w:asciiTheme="majorHAnsi" w:hAnsiTheme="majorHAnsi"/>
          <w:iCs/>
          <w:color w:val="000000" w:themeColor="text1"/>
          <w:sz w:val="22"/>
          <w:szCs w:val="22"/>
          <w:bdr w:val="none" w:sz="0" w:space="0" w:color="auto" w:frame="1"/>
        </w:rPr>
        <w:t xml:space="preserve">2. </w:t>
      </w:r>
      <w:r w:rsidRPr="005522B7">
        <w:rPr>
          <w:rFonts w:asciiTheme="majorHAnsi" w:hAnsiTheme="majorHAnsi"/>
          <w:color w:val="000000" w:themeColor="text1"/>
          <w:sz w:val="22"/>
          <w:szCs w:val="22"/>
          <w:bdr w:val="none" w:sz="0" w:space="0" w:color="auto" w:frame="1"/>
        </w:rPr>
        <w:t>Pasiūlymo kainos (K) balai apskaičiuojami mažiausios pasiūlytos kainos (K</w:t>
      </w:r>
      <w:r w:rsidRPr="005522B7">
        <w:rPr>
          <w:rFonts w:asciiTheme="majorHAnsi" w:hAnsiTheme="majorHAnsi"/>
          <w:color w:val="000000" w:themeColor="text1"/>
          <w:sz w:val="22"/>
          <w:szCs w:val="22"/>
          <w:bdr w:val="none" w:sz="0" w:space="0" w:color="auto" w:frame="1"/>
          <w:vertAlign w:val="subscript"/>
        </w:rPr>
        <w:t>min</w:t>
      </w:r>
      <w:r w:rsidRPr="005522B7">
        <w:rPr>
          <w:rFonts w:asciiTheme="majorHAnsi" w:hAnsiTheme="majorHAnsi"/>
          <w:color w:val="000000" w:themeColor="text1"/>
          <w:sz w:val="22"/>
          <w:szCs w:val="22"/>
          <w:bdr w:val="none" w:sz="0" w:space="0" w:color="auto" w:frame="1"/>
        </w:rPr>
        <w:t>) ir vertinamo pasiūlymo kainos (K</w:t>
      </w:r>
      <w:r w:rsidRPr="005522B7">
        <w:rPr>
          <w:rFonts w:asciiTheme="majorHAnsi" w:hAnsiTheme="majorHAnsi"/>
          <w:color w:val="000000" w:themeColor="text1"/>
          <w:sz w:val="22"/>
          <w:szCs w:val="22"/>
          <w:bdr w:val="none" w:sz="0" w:space="0" w:color="auto" w:frame="1"/>
          <w:vertAlign w:val="subscript"/>
        </w:rPr>
        <w:t>v</w:t>
      </w:r>
      <w:r w:rsidRPr="005522B7">
        <w:rPr>
          <w:rFonts w:asciiTheme="majorHAnsi" w:hAnsiTheme="majorHAnsi"/>
          <w:color w:val="000000" w:themeColor="text1"/>
          <w:sz w:val="22"/>
          <w:szCs w:val="22"/>
          <w:bdr w:val="none" w:sz="0" w:space="0" w:color="auto" w:frame="1"/>
        </w:rPr>
        <w:t>) santykį padauginant iš kainos lyginamojo svorio (X):</w:t>
      </w:r>
    </w:p>
    <w:p w:rsidR="005522B7" w:rsidRPr="005522B7" w:rsidRDefault="005522B7" w:rsidP="005522B7">
      <w:pPr>
        <w:shd w:val="clear" w:color="auto" w:fill="FFFFFF"/>
        <w:ind w:firstLine="567"/>
        <w:jc w:val="both"/>
        <w:rPr>
          <w:rFonts w:asciiTheme="majorHAnsi" w:hAnsiTheme="majorHAnsi"/>
          <w:color w:val="000000" w:themeColor="text1"/>
          <w:sz w:val="22"/>
          <w:szCs w:val="22"/>
          <w:bdr w:val="none" w:sz="0" w:space="0" w:color="auto" w:frame="1"/>
        </w:rPr>
      </w:pPr>
    </w:p>
    <w:p w:rsidR="005522B7" w:rsidRPr="005522B7" w:rsidRDefault="005522B7" w:rsidP="005522B7">
      <w:pPr>
        <w:jc w:val="center"/>
        <w:rPr>
          <w:rFonts w:asciiTheme="majorHAnsi" w:hAnsiTheme="majorHAnsi"/>
          <w:color w:val="000000" w:themeColor="text1"/>
          <w:sz w:val="22"/>
          <w:szCs w:val="22"/>
          <w:bdr w:val="none" w:sz="0" w:space="0" w:color="auto" w:frame="1"/>
        </w:rPr>
      </w:pPr>
      <m:oMathPara>
        <m:oMath>
          <m:r>
            <w:rPr>
              <w:rFonts w:ascii="Cambria Math" w:hAnsi="Cambria Math"/>
              <w:color w:val="000000" w:themeColor="text1"/>
              <w:sz w:val="22"/>
              <w:szCs w:val="22"/>
              <w:bdr w:val="none" w:sz="0" w:space="0" w:color="auto" w:frame="1"/>
            </w:rPr>
            <m:t>K=</m:t>
          </m:r>
          <m:f>
            <m:fPr>
              <m:ctrlPr>
                <w:rPr>
                  <w:rFonts w:ascii="Cambria Math" w:eastAsia="Times New Roman" w:hAnsi="Cambria Math"/>
                  <w:color w:val="000000" w:themeColor="text1"/>
                  <w:sz w:val="22"/>
                  <w:szCs w:val="22"/>
                  <w:bdr w:val="none" w:sz="0" w:space="0" w:color="auto" w:frame="1"/>
                </w:rPr>
              </m:ctrlPr>
            </m:fPr>
            <m:num>
              <m:sSub>
                <m:sSubPr>
                  <m:ctrlPr>
                    <w:rPr>
                      <w:rFonts w:ascii="Cambria Math" w:eastAsia="Times New Roman" w:hAnsi="Cambria Math"/>
                      <w:i/>
                      <w:color w:val="000000" w:themeColor="text1"/>
                      <w:sz w:val="22"/>
                      <w:szCs w:val="22"/>
                      <w:bdr w:val="none" w:sz="0" w:space="0" w:color="auto" w:frame="1"/>
                    </w:rPr>
                  </m:ctrlPr>
                </m:sSubPr>
                <m:e>
                  <m:r>
                    <w:rPr>
                      <w:rFonts w:ascii="Cambria Math" w:hAnsi="Cambria Math"/>
                      <w:color w:val="000000" w:themeColor="text1"/>
                      <w:sz w:val="22"/>
                      <w:szCs w:val="22"/>
                      <w:bdr w:val="none" w:sz="0" w:space="0" w:color="auto" w:frame="1"/>
                    </w:rPr>
                    <m:t>K</m:t>
                  </m:r>
                </m:e>
                <m:sub>
                  <m:r>
                    <w:rPr>
                      <w:rFonts w:ascii="Cambria Math" w:hAnsi="Cambria Math"/>
                      <w:color w:val="000000" w:themeColor="text1"/>
                      <w:sz w:val="22"/>
                      <w:szCs w:val="22"/>
                      <w:bdr w:val="none" w:sz="0" w:space="0" w:color="auto" w:frame="1"/>
                    </w:rPr>
                    <m:t>min</m:t>
                  </m:r>
                </m:sub>
              </m:sSub>
            </m:num>
            <m:den>
              <m:sSub>
                <m:sSubPr>
                  <m:ctrlPr>
                    <w:rPr>
                      <w:rFonts w:ascii="Cambria Math" w:eastAsia="Times New Roman" w:hAnsi="Cambria Math"/>
                      <w:i/>
                      <w:color w:val="000000" w:themeColor="text1"/>
                      <w:sz w:val="22"/>
                      <w:szCs w:val="22"/>
                      <w:bdr w:val="none" w:sz="0" w:space="0" w:color="auto" w:frame="1"/>
                    </w:rPr>
                  </m:ctrlPr>
                </m:sSubPr>
                <m:e>
                  <m:r>
                    <w:rPr>
                      <w:rFonts w:ascii="Cambria Math" w:hAnsi="Cambria Math"/>
                      <w:color w:val="000000" w:themeColor="text1"/>
                      <w:sz w:val="22"/>
                      <w:szCs w:val="22"/>
                      <w:bdr w:val="none" w:sz="0" w:space="0" w:color="auto" w:frame="1"/>
                    </w:rPr>
                    <m:t>K</m:t>
                  </m:r>
                </m:e>
                <m:sub>
                  <m:r>
                    <w:rPr>
                      <w:rFonts w:ascii="Cambria Math" w:hAnsi="Cambria Math"/>
                      <w:color w:val="000000" w:themeColor="text1"/>
                      <w:sz w:val="22"/>
                      <w:szCs w:val="22"/>
                      <w:bdr w:val="none" w:sz="0" w:space="0" w:color="auto" w:frame="1"/>
                    </w:rPr>
                    <m:t>v</m:t>
                  </m:r>
                </m:sub>
              </m:sSub>
            </m:den>
          </m:f>
          <m:r>
            <w:rPr>
              <w:rFonts w:ascii="Cambria Math" w:hAnsi="Cambria Math"/>
              <w:color w:val="000000" w:themeColor="text1"/>
              <w:sz w:val="22"/>
              <w:szCs w:val="22"/>
              <w:bdr w:val="none" w:sz="0" w:space="0" w:color="auto" w:frame="1"/>
            </w:rPr>
            <m:t xml:space="preserve"> ×X</m:t>
          </m:r>
        </m:oMath>
      </m:oMathPara>
    </w:p>
    <w:p w:rsidR="005522B7" w:rsidRPr="005522B7" w:rsidRDefault="005522B7" w:rsidP="005522B7">
      <w:pPr>
        <w:ind w:firstLine="567"/>
        <w:jc w:val="both"/>
        <w:rPr>
          <w:rFonts w:asciiTheme="majorHAnsi" w:hAnsiTheme="majorHAnsi"/>
          <w:color w:val="000000" w:themeColor="text1"/>
          <w:sz w:val="22"/>
          <w:szCs w:val="22"/>
          <w:bdr w:val="none" w:sz="0" w:space="0" w:color="auto" w:frame="1"/>
          <w:lang w:val="pt-BR"/>
        </w:rPr>
      </w:pPr>
      <w:r w:rsidRPr="005522B7">
        <w:rPr>
          <w:rFonts w:asciiTheme="majorHAnsi" w:hAnsiTheme="majorHAnsi"/>
          <w:color w:val="000000" w:themeColor="text1"/>
          <w:sz w:val="22"/>
          <w:szCs w:val="22"/>
          <w:bdr w:val="none" w:sz="0" w:space="0" w:color="auto" w:frame="1"/>
          <w:lang w:val="pt-BR"/>
        </w:rPr>
        <w:t>3. Siūlomo objekto T</w:t>
      </w:r>
      <w:r w:rsidRPr="005522B7">
        <w:rPr>
          <w:rFonts w:asciiTheme="majorHAnsi" w:hAnsiTheme="majorHAnsi"/>
          <w:color w:val="000000" w:themeColor="text1"/>
          <w:sz w:val="22"/>
          <w:szCs w:val="22"/>
          <w:bdr w:val="none" w:sz="0" w:space="0" w:color="auto" w:frame="1"/>
          <w:vertAlign w:val="subscript"/>
          <w:lang w:val="pt-BR"/>
        </w:rPr>
        <w:t>i</w:t>
      </w:r>
      <w:r w:rsidRPr="005522B7">
        <w:rPr>
          <w:rFonts w:asciiTheme="majorHAnsi" w:hAnsiTheme="majorHAnsi"/>
          <w:color w:val="000000" w:themeColor="text1"/>
          <w:sz w:val="22"/>
          <w:szCs w:val="22"/>
          <w:bdr w:val="none" w:sz="0" w:space="0" w:color="auto" w:frame="1"/>
          <w:lang w:val="pt-BR"/>
        </w:rPr>
        <w:t xml:space="preserve"> techninis parametras aprašomas statiniu vertinimo būdu ir neturi skaitinių išraiškų (yra arba nėra), todėl parametro įvertinimas apskaičiuojamas pagal formulę:</w:t>
      </w:r>
    </w:p>
    <w:p w:rsidR="005522B7" w:rsidRPr="005522B7" w:rsidRDefault="005522B7" w:rsidP="005522B7">
      <w:pPr>
        <w:ind w:firstLine="1134"/>
        <w:jc w:val="both"/>
        <w:rPr>
          <w:rFonts w:asciiTheme="majorHAnsi" w:hAnsiTheme="majorHAnsi"/>
          <w:color w:val="000000" w:themeColor="text1"/>
          <w:sz w:val="22"/>
          <w:szCs w:val="22"/>
          <w:bdr w:val="none" w:sz="0" w:space="0" w:color="auto" w:frame="1"/>
          <w:lang w:val="pt-BR"/>
        </w:rPr>
      </w:pPr>
      <w:r w:rsidRPr="005522B7">
        <w:rPr>
          <w:rFonts w:asciiTheme="majorHAnsi" w:hAnsiTheme="majorHAnsi"/>
          <w:color w:val="000000" w:themeColor="text1"/>
          <w:sz w:val="22"/>
          <w:szCs w:val="22"/>
          <w:bdr w:val="none" w:sz="0" w:space="0" w:color="auto" w:frame="1"/>
          <w:lang w:val="pt-BR"/>
        </w:rPr>
        <w:t xml:space="preserve">Jei siūlomas objektas turi nurodytą pranašumą: </w:t>
      </w:r>
      <w:r w:rsidRPr="005522B7">
        <w:rPr>
          <w:rFonts w:asciiTheme="majorHAnsi" w:hAnsiTheme="majorHAnsi"/>
          <w:i/>
          <w:color w:val="000000" w:themeColor="text1"/>
          <w:sz w:val="22"/>
          <w:szCs w:val="22"/>
          <w:bdr w:val="none" w:sz="0" w:space="0" w:color="auto" w:frame="1"/>
          <w:lang w:val="pt-BR"/>
        </w:rPr>
        <w:t>T</w:t>
      </w:r>
      <w:r w:rsidRPr="005522B7">
        <w:rPr>
          <w:rFonts w:asciiTheme="majorHAnsi" w:hAnsiTheme="majorHAnsi"/>
          <w:i/>
          <w:color w:val="000000" w:themeColor="text1"/>
          <w:sz w:val="22"/>
          <w:szCs w:val="22"/>
          <w:bdr w:val="none" w:sz="0" w:space="0" w:color="auto" w:frame="1"/>
          <w:vertAlign w:val="subscript"/>
          <w:lang w:val="pt-BR"/>
        </w:rPr>
        <w:t>i</w:t>
      </w:r>
      <w:r w:rsidRPr="005522B7">
        <w:rPr>
          <w:rFonts w:asciiTheme="majorHAnsi" w:hAnsiTheme="majorHAnsi"/>
          <w:i/>
          <w:color w:val="000000" w:themeColor="text1"/>
          <w:sz w:val="22"/>
          <w:szCs w:val="22"/>
          <w:bdr w:val="none" w:sz="0" w:space="0" w:color="auto" w:frame="1"/>
          <w:lang w:val="pt-BR"/>
        </w:rPr>
        <w:t xml:space="preserve"> = L</w:t>
      </w:r>
      <w:r w:rsidRPr="005522B7">
        <w:rPr>
          <w:rFonts w:asciiTheme="majorHAnsi" w:hAnsiTheme="majorHAnsi"/>
          <w:i/>
          <w:color w:val="000000" w:themeColor="text1"/>
          <w:sz w:val="22"/>
          <w:szCs w:val="22"/>
          <w:bdr w:val="none" w:sz="0" w:space="0" w:color="auto" w:frame="1"/>
          <w:vertAlign w:val="subscript"/>
          <w:lang w:val="pt-BR"/>
        </w:rPr>
        <w:t>i</w:t>
      </w:r>
      <w:r w:rsidRPr="005522B7">
        <w:rPr>
          <w:rFonts w:asciiTheme="majorHAnsi" w:hAnsiTheme="majorHAnsi"/>
          <w:i/>
          <w:color w:val="000000" w:themeColor="text1"/>
          <w:sz w:val="22"/>
          <w:szCs w:val="22"/>
          <w:bdr w:val="none" w:sz="0" w:space="0" w:color="auto" w:frame="1"/>
          <w:lang w:val="pt-BR"/>
        </w:rPr>
        <w:t>;</w:t>
      </w:r>
    </w:p>
    <w:p w:rsidR="005522B7" w:rsidRPr="005522B7" w:rsidRDefault="005522B7" w:rsidP="005522B7">
      <w:pPr>
        <w:ind w:firstLine="1134"/>
        <w:rPr>
          <w:rFonts w:asciiTheme="majorHAnsi" w:hAnsiTheme="majorHAnsi"/>
          <w:i/>
          <w:color w:val="000000" w:themeColor="text1"/>
          <w:sz w:val="22"/>
          <w:szCs w:val="22"/>
          <w:bdr w:val="none" w:sz="0" w:space="0" w:color="auto" w:frame="1"/>
          <w:lang w:val="it-IT"/>
        </w:rPr>
      </w:pPr>
      <w:r w:rsidRPr="005522B7">
        <w:rPr>
          <w:rFonts w:asciiTheme="majorHAnsi" w:hAnsiTheme="majorHAnsi"/>
          <w:color w:val="000000" w:themeColor="text1"/>
          <w:sz w:val="22"/>
          <w:szCs w:val="22"/>
          <w:bdr w:val="none" w:sz="0" w:space="0" w:color="auto" w:frame="1"/>
          <w:lang w:val="it-IT"/>
        </w:rPr>
        <w:t xml:space="preserve">Jei siūlomas objektas neturi nurodyto pranašumo: </w:t>
      </w:r>
      <w:r w:rsidRPr="005522B7">
        <w:rPr>
          <w:rFonts w:asciiTheme="majorHAnsi" w:hAnsiTheme="majorHAnsi"/>
          <w:i/>
          <w:color w:val="000000" w:themeColor="text1"/>
          <w:sz w:val="22"/>
          <w:szCs w:val="22"/>
          <w:bdr w:val="none" w:sz="0" w:space="0" w:color="auto" w:frame="1"/>
          <w:lang w:val="it-IT"/>
        </w:rPr>
        <w:t>T</w:t>
      </w:r>
      <w:r w:rsidRPr="005522B7">
        <w:rPr>
          <w:rFonts w:asciiTheme="majorHAnsi" w:hAnsiTheme="majorHAnsi"/>
          <w:i/>
          <w:color w:val="000000" w:themeColor="text1"/>
          <w:sz w:val="22"/>
          <w:szCs w:val="22"/>
          <w:bdr w:val="none" w:sz="0" w:space="0" w:color="auto" w:frame="1"/>
          <w:vertAlign w:val="subscript"/>
          <w:lang w:val="it-IT"/>
        </w:rPr>
        <w:t>i</w:t>
      </w:r>
      <w:r w:rsidRPr="005522B7">
        <w:rPr>
          <w:rFonts w:asciiTheme="majorHAnsi" w:hAnsiTheme="majorHAnsi"/>
          <w:i/>
          <w:color w:val="000000" w:themeColor="text1"/>
          <w:sz w:val="22"/>
          <w:szCs w:val="22"/>
          <w:bdr w:val="none" w:sz="0" w:space="0" w:color="auto" w:frame="1"/>
          <w:lang w:val="it-IT"/>
        </w:rPr>
        <w:t xml:space="preserve"> = L</w:t>
      </w:r>
      <w:r w:rsidRPr="005522B7">
        <w:rPr>
          <w:rFonts w:asciiTheme="majorHAnsi" w:hAnsiTheme="majorHAnsi"/>
          <w:i/>
          <w:color w:val="000000" w:themeColor="text1"/>
          <w:sz w:val="22"/>
          <w:szCs w:val="22"/>
          <w:bdr w:val="none" w:sz="0" w:space="0" w:color="auto" w:frame="1"/>
          <w:vertAlign w:val="subscript"/>
          <w:lang w:val="it-IT"/>
        </w:rPr>
        <w:t>i</w:t>
      </w:r>
      <w:r w:rsidRPr="005522B7">
        <w:rPr>
          <w:rFonts w:asciiTheme="majorHAnsi" w:hAnsiTheme="majorHAnsi"/>
          <w:i/>
          <w:color w:val="000000" w:themeColor="text1"/>
          <w:sz w:val="22"/>
          <w:szCs w:val="22"/>
          <w:bdr w:val="none" w:sz="0" w:space="0" w:color="auto" w:frame="1"/>
          <w:lang w:val="it-IT"/>
        </w:rPr>
        <w:t>= 0;</w:t>
      </w:r>
    </w:p>
    <w:p w:rsidR="005522B7" w:rsidRPr="005522B7" w:rsidRDefault="005522B7" w:rsidP="005522B7">
      <w:pPr>
        <w:shd w:val="clear" w:color="auto" w:fill="FFFFFF"/>
        <w:ind w:firstLine="567"/>
        <w:jc w:val="both"/>
        <w:rPr>
          <w:rFonts w:asciiTheme="majorHAnsi" w:hAnsiTheme="majorHAnsi"/>
          <w:color w:val="000000" w:themeColor="text1"/>
          <w:sz w:val="22"/>
          <w:szCs w:val="22"/>
          <w:bdr w:val="none" w:sz="0" w:space="0" w:color="auto" w:frame="1"/>
          <w:lang w:val="it-IT"/>
        </w:rPr>
      </w:pPr>
      <w:r w:rsidRPr="005522B7">
        <w:rPr>
          <w:rFonts w:asciiTheme="majorHAnsi" w:hAnsiTheme="majorHAnsi"/>
          <w:color w:val="000000" w:themeColor="text1"/>
          <w:sz w:val="22"/>
          <w:szCs w:val="22"/>
          <w:bdr w:val="none" w:sz="0" w:space="0" w:color="auto" w:frame="1"/>
          <w:lang w:val="it-IT"/>
        </w:rPr>
        <w:t>Techninių pranašumų (T) balai apskaičiuojami visų techninių kriterijų parametrų įvertinimų sumą padauginant iš techninių pranašumų lyginamojo svorio (Y):</w:t>
      </w:r>
    </w:p>
    <w:p w:rsidR="005522B7" w:rsidRPr="005522B7" w:rsidRDefault="005522B7" w:rsidP="005522B7">
      <w:pPr>
        <w:shd w:val="clear" w:color="auto" w:fill="FFFFFF"/>
        <w:ind w:firstLine="567"/>
        <w:jc w:val="both"/>
        <w:rPr>
          <w:rFonts w:asciiTheme="majorHAnsi" w:hAnsiTheme="majorHAnsi"/>
          <w:color w:val="000000" w:themeColor="text1"/>
          <w:sz w:val="22"/>
          <w:szCs w:val="22"/>
          <w:bdr w:val="none" w:sz="0" w:space="0" w:color="auto" w:frame="1"/>
          <w:lang w:val="it-IT"/>
        </w:rPr>
      </w:pPr>
    </w:p>
    <w:p w:rsidR="005522B7" w:rsidRPr="005522B7" w:rsidRDefault="005522B7" w:rsidP="005522B7">
      <w:pPr>
        <w:jc w:val="center"/>
        <w:rPr>
          <w:rFonts w:asciiTheme="majorHAnsi" w:hAnsiTheme="majorHAnsi"/>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21</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5522B7" w:rsidRPr="005522B7" w:rsidRDefault="005522B7" w:rsidP="005522B7">
      <w:pPr>
        <w:pStyle w:val="Skaiiai2lygis"/>
        <w:numPr>
          <w:ilvl w:val="0"/>
          <w:numId w:val="0"/>
        </w:numPr>
        <w:tabs>
          <w:tab w:val="left" w:pos="1296"/>
        </w:tabs>
        <w:ind w:firstLine="426"/>
        <w:rPr>
          <w:rFonts w:asciiTheme="majorHAnsi" w:eastAsia="Calibri" w:hAnsiTheme="majorHAnsi"/>
          <w:color w:val="000000" w:themeColor="text1"/>
        </w:rPr>
      </w:pPr>
      <w:r w:rsidRPr="005522B7">
        <w:rPr>
          <w:rFonts w:asciiTheme="majorHAnsi" w:hAnsiTheme="majorHAnsi"/>
          <w:color w:val="000000" w:themeColor="text1"/>
          <w:lang w:bidi="hi-IN"/>
        </w:rPr>
        <w:t>Laimėjusiu pasiūlymu bus pripažintas visus pirkimo dokumentuose nustatytus reikalavimus atitinkantis pasiūlymas, kurio ekonominis naudingumas (E) yra didžiausias.</w:t>
      </w:r>
    </w:p>
    <w:p w:rsidR="005522B7" w:rsidRPr="005522B7" w:rsidRDefault="005522B7" w:rsidP="005522B7">
      <w:pPr>
        <w:pStyle w:val="Skaiiai2lygis"/>
        <w:numPr>
          <w:ilvl w:val="0"/>
          <w:numId w:val="0"/>
        </w:numPr>
        <w:tabs>
          <w:tab w:val="left" w:pos="1296"/>
        </w:tabs>
        <w:ind w:firstLine="426"/>
        <w:rPr>
          <w:rFonts w:asciiTheme="majorHAnsi" w:hAnsiTheme="majorHAnsi"/>
          <w:color w:val="000000" w:themeColor="text1"/>
        </w:rPr>
      </w:pPr>
      <w:r w:rsidRPr="005522B7">
        <w:rPr>
          <w:rFonts w:asciiTheme="majorHAnsi" w:eastAsia="Calibri" w:hAnsiTheme="majorHAnsi"/>
          <w:color w:val="000000" w:themeColor="text1"/>
        </w:rPr>
        <w:t>Tais atvejais, kai kelių dalyvių pasiūlymų ekonominis naudingumas (E) yra vienodas, nustatant pasiūlymų eilę, pirmesnis į šią eilę įrašomas dalyvis, kurio pasiūlymas pateiktas anksčiausiai.</w:t>
      </w:r>
      <w:r w:rsidRPr="005522B7">
        <w:rPr>
          <w:rFonts w:asciiTheme="majorHAnsi" w:hAnsiTheme="majorHAnsi"/>
          <w:color w:val="000000" w:themeColor="text1"/>
        </w:rPr>
        <w:t xml:space="preserve"> </w:t>
      </w:r>
    </w:p>
    <w:p w:rsidR="0022636B" w:rsidRPr="005522B7" w:rsidRDefault="0022636B" w:rsidP="003714C3">
      <w:pPr>
        <w:tabs>
          <w:tab w:val="left" w:pos="851"/>
        </w:tabs>
        <w:suppressAutoHyphens/>
        <w:ind w:firstLine="1276"/>
        <w:jc w:val="both"/>
        <w:rPr>
          <w:rFonts w:asciiTheme="majorHAnsi" w:hAnsiTheme="majorHAnsi"/>
          <w:sz w:val="22"/>
          <w:szCs w:val="22"/>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lastRenderedPageBreak/>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 xml:space="preserve">nuo dienos, </w:t>
      </w:r>
      <w:r w:rsidRPr="003714C3">
        <w:rPr>
          <w:rFonts w:asciiTheme="majorHAnsi" w:hAnsiTheme="majorHAnsi" w:cs="Times New Roman"/>
          <w:lang w:val="es-ES_tradnl"/>
        </w:rPr>
        <w:lastRenderedPageBreak/>
        <w:t>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 xml:space="preserve">17.3.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22636B" w:rsidRDefault="00B50198" w:rsidP="00B50198">
      <w:pPr>
        <w:pStyle w:val="Body2"/>
        <w:rPr>
          <w:rFonts w:asciiTheme="majorHAnsi" w:hAnsiTheme="majorHAnsi"/>
          <w:sz w:val="20"/>
          <w:szCs w:val="20"/>
        </w:rPr>
      </w:pPr>
    </w:p>
    <w:p w:rsidR="005F63F3" w:rsidRPr="003714C3" w:rsidRDefault="005F63F3" w:rsidP="00B50198">
      <w:pPr>
        <w:pStyle w:val="Body2"/>
        <w:rPr>
          <w:rFonts w:asciiTheme="majorHAnsi" w:hAnsiTheme="majorHAnsi"/>
        </w:rPr>
      </w:pPr>
    </w:p>
    <w:p w:rsidR="0022636B" w:rsidRDefault="0022636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3F0374">
        <w:rPr>
          <w:rFonts w:asciiTheme="majorHAnsi" w:hAnsiTheme="majorHAnsi"/>
          <w:b/>
          <w:bCs/>
          <w:sz w:val="22"/>
          <w:szCs w:val="22"/>
          <w:lang w:val="lt-LT"/>
        </w:rPr>
        <w:t xml:space="preserve">DIDELIO EFEKTYVUMO SKYSČIŲ CHROMATOGRAFIJOS – MASIŲ SPEKTROMETRIJOS SISTEMOS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303"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4113"/>
        <w:gridCol w:w="2127"/>
        <w:gridCol w:w="1843"/>
        <w:gridCol w:w="1414"/>
      </w:tblGrid>
      <w:tr w:rsidR="00D47DD8" w:rsidRPr="003714C3" w:rsidTr="0022636B">
        <w:trPr>
          <w:trHeight w:val="20"/>
        </w:trPr>
        <w:tc>
          <w:tcPr>
            <w:tcW w:w="347"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5"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638"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22636B">
        <w:trPr>
          <w:trHeight w:val="20"/>
        </w:trPr>
        <w:tc>
          <w:tcPr>
            <w:tcW w:w="347" w:type="pct"/>
            <w:vMerge/>
            <w:shd w:val="clear" w:color="auto" w:fill="auto"/>
          </w:tcPr>
          <w:p w:rsidR="00D47DD8" w:rsidRPr="003714C3" w:rsidRDefault="00D47DD8" w:rsidP="00516691">
            <w:pPr>
              <w:jc w:val="center"/>
              <w:rPr>
                <w:rFonts w:asciiTheme="majorHAnsi" w:hAnsiTheme="majorHAnsi"/>
                <w:b/>
                <w:sz w:val="22"/>
                <w:szCs w:val="22"/>
              </w:rPr>
            </w:pPr>
          </w:p>
        </w:tc>
        <w:tc>
          <w:tcPr>
            <w:tcW w:w="2015"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042"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596"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22636B">
        <w:trPr>
          <w:trHeight w:val="20"/>
        </w:trPr>
        <w:tc>
          <w:tcPr>
            <w:tcW w:w="347" w:type="pct"/>
            <w:vMerge/>
            <w:shd w:val="clear" w:color="auto" w:fill="auto"/>
          </w:tcPr>
          <w:p w:rsidR="00D47DD8" w:rsidRPr="003714C3" w:rsidRDefault="00D47DD8" w:rsidP="00516691">
            <w:pPr>
              <w:jc w:val="center"/>
              <w:rPr>
                <w:rFonts w:asciiTheme="majorHAnsi" w:hAnsiTheme="majorHAnsi"/>
                <w:b/>
                <w:sz w:val="22"/>
                <w:szCs w:val="22"/>
              </w:rPr>
            </w:pPr>
          </w:p>
        </w:tc>
        <w:tc>
          <w:tcPr>
            <w:tcW w:w="2015"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042" w:type="pct"/>
            <w:vMerge/>
          </w:tcPr>
          <w:p w:rsidR="00D47DD8" w:rsidRPr="003714C3" w:rsidRDefault="00D47DD8" w:rsidP="00516691">
            <w:pPr>
              <w:jc w:val="center"/>
              <w:rPr>
                <w:rFonts w:asciiTheme="majorHAnsi" w:hAnsiTheme="majorHAnsi"/>
                <w:sz w:val="22"/>
                <w:szCs w:val="22"/>
              </w:rPr>
            </w:pPr>
          </w:p>
        </w:tc>
        <w:tc>
          <w:tcPr>
            <w:tcW w:w="903"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3"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10194" w:type="dxa"/>
        <w:tblInd w:w="-572" w:type="dxa"/>
        <w:tblLook w:val="04A0" w:firstRow="1" w:lastRow="0" w:firstColumn="1" w:lastColumn="0" w:noHBand="0" w:noVBand="1"/>
      </w:tblPr>
      <w:tblGrid>
        <w:gridCol w:w="709"/>
        <w:gridCol w:w="4111"/>
        <w:gridCol w:w="2126"/>
        <w:gridCol w:w="1843"/>
        <w:gridCol w:w="1405"/>
      </w:tblGrid>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4111" w:type="dxa"/>
            <w:shd w:val="clear" w:color="auto" w:fill="auto"/>
            <w:vAlign w:val="center"/>
          </w:tcPr>
          <w:p w:rsidR="003F0374" w:rsidRPr="003F0374" w:rsidRDefault="003F0374" w:rsidP="003F0374">
            <w:pPr>
              <w:jc w:val="both"/>
              <w:rPr>
                <w:rFonts w:asciiTheme="majorHAnsi" w:hAnsiTheme="majorHAnsi"/>
                <w:color w:val="000000" w:themeColor="text1"/>
                <w:sz w:val="22"/>
                <w:szCs w:val="22"/>
              </w:rPr>
            </w:pPr>
            <w:r w:rsidRPr="003F0374">
              <w:rPr>
                <w:rFonts w:asciiTheme="majorHAnsi" w:hAnsiTheme="majorHAnsi"/>
                <w:color w:val="000000"/>
                <w:sz w:val="22"/>
                <w:szCs w:val="22"/>
              </w:rPr>
              <w:t>Funkcija, užtikrinanti tirpiklių kondicionavimą kolonų termostate</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4111" w:type="dxa"/>
            <w:shd w:val="clear" w:color="auto" w:fill="auto"/>
            <w:vAlign w:val="center"/>
          </w:tcPr>
          <w:p w:rsidR="003F0374" w:rsidRPr="003F0374" w:rsidRDefault="003F0374" w:rsidP="003F0374">
            <w:pPr>
              <w:jc w:val="both"/>
              <w:rPr>
                <w:rFonts w:asciiTheme="majorHAnsi" w:hAnsiTheme="majorHAnsi"/>
                <w:color w:val="000000"/>
                <w:sz w:val="22"/>
                <w:szCs w:val="22"/>
              </w:rPr>
            </w:pPr>
            <w:r w:rsidRPr="003F0374">
              <w:rPr>
                <w:rFonts w:asciiTheme="majorHAnsi" w:hAnsiTheme="majorHAnsi"/>
                <w:color w:val="000000" w:themeColor="text1"/>
                <w:sz w:val="22"/>
                <w:szCs w:val="22"/>
              </w:rPr>
              <w:t>Funkcija, stebinti ir sauganti bet kurio gamintojo analitinės kolonos naudojimo istoriją</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3</w:t>
            </w:r>
          </w:p>
        </w:tc>
        <w:tc>
          <w:tcPr>
            <w:tcW w:w="4111" w:type="dxa"/>
            <w:shd w:val="clear" w:color="auto" w:fill="auto"/>
            <w:vAlign w:val="center"/>
          </w:tcPr>
          <w:p w:rsidR="003F0374" w:rsidRPr="003F0374" w:rsidRDefault="003F0374" w:rsidP="003F0374">
            <w:pPr>
              <w:jc w:val="both"/>
              <w:rPr>
                <w:rFonts w:asciiTheme="majorHAnsi" w:hAnsiTheme="majorHAnsi"/>
                <w:color w:val="000000"/>
                <w:sz w:val="22"/>
                <w:szCs w:val="22"/>
              </w:rPr>
            </w:pPr>
            <w:r w:rsidRPr="003F0374">
              <w:rPr>
                <w:rFonts w:asciiTheme="majorHAnsi" w:hAnsiTheme="majorHAnsi"/>
                <w:color w:val="000000"/>
                <w:sz w:val="22"/>
                <w:szCs w:val="22"/>
              </w:rPr>
              <w:t>Įtariant tikslinės analitės buvimą mėginyje atlikus greitos analizės metodą (angl. screening), sistema automatiškai inicijuoja to paties mėginio analizę pagrindiniu tikslinės analitės identifikacijos metodu</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4</w:t>
            </w:r>
          </w:p>
        </w:tc>
        <w:tc>
          <w:tcPr>
            <w:tcW w:w="4111" w:type="dxa"/>
            <w:shd w:val="clear" w:color="auto" w:fill="auto"/>
            <w:vAlign w:val="center"/>
          </w:tcPr>
          <w:p w:rsidR="003F0374" w:rsidRPr="003F0374" w:rsidRDefault="003F0374" w:rsidP="003F0374">
            <w:pPr>
              <w:jc w:val="both"/>
              <w:rPr>
                <w:rFonts w:asciiTheme="majorHAnsi" w:hAnsiTheme="majorHAnsi"/>
                <w:color w:val="000000"/>
                <w:sz w:val="22"/>
                <w:szCs w:val="22"/>
              </w:rPr>
            </w:pPr>
            <w:r w:rsidRPr="003F0374">
              <w:rPr>
                <w:rFonts w:asciiTheme="majorHAnsi" w:hAnsiTheme="majorHAnsi"/>
                <w:color w:val="000000"/>
                <w:sz w:val="22"/>
                <w:szCs w:val="22"/>
              </w:rPr>
              <w:t>Automatinė mėginio pernašos (angl. carryover) apsauga įskaitant galimybę sistemoje numatyti sekos stabdymo parametrą (-us) / kriterijų (-us)</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5</w:t>
            </w:r>
          </w:p>
        </w:tc>
        <w:tc>
          <w:tcPr>
            <w:tcW w:w="4111" w:type="dxa"/>
            <w:shd w:val="clear" w:color="auto" w:fill="auto"/>
            <w:vAlign w:val="center"/>
          </w:tcPr>
          <w:p w:rsidR="003F0374" w:rsidRPr="003F0374" w:rsidRDefault="003F0374" w:rsidP="003F0374">
            <w:pPr>
              <w:jc w:val="both"/>
              <w:rPr>
                <w:rFonts w:asciiTheme="majorHAnsi" w:hAnsiTheme="majorHAnsi"/>
                <w:color w:val="000000"/>
                <w:sz w:val="22"/>
                <w:szCs w:val="22"/>
              </w:rPr>
            </w:pPr>
            <w:r w:rsidRPr="003F0374">
              <w:rPr>
                <w:rFonts w:asciiTheme="majorHAnsi" w:hAnsiTheme="majorHAnsi"/>
                <w:color w:val="000000"/>
                <w:sz w:val="22"/>
                <w:szCs w:val="22"/>
              </w:rPr>
              <w:t>Funkcija, savarankiškai tikrinanti esamą eliuentų kiekį ir pateikianti perspėjimą, kai bent vieno iš naudojamų metode eliuento likęs kiekis yra mažesnis nei programinėje įrangoje nustatyta eliuento kiekio minimali riba</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6</w:t>
            </w:r>
          </w:p>
        </w:tc>
        <w:tc>
          <w:tcPr>
            <w:tcW w:w="4111" w:type="dxa"/>
            <w:shd w:val="clear" w:color="auto" w:fill="auto"/>
            <w:vAlign w:val="center"/>
          </w:tcPr>
          <w:p w:rsidR="003F0374" w:rsidRPr="003F0374" w:rsidRDefault="003F0374" w:rsidP="003F0374">
            <w:pPr>
              <w:jc w:val="both"/>
              <w:rPr>
                <w:rFonts w:asciiTheme="majorHAnsi" w:hAnsiTheme="majorHAnsi"/>
                <w:color w:val="000000"/>
                <w:sz w:val="22"/>
                <w:szCs w:val="22"/>
              </w:rPr>
            </w:pPr>
            <w:r w:rsidRPr="003F0374">
              <w:rPr>
                <w:rFonts w:asciiTheme="majorHAnsi" w:hAnsiTheme="majorHAnsi"/>
                <w:color w:val="000000"/>
                <w:sz w:val="22"/>
                <w:szCs w:val="22"/>
              </w:rPr>
              <w:t>Automatinė mažesnio kiekio mėginio injekcija aptikus, jog analitė viršija kalibracinės kreivės diapazoną</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7</w:t>
            </w:r>
          </w:p>
        </w:tc>
        <w:tc>
          <w:tcPr>
            <w:tcW w:w="4111" w:type="dxa"/>
            <w:shd w:val="clear" w:color="auto" w:fill="auto"/>
            <w:vAlign w:val="center"/>
          </w:tcPr>
          <w:p w:rsidR="003F0374" w:rsidRPr="003F0374" w:rsidRDefault="003F0374" w:rsidP="003F0374">
            <w:pPr>
              <w:jc w:val="both"/>
              <w:rPr>
                <w:rFonts w:asciiTheme="majorHAnsi" w:hAnsiTheme="majorHAnsi"/>
                <w:color w:val="000000" w:themeColor="text1"/>
                <w:sz w:val="22"/>
                <w:szCs w:val="22"/>
              </w:rPr>
            </w:pPr>
            <w:r w:rsidRPr="003F0374">
              <w:rPr>
                <w:rFonts w:asciiTheme="majorHAnsi" w:hAnsiTheme="majorHAnsi"/>
                <w:color w:val="000000" w:themeColor="text1"/>
                <w:sz w:val="22"/>
                <w:szCs w:val="22"/>
              </w:rPr>
              <w:t>Instrumento detekcijos riba (IDL)</w:t>
            </w:r>
          </w:p>
          <w:p w:rsidR="003F0374" w:rsidRPr="003F0374" w:rsidRDefault="003F0374" w:rsidP="003F0374">
            <w:pPr>
              <w:jc w:val="both"/>
              <w:rPr>
                <w:rFonts w:asciiTheme="majorHAnsi" w:eastAsia="Times New Roman" w:hAnsiTheme="majorHAnsi"/>
                <w:color w:val="000000" w:themeColor="text1"/>
                <w:sz w:val="22"/>
                <w:szCs w:val="22"/>
              </w:rPr>
            </w:pPr>
            <w:r w:rsidRPr="003F0374">
              <w:rPr>
                <w:rFonts w:asciiTheme="majorHAnsi" w:eastAsia="Times New Roman" w:hAnsiTheme="majorHAnsi"/>
                <w:color w:val="000000" w:themeColor="text1"/>
                <w:sz w:val="22"/>
                <w:szCs w:val="22"/>
              </w:rPr>
              <w:t>≤ 5 fg teigiamoje ir neigiamoje jonizacijoje injekuojant ne daugiau nei 10 fg analitės (rezerpino, chloramfenikolio)</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8</w:t>
            </w:r>
          </w:p>
        </w:tc>
        <w:tc>
          <w:tcPr>
            <w:tcW w:w="4111" w:type="dxa"/>
            <w:shd w:val="clear" w:color="auto" w:fill="auto"/>
            <w:vAlign w:val="center"/>
          </w:tcPr>
          <w:p w:rsidR="003F0374" w:rsidRPr="003F0374" w:rsidRDefault="003F0374" w:rsidP="003F0374">
            <w:pPr>
              <w:jc w:val="both"/>
              <w:rPr>
                <w:rFonts w:asciiTheme="majorHAnsi" w:hAnsiTheme="majorHAnsi"/>
                <w:color w:val="000000" w:themeColor="text1"/>
                <w:sz w:val="22"/>
                <w:szCs w:val="22"/>
              </w:rPr>
            </w:pPr>
            <w:r w:rsidRPr="003F0374">
              <w:rPr>
                <w:rFonts w:asciiTheme="majorHAnsi" w:hAnsiTheme="majorHAnsi"/>
                <w:color w:val="000000" w:themeColor="text1"/>
                <w:sz w:val="22"/>
                <w:szCs w:val="22"/>
              </w:rPr>
              <w:t xml:space="preserve">Trumpiausias galimas matavimo laikas vienai tranzicijai (angl. dwell time) </w:t>
            </w:r>
            <w:r w:rsidRPr="003F0374">
              <w:rPr>
                <w:rFonts w:asciiTheme="majorHAnsi" w:eastAsia="Times New Roman" w:hAnsiTheme="majorHAnsi"/>
                <w:color w:val="000000" w:themeColor="text1"/>
                <w:sz w:val="22"/>
                <w:szCs w:val="22"/>
              </w:rPr>
              <w:t xml:space="preserve">≤ </w:t>
            </w:r>
            <w:r w:rsidRPr="003F0374">
              <w:rPr>
                <w:rFonts w:asciiTheme="majorHAnsi" w:hAnsiTheme="majorHAnsi"/>
                <w:color w:val="000000" w:themeColor="text1"/>
                <w:sz w:val="22"/>
                <w:szCs w:val="22"/>
              </w:rPr>
              <w:t>0,6 ms</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9</w:t>
            </w:r>
          </w:p>
        </w:tc>
        <w:tc>
          <w:tcPr>
            <w:tcW w:w="4111" w:type="dxa"/>
            <w:shd w:val="clear" w:color="auto" w:fill="auto"/>
            <w:vAlign w:val="center"/>
          </w:tcPr>
          <w:p w:rsidR="003F0374" w:rsidRPr="003F0374" w:rsidRDefault="003F0374" w:rsidP="003F0374">
            <w:pPr>
              <w:jc w:val="both"/>
              <w:rPr>
                <w:rFonts w:asciiTheme="majorHAnsi" w:hAnsiTheme="majorHAnsi"/>
                <w:color w:val="000000" w:themeColor="text1"/>
                <w:sz w:val="22"/>
                <w:szCs w:val="22"/>
              </w:rPr>
            </w:pPr>
            <w:r w:rsidRPr="003F0374">
              <w:rPr>
                <w:rFonts w:asciiTheme="majorHAnsi" w:hAnsiTheme="majorHAnsi"/>
                <w:color w:val="000000" w:themeColor="text1"/>
                <w:sz w:val="22"/>
                <w:szCs w:val="22"/>
              </w:rPr>
              <w:t xml:space="preserve">Maksimalus MRM tranzicijų skaičius metode </w:t>
            </w:r>
            <w:r w:rsidRPr="003F0374">
              <w:rPr>
                <w:rFonts w:asciiTheme="majorHAnsi" w:eastAsia="Times New Roman" w:hAnsiTheme="majorHAnsi"/>
                <w:color w:val="000000" w:themeColor="text1"/>
                <w:sz w:val="22"/>
                <w:szCs w:val="22"/>
              </w:rPr>
              <w:t>≥ 10000</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lastRenderedPageBreak/>
              <w:t>T</w:t>
            </w:r>
            <w:r w:rsidRPr="003F0374">
              <w:rPr>
                <w:rFonts w:ascii="Cambria" w:hAnsi="Cambria"/>
                <w:color w:val="000000" w:themeColor="text1"/>
                <w:sz w:val="22"/>
                <w:szCs w:val="22"/>
                <w:vertAlign w:val="subscript"/>
              </w:rPr>
              <w:t>10</w:t>
            </w:r>
          </w:p>
        </w:tc>
        <w:tc>
          <w:tcPr>
            <w:tcW w:w="4111" w:type="dxa"/>
            <w:shd w:val="clear" w:color="auto" w:fill="auto"/>
            <w:vAlign w:val="center"/>
          </w:tcPr>
          <w:p w:rsidR="003F0374" w:rsidRPr="003F0374" w:rsidRDefault="003F0374" w:rsidP="003F0374">
            <w:pPr>
              <w:jc w:val="both"/>
              <w:rPr>
                <w:rFonts w:asciiTheme="majorHAnsi" w:hAnsiTheme="majorHAnsi"/>
                <w:color w:val="000000" w:themeColor="text1"/>
                <w:sz w:val="22"/>
                <w:szCs w:val="22"/>
              </w:rPr>
            </w:pPr>
            <w:r w:rsidRPr="003F0374">
              <w:rPr>
                <w:rFonts w:asciiTheme="majorHAnsi" w:hAnsiTheme="majorHAnsi"/>
                <w:color w:val="000000" w:themeColor="text1"/>
                <w:sz w:val="22"/>
                <w:szCs w:val="22"/>
              </w:rPr>
              <w:t xml:space="preserve">Maksimalus MRM tranzicijų skaičius segmente </w:t>
            </w:r>
            <w:r w:rsidRPr="003F0374">
              <w:rPr>
                <w:rFonts w:asciiTheme="majorHAnsi" w:eastAsia="Times New Roman" w:hAnsiTheme="majorHAnsi"/>
                <w:color w:val="000000" w:themeColor="text1"/>
                <w:sz w:val="22"/>
                <w:szCs w:val="22"/>
              </w:rPr>
              <w:t>≥ 100 neribojant segmentų skaičiaus metode</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11</w:t>
            </w:r>
          </w:p>
        </w:tc>
        <w:tc>
          <w:tcPr>
            <w:tcW w:w="4111" w:type="dxa"/>
            <w:shd w:val="clear" w:color="auto" w:fill="auto"/>
            <w:vAlign w:val="center"/>
          </w:tcPr>
          <w:p w:rsidR="003F0374" w:rsidRPr="003F0374" w:rsidRDefault="003F0374" w:rsidP="003F0374">
            <w:pPr>
              <w:jc w:val="both"/>
              <w:rPr>
                <w:rFonts w:asciiTheme="majorHAnsi" w:hAnsiTheme="majorHAnsi"/>
                <w:color w:val="000000" w:themeColor="text1"/>
                <w:sz w:val="22"/>
                <w:szCs w:val="22"/>
              </w:rPr>
            </w:pPr>
            <w:r w:rsidRPr="003F0374">
              <w:rPr>
                <w:rFonts w:asciiTheme="majorHAnsi" w:hAnsiTheme="majorHAnsi"/>
                <w:color w:val="000000" w:themeColor="text1"/>
                <w:sz w:val="22"/>
                <w:szCs w:val="22"/>
              </w:rPr>
              <w:t>Dinaminės (pagal laiko segmentus) MRM analizės metu automatiškai palaikomas pastovus ciklo laikas net kai tranzicijų skaičius segmente kinta</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12</w:t>
            </w:r>
          </w:p>
        </w:tc>
        <w:tc>
          <w:tcPr>
            <w:tcW w:w="4111" w:type="dxa"/>
            <w:shd w:val="clear" w:color="auto" w:fill="auto"/>
            <w:vAlign w:val="center"/>
          </w:tcPr>
          <w:p w:rsidR="003F0374" w:rsidRPr="003F0374" w:rsidRDefault="003F0374" w:rsidP="003F0374">
            <w:pPr>
              <w:jc w:val="both"/>
              <w:rPr>
                <w:rFonts w:asciiTheme="majorHAnsi" w:hAnsiTheme="majorHAnsi"/>
                <w:color w:val="000000" w:themeColor="text1"/>
                <w:sz w:val="22"/>
                <w:szCs w:val="22"/>
              </w:rPr>
            </w:pPr>
            <w:r w:rsidRPr="003F0374">
              <w:rPr>
                <w:rFonts w:asciiTheme="majorHAnsi" w:eastAsia="Times New Roman" w:hAnsiTheme="majorHAnsi"/>
                <w:sz w:val="22"/>
                <w:szCs w:val="22"/>
              </w:rPr>
              <w:t>Sistema turi palaikyti automatinio masių spektrometro optimizavimo (angl. autotune/checktune) planavimą, kuris būtų vykdomas periodiškai pagal kalendoriaus grafiką be operatoriaus įsikišimo, užtikrinant visada darbui parengtą prietaisą</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13</w:t>
            </w:r>
          </w:p>
        </w:tc>
        <w:tc>
          <w:tcPr>
            <w:tcW w:w="4111" w:type="dxa"/>
            <w:shd w:val="clear" w:color="auto" w:fill="auto"/>
            <w:vAlign w:val="center"/>
          </w:tcPr>
          <w:p w:rsidR="003F0374" w:rsidRPr="003F0374" w:rsidRDefault="003F0374" w:rsidP="003F0374">
            <w:pPr>
              <w:jc w:val="both"/>
              <w:rPr>
                <w:rFonts w:asciiTheme="majorHAnsi" w:eastAsia="Times New Roman" w:hAnsiTheme="majorHAnsi"/>
                <w:sz w:val="22"/>
                <w:szCs w:val="22"/>
              </w:rPr>
            </w:pPr>
            <w:r w:rsidRPr="003F0374">
              <w:rPr>
                <w:rFonts w:asciiTheme="majorHAnsi" w:eastAsia="Times New Roman" w:hAnsiTheme="majorHAnsi"/>
                <w:sz w:val="22"/>
                <w:szCs w:val="22"/>
              </w:rPr>
              <w:t>Masių spektrometras turi turėti iš anksto sukonfigūruotus optimizavimo režimus, pritaikytus skirtingiems taikymams. Vartotojas turi turėti galimybę pasirinkti prietaiso optimizavimo režimą pagal analizės pobūdį, atsižvelgiant į tokius kriterijus kaip analizuojamų junginių masės sritis, molekulių stabilumas bei jonizacijos poliariškumas</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14</w:t>
            </w:r>
          </w:p>
        </w:tc>
        <w:tc>
          <w:tcPr>
            <w:tcW w:w="4111" w:type="dxa"/>
            <w:shd w:val="clear" w:color="auto" w:fill="auto"/>
            <w:vAlign w:val="center"/>
          </w:tcPr>
          <w:p w:rsidR="003F0374" w:rsidRPr="003F0374" w:rsidRDefault="003F0374" w:rsidP="003F0374">
            <w:pPr>
              <w:jc w:val="both"/>
              <w:rPr>
                <w:rFonts w:asciiTheme="majorHAnsi" w:eastAsia="Times New Roman" w:hAnsiTheme="majorHAnsi"/>
                <w:sz w:val="22"/>
                <w:szCs w:val="22"/>
              </w:rPr>
            </w:pPr>
            <w:r w:rsidRPr="003F0374">
              <w:rPr>
                <w:rFonts w:asciiTheme="majorHAnsi" w:eastAsia="Times New Roman" w:hAnsiTheme="majorHAnsi"/>
                <w:color w:val="000000" w:themeColor="text1"/>
                <w:sz w:val="22"/>
                <w:szCs w:val="22"/>
              </w:rPr>
              <w:t>Nustatomų masių intervalas ≥ 2500 m/z</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15</w:t>
            </w:r>
          </w:p>
        </w:tc>
        <w:tc>
          <w:tcPr>
            <w:tcW w:w="4111" w:type="dxa"/>
            <w:shd w:val="clear" w:color="auto" w:fill="auto"/>
            <w:vAlign w:val="center"/>
          </w:tcPr>
          <w:p w:rsidR="003F0374" w:rsidRPr="003F0374" w:rsidRDefault="003F0374" w:rsidP="003F0374">
            <w:pPr>
              <w:jc w:val="both"/>
              <w:rPr>
                <w:rFonts w:asciiTheme="majorHAnsi" w:eastAsia="Times New Roman" w:hAnsiTheme="majorHAnsi"/>
                <w:sz w:val="22"/>
                <w:szCs w:val="22"/>
              </w:rPr>
            </w:pPr>
            <w:r w:rsidRPr="003F0374">
              <w:rPr>
                <w:rFonts w:asciiTheme="majorHAnsi" w:eastAsia="Times New Roman" w:hAnsiTheme="majorHAnsi"/>
                <w:color w:val="000000" w:themeColor="text1"/>
                <w:sz w:val="22"/>
                <w:szCs w:val="22"/>
              </w:rPr>
              <w:t>Injekcijos pernaša ≤ 0,001 %</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16</w:t>
            </w:r>
          </w:p>
        </w:tc>
        <w:tc>
          <w:tcPr>
            <w:tcW w:w="4111" w:type="dxa"/>
            <w:shd w:val="clear" w:color="auto" w:fill="auto"/>
            <w:vAlign w:val="center"/>
          </w:tcPr>
          <w:p w:rsidR="003F0374" w:rsidRPr="003F0374" w:rsidRDefault="003F0374" w:rsidP="003F0374">
            <w:pPr>
              <w:jc w:val="both"/>
              <w:rPr>
                <w:rFonts w:asciiTheme="majorHAnsi" w:eastAsia="Times New Roman" w:hAnsiTheme="majorHAnsi"/>
                <w:color w:val="000000" w:themeColor="text1"/>
                <w:sz w:val="22"/>
                <w:szCs w:val="22"/>
              </w:rPr>
            </w:pPr>
            <w:r w:rsidRPr="003F0374">
              <w:rPr>
                <w:rFonts w:asciiTheme="majorHAnsi" w:eastAsia="Times New Roman" w:hAnsiTheme="majorHAnsi"/>
                <w:color w:val="000000" w:themeColor="text1"/>
                <w:sz w:val="22"/>
                <w:szCs w:val="22"/>
              </w:rPr>
              <w:t>Mėginių talpa daugiau nei 300 pozicijų 2 ml chromatografiniams buteliukams</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17</w:t>
            </w:r>
          </w:p>
        </w:tc>
        <w:tc>
          <w:tcPr>
            <w:tcW w:w="4111" w:type="dxa"/>
            <w:shd w:val="clear" w:color="auto" w:fill="auto"/>
            <w:vAlign w:val="center"/>
          </w:tcPr>
          <w:p w:rsidR="003F0374" w:rsidRPr="003F0374" w:rsidRDefault="003F0374" w:rsidP="003F0374">
            <w:pPr>
              <w:jc w:val="both"/>
              <w:rPr>
                <w:rFonts w:asciiTheme="majorHAnsi" w:eastAsia="Times New Roman" w:hAnsiTheme="majorHAnsi"/>
                <w:color w:val="000000" w:themeColor="text1"/>
                <w:sz w:val="22"/>
                <w:szCs w:val="22"/>
              </w:rPr>
            </w:pPr>
            <w:r w:rsidRPr="003F0374">
              <w:rPr>
                <w:rFonts w:asciiTheme="majorHAnsi" w:hAnsiTheme="majorHAnsi"/>
                <w:color w:val="000000"/>
                <w:sz w:val="22"/>
                <w:szCs w:val="22"/>
              </w:rPr>
              <w:t>Maksimalus palaikomas eliuentų tiekimo sistemos slėgis ≥ 1300 bar</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18</w:t>
            </w:r>
          </w:p>
        </w:tc>
        <w:tc>
          <w:tcPr>
            <w:tcW w:w="4111" w:type="dxa"/>
            <w:shd w:val="clear" w:color="auto" w:fill="auto"/>
            <w:vAlign w:val="center"/>
          </w:tcPr>
          <w:p w:rsidR="003F0374" w:rsidRPr="003F0374" w:rsidRDefault="003F0374" w:rsidP="003F0374">
            <w:pPr>
              <w:jc w:val="both"/>
              <w:rPr>
                <w:rFonts w:asciiTheme="majorHAnsi" w:eastAsia="Times New Roman" w:hAnsiTheme="majorHAnsi"/>
                <w:color w:val="000000" w:themeColor="text1"/>
                <w:sz w:val="22"/>
                <w:szCs w:val="22"/>
              </w:rPr>
            </w:pPr>
            <w:r w:rsidRPr="003F0374">
              <w:rPr>
                <w:rFonts w:asciiTheme="majorHAnsi" w:hAnsiTheme="majorHAnsi"/>
                <w:color w:val="000000"/>
                <w:sz w:val="22"/>
                <w:szCs w:val="22"/>
              </w:rPr>
              <w:t>Kolonėlių termostatas talpina ne mažiau nei 7</w:t>
            </w:r>
            <w:r w:rsidRPr="003F0374">
              <w:rPr>
                <w:rFonts w:asciiTheme="majorHAnsi" w:hAnsiTheme="majorHAnsi"/>
                <w:sz w:val="22"/>
                <w:szCs w:val="22"/>
              </w:rPr>
              <w:t xml:space="preserve"> kolonėles, kurių ilgis ne mažesnis nei 10 cm, su prieškolonėmis</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19</w:t>
            </w:r>
          </w:p>
        </w:tc>
        <w:tc>
          <w:tcPr>
            <w:tcW w:w="4111" w:type="dxa"/>
            <w:shd w:val="clear" w:color="auto" w:fill="auto"/>
            <w:vAlign w:val="center"/>
          </w:tcPr>
          <w:p w:rsidR="003F0374" w:rsidRPr="003F0374" w:rsidRDefault="003F0374" w:rsidP="003F0374">
            <w:pPr>
              <w:jc w:val="both"/>
              <w:rPr>
                <w:rFonts w:asciiTheme="majorHAnsi" w:eastAsia="Times New Roman" w:hAnsiTheme="majorHAnsi"/>
                <w:color w:val="000000" w:themeColor="text1"/>
                <w:sz w:val="22"/>
                <w:szCs w:val="22"/>
              </w:rPr>
            </w:pPr>
            <w:r w:rsidRPr="003F0374">
              <w:rPr>
                <w:rFonts w:asciiTheme="majorHAnsi" w:eastAsia="Times New Roman" w:hAnsiTheme="majorHAnsi"/>
                <w:color w:val="000000" w:themeColor="text1"/>
                <w:sz w:val="22"/>
                <w:szCs w:val="22"/>
              </w:rPr>
              <w:t>Kolonėlių termostate integruotas vožtuvas ne mažiau nei 7 kolonėlių parinkimui, palaikantis skysčių chroatografinės sistemos maksimalų slėgį</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20</w:t>
            </w:r>
          </w:p>
        </w:tc>
        <w:tc>
          <w:tcPr>
            <w:tcW w:w="4111" w:type="dxa"/>
            <w:shd w:val="clear" w:color="auto" w:fill="auto"/>
            <w:vAlign w:val="center"/>
          </w:tcPr>
          <w:p w:rsidR="003F0374" w:rsidRPr="003F0374" w:rsidRDefault="003F0374" w:rsidP="003F0374">
            <w:pPr>
              <w:jc w:val="both"/>
              <w:rPr>
                <w:rFonts w:asciiTheme="majorHAnsi" w:eastAsia="Times New Roman" w:hAnsiTheme="majorHAnsi"/>
                <w:color w:val="000000" w:themeColor="text1"/>
                <w:sz w:val="22"/>
                <w:szCs w:val="22"/>
              </w:rPr>
            </w:pPr>
            <w:r w:rsidRPr="003F0374">
              <w:rPr>
                <w:rFonts w:asciiTheme="majorHAnsi" w:hAnsiTheme="majorHAnsi"/>
                <w:color w:val="000000"/>
                <w:sz w:val="22"/>
                <w:szCs w:val="22"/>
              </w:rPr>
              <w:t>Injekcijos preciziškumas (RSD) ≤ 0,2 %</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F0374" w:rsidRPr="003714C3" w:rsidTr="003F0374">
        <w:trPr>
          <w:trHeight w:val="510"/>
        </w:trPr>
        <w:tc>
          <w:tcPr>
            <w:tcW w:w="709" w:type="dxa"/>
            <w:vAlign w:val="center"/>
          </w:tcPr>
          <w:p w:rsidR="003F0374" w:rsidRPr="003F0374" w:rsidRDefault="003F0374" w:rsidP="003F037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21</w:t>
            </w:r>
          </w:p>
        </w:tc>
        <w:tc>
          <w:tcPr>
            <w:tcW w:w="4111" w:type="dxa"/>
            <w:shd w:val="clear" w:color="auto" w:fill="auto"/>
            <w:vAlign w:val="center"/>
          </w:tcPr>
          <w:p w:rsidR="003F0374" w:rsidRPr="003F0374" w:rsidRDefault="003F0374" w:rsidP="003F0374">
            <w:pPr>
              <w:jc w:val="both"/>
              <w:rPr>
                <w:rFonts w:asciiTheme="majorHAnsi" w:hAnsiTheme="majorHAnsi"/>
                <w:color w:val="000000"/>
                <w:sz w:val="22"/>
                <w:szCs w:val="22"/>
              </w:rPr>
            </w:pPr>
            <w:r w:rsidRPr="003F0374">
              <w:rPr>
                <w:rFonts w:asciiTheme="majorHAnsi" w:hAnsiTheme="majorHAnsi"/>
                <w:color w:val="000000"/>
                <w:sz w:val="22"/>
                <w:szCs w:val="22"/>
              </w:rPr>
              <w:t>LC-MS/MS maksimalus skenavimo greitis ≥ 17000 Da/s.</w:t>
            </w:r>
          </w:p>
        </w:tc>
        <w:tc>
          <w:tcPr>
            <w:tcW w:w="2126"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F0374" w:rsidRPr="003714C3" w:rsidRDefault="003F0374" w:rsidP="003F037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497"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54"/>
        <w:gridCol w:w="2268"/>
        <w:gridCol w:w="2581"/>
      </w:tblGrid>
      <w:tr w:rsidR="00F86B7F" w:rsidRPr="003714C3" w:rsidTr="00A44DBF">
        <w:tc>
          <w:tcPr>
            <w:tcW w:w="562"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center"/>
              <w:rPr>
                <w:rFonts w:asciiTheme="majorHAnsi" w:hAnsiTheme="majorHAnsi"/>
                <w:b/>
              </w:rPr>
            </w:pPr>
            <w:r w:rsidRPr="003714C3">
              <w:rPr>
                <w:rFonts w:asciiTheme="majorHAnsi" w:hAnsiTheme="majorHAnsi"/>
                <w:b/>
                <w:sz w:val="22"/>
                <w:szCs w:val="22"/>
              </w:rPr>
              <w:t>Eil.Nr.</w:t>
            </w:r>
          </w:p>
        </w:tc>
        <w:tc>
          <w:tcPr>
            <w:tcW w:w="4654"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A44DBF">
        <w:tc>
          <w:tcPr>
            <w:tcW w:w="562" w:type="dxa"/>
            <w:tcBorders>
              <w:top w:val="single" w:sz="4" w:space="0" w:color="auto"/>
              <w:left w:val="single" w:sz="4" w:space="0" w:color="auto"/>
              <w:bottom w:val="single" w:sz="4" w:space="0" w:color="auto"/>
              <w:right w:val="single" w:sz="4" w:space="0" w:color="auto"/>
            </w:tcBorders>
          </w:tcPr>
          <w:p w:rsidR="00F86B7F" w:rsidRPr="003714C3" w:rsidRDefault="008E5844" w:rsidP="00A44DBF">
            <w:pPr>
              <w:jc w:val="both"/>
              <w:rPr>
                <w:rFonts w:asciiTheme="majorHAnsi" w:hAnsiTheme="majorHAnsi"/>
              </w:rPr>
            </w:pPr>
            <w:r w:rsidRPr="003714C3">
              <w:rPr>
                <w:rFonts w:asciiTheme="majorHAnsi" w:hAnsiTheme="majorHAnsi"/>
              </w:rPr>
              <w:t>…</w:t>
            </w:r>
          </w:p>
        </w:tc>
        <w:tc>
          <w:tcPr>
            <w:tcW w:w="4654" w:type="dxa"/>
            <w:tcBorders>
              <w:top w:val="single" w:sz="4" w:space="0" w:color="auto"/>
              <w:left w:val="single" w:sz="4" w:space="0" w:color="auto"/>
              <w:bottom w:val="single" w:sz="4" w:space="0" w:color="auto"/>
              <w:right w:val="single" w:sz="4" w:space="0" w:color="auto"/>
            </w:tcBorders>
          </w:tcPr>
          <w:p w:rsidR="00F86B7F" w:rsidRPr="003714C3" w:rsidRDefault="008E5844" w:rsidP="00A44DBF">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both"/>
              <w:rPr>
                <w:rFonts w:asciiTheme="majorHAnsi" w:hAnsiTheme="majorHAnsi"/>
              </w:rPr>
            </w:pPr>
          </w:p>
        </w:tc>
      </w:tr>
      <w:tr w:rsidR="00F86B7F" w:rsidRPr="003714C3" w:rsidTr="00A44DBF">
        <w:tc>
          <w:tcPr>
            <w:tcW w:w="562"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both"/>
              <w:rPr>
                <w:rFonts w:asciiTheme="majorHAnsi" w:hAnsiTheme="majorHAnsi"/>
              </w:rPr>
            </w:pPr>
          </w:p>
        </w:tc>
        <w:tc>
          <w:tcPr>
            <w:tcW w:w="4654"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A44DB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B6D" w:rsidRDefault="002A6B6D" w:rsidP="00922417">
      <w:r>
        <w:separator/>
      </w:r>
    </w:p>
  </w:endnote>
  <w:endnote w:type="continuationSeparator" w:id="0">
    <w:p w:rsidR="002A6B6D" w:rsidRDefault="002A6B6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EDF" w:rsidRDefault="00431EDF">
    <w:pPr>
      <w:pStyle w:val="Porat"/>
      <w:jc w:val="right"/>
    </w:pPr>
  </w:p>
  <w:p w:rsidR="00431EDF" w:rsidRDefault="00431ED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EDF" w:rsidRDefault="00431EDF">
    <w:pPr>
      <w:pStyle w:val="Porat"/>
      <w:jc w:val="right"/>
    </w:pPr>
  </w:p>
  <w:p w:rsidR="00431EDF" w:rsidRDefault="00431E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B6D" w:rsidRDefault="002A6B6D" w:rsidP="00922417">
      <w:r>
        <w:separator/>
      </w:r>
    </w:p>
  </w:footnote>
  <w:footnote w:type="continuationSeparator" w:id="0">
    <w:p w:rsidR="002A6B6D" w:rsidRDefault="002A6B6D" w:rsidP="00922417">
      <w:r>
        <w:continuationSeparator/>
      </w:r>
    </w:p>
  </w:footnote>
  <w:footnote w:id="1">
    <w:p w:rsidR="00431EDF" w:rsidRPr="00C54A7B" w:rsidRDefault="00431EDF"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31EDF" w:rsidRPr="00C54A7B" w:rsidRDefault="00431EDF" w:rsidP="00401D35">
      <w:pPr>
        <w:pStyle w:val="Puslapioinaostekstas"/>
        <w:numPr>
          <w:ilvl w:val="0"/>
          <w:numId w:val="6"/>
        </w:numPr>
        <w:rPr>
          <w:rFonts w:eastAsia="Yu Mincho"/>
          <w:i/>
          <w:iCs/>
        </w:rPr>
      </w:pPr>
      <w:r w:rsidRPr="00C54A7B">
        <w:rPr>
          <w:rFonts w:eastAsia="Yu Mincho"/>
          <w:i/>
          <w:iCs/>
        </w:rPr>
        <w:t xml:space="preserve">priesaikos deklaracija; </w:t>
      </w:r>
    </w:p>
    <w:p w:rsidR="00431EDF" w:rsidRDefault="00431EDF"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31EDF" w:rsidRPr="00551FCA" w:rsidRDefault="00431EDF"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2"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4"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5"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9"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1"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9"/>
  </w:num>
  <w:num w:numId="5">
    <w:abstractNumId w:val="16"/>
  </w:num>
  <w:num w:numId="6">
    <w:abstractNumId w:val="17"/>
  </w:num>
  <w:num w:numId="7">
    <w:abstractNumId w:val="4"/>
  </w:num>
  <w:num w:numId="8">
    <w:abstractNumId w:val="18"/>
  </w:num>
  <w:num w:numId="9">
    <w:abstractNumId w:val="11"/>
  </w:num>
  <w:num w:numId="10">
    <w:abstractNumId w:val="19"/>
  </w:num>
  <w:num w:numId="11">
    <w:abstractNumId w:val="3"/>
  </w:num>
  <w:num w:numId="12">
    <w:abstractNumId w:val="10"/>
  </w:num>
  <w:num w:numId="13">
    <w:abstractNumId w:val="24"/>
  </w:num>
  <w:num w:numId="14">
    <w:abstractNumId w:val="0"/>
  </w:num>
  <w:num w:numId="15">
    <w:abstractNumId w:val="14"/>
  </w:num>
  <w:num w:numId="16">
    <w:abstractNumId w:val="1"/>
  </w:num>
  <w:num w:numId="17">
    <w:abstractNumId w:val="15"/>
  </w:num>
  <w:num w:numId="18">
    <w:abstractNumId w:val="23"/>
  </w:num>
  <w:num w:numId="19">
    <w:abstractNumId w:val="6"/>
  </w:num>
  <w:num w:numId="20">
    <w:abstractNumId w:val="5"/>
  </w:num>
  <w:num w:numId="21">
    <w:abstractNumId w:val="12"/>
  </w:num>
  <w:num w:numId="22">
    <w:abstractNumId w:val="20"/>
  </w:num>
  <w:num w:numId="23">
    <w:abstractNumId w:val="8"/>
  </w:num>
  <w:num w:numId="24">
    <w:abstractNumId w:val="2"/>
  </w:num>
  <w:num w:numId="25">
    <w:abstractNumId w:val="13"/>
  </w:num>
  <w:num w:numId="26">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4FB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0374"/>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27A2"/>
    <w:rsid w:val="00A26706"/>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0A9B"/>
    <w:rsid w:val="00CA444C"/>
    <w:rsid w:val="00CA6B68"/>
    <w:rsid w:val="00CA6DE5"/>
    <w:rsid w:val="00CA7F82"/>
    <w:rsid w:val="00CB0BA7"/>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D0C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4D492-2AEB-47FA-88CC-18330A10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26</Pages>
  <Words>49245</Words>
  <Characters>28071</Characters>
  <Application>Microsoft Office Word</Application>
  <DocSecurity>0</DocSecurity>
  <Lines>233</Lines>
  <Paragraphs>154</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196</cp:revision>
  <cp:lastPrinted>2024-03-22T12:28:00Z</cp:lastPrinted>
  <dcterms:created xsi:type="dcterms:W3CDTF">2023-11-14T08:29:00Z</dcterms:created>
  <dcterms:modified xsi:type="dcterms:W3CDTF">2025-08-12T13:37:00Z</dcterms:modified>
</cp:coreProperties>
</file>