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6CEE" w14:textId="73459AB5" w:rsidR="00CC656C" w:rsidRPr="00820914" w:rsidRDefault="00550415" w:rsidP="00CC656C">
      <w:pPr>
        <w:pStyle w:val="ListParagraph"/>
        <w:spacing w:after="0"/>
        <w:ind w:left="567"/>
        <w:jc w:val="right"/>
        <w:rPr>
          <w:rFonts w:cs="Times New Roman"/>
          <w:iCs/>
          <w:szCs w:val="24"/>
          <w:lang w:val="lt-LT"/>
        </w:rPr>
      </w:pPr>
      <w:r>
        <w:rPr>
          <w:rFonts w:cs="Times New Roman"/>
          <w:iCs/>
          <w:szCs w:val="24"/>
          <w:lang w:val="lt-LT"/>
        </w:rPr>
        <w:t>3 p</w:t>
      </w:r>
      <w:r w:rsidR="00CC656C" w:rsidRPr="00820914">
        <w:rPr>
          <w:rFonts w:cs="Times New Roman"/>
          <w:iCs/>
          <w:szCs w:val="24"/>
          <w:lang w:val="lt-LT"/>
        </w:rPr>
        <w:t>riedas. Pasiūlymų vertinimas</w:t>
      </w:r>
      <w:r w:rsidR="00987600">
        <w:rPr>
          <w:rFonts w:cs="Times New Roman"/>
          <w:iCs/>
          <w:szCs w:val="24"/>
          <w:lang w:val="lt-LT"/>
        </w:rPr>
        <w:t xml:space="preserve"> </w:t>
      </w:r>
      <w:r w:rsidR="00987600" w:rsidRPr="00987600">
        <w:rPr>
          <w:rFonts w:cs="Times New Roman"/>
          <w:i/>
          <w:szCs w:val="24"/>
          <w:lang w:val="lt-LT"/>
        </w:rPr>
        <w:t>(projektas)</w:t>
      </w:r>
    </w:p>
    <w:p w14:paraId="2973DEF3" w14:textId="77777777" w:rsidR="00CC656C" w:rsidRPr="00B036A7" w:rsidRDefault="00CC656C" w:rsidP="00CC656C">
      <w:pPr>
        <w:pStyle w:val="ListParagraph"/>
        <w:spacing w:after="0"/>
        <w:ind w:left="567"/>
        <w:jc w:val="left"/>
        <w:rPr>
          <w:rFonts w:cs="Times New Roman"/>
          <w:i/>
          <w:szCs w:val="24"/>
          <w:lang w:val="lt-LT"/>
        </w:rPr>
      </w:pPr>
    </w:p>
    <w:p w14:paraId="5D3CC6C0" w14:textId="77777777" w:rsidR="00CC656C" w:rsidRPr="00820914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32"/>
        </w:tabs>
        <w:spacing w:after="240"/>
        <w:ind w:firstLine="709"/>
        <w:jc w:val="left"/>
        <w:outlineLvl w:val="0"/>
        <w:rPr>
          <w:rFonts w:eastAsia="Arial Unicode MS" w:cs="Arial Unicode MS"/>
          <w:b/>
          <w:bCs/>
          <w:caps/>
          <w:spacing w:val="4"/>
          <w:sz w:val="22"/>
          <w:bdr w:val="nil"/>
          <w:lang w:val="lt-LT" w:bidi="ta-IN"/>
        </w:rPr>
      </w:pPr>
      <w:bookmarkStart w:id="0" w:name="_Hlk96256258"/>
      <w:r w:rsidRPr="00820914">
        <w:rPr>
          <w:rFonts w:eastAsia="Arial Unicode MS" w:cs="Arial Unicode MS"/>
          <w:b/>
          <w:bCs/>
          <w:caps/>
          <w:spacing w:val="4"/>
          <w:sz w:val="22"/>
          <w:bdr w:val="nil"/>
          <w:lang w:val="lt-LT" w:bidi="ta-IN"/>
        </w:rPr>
        <w:t>1. BENDROSIOS NUOSTATOS</w:t>
      </w:r>
    </w:p>
    <w:p w14:paraId="7FA18F9C" w14:textId="77777777" w:rsidR="00CC656C" w:rsidRPr="00820914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ind w:firstLine="709"/>
        <w:rPr>
          <w:rFonts w:eastAsia="Arial Unicode MS" w:cs="Arial Unicode MS"/>
          <w:sz w:val="22"/>
          <w:bdr w:val="nil"/>
          <w:lang w:val="lt-LT" w:bidi="ta-IN"/>
        </w:rPr>
      </w:pPr>
      <w:r w:rsidRPr="00820914">
        <w:rPr>
          <w:rFonts w:eastAsia="Arial Unicode MS" w:cs="Arial Unicode MS"/>
          <w:sz w:val="22"/>
          <w:bdr w:val="nil"/>
          <w:lang w:val="lt-LT" w:bidi="ta-IN"/>
        </w:rPr>
        <w:tab/>
        <w:t xml:space="preserve">1.1. Perkančiosios organizacijos neatmesti </w:t>
      </w:r>
      <w:r>
        <w:rPr>
          <w:rFonts w:eastAsia="Arial Unicode MS" w:cs="Arial Unicode MS"/>
          <w:sz w:val="22"/>
          <w:bdr w:val="nil"/>
          <w:lang w:val="lt-LT" w:bidi="ta-IN"/>
        </w:rPr>
        <w:t xml:space="preserve">konkretūs </w:t>
      </w:r>
      <w:r w:rsidRPr="00820914">
        <w:rPr>
          <w:rFonts w:eastAsia="Arial Unicode MS" w:cs="Arial Unicode MS"/>
          <w:sz w:val="22"/>
          <w:bdr w:val="nil"/>
          <w:lang w:val="lt-LT" w:bidi="ta-IN"/>
        </w:rPr>
        <w:t xml:space="preserve">pasiūlymai vertinami pagal kainos ir kokybės santykį šiame priede </w:t>
      </w:r>
      <w:r>
        <w:rPr>
          <w:rFonts w:eastAsia="Arial Unicode MS" w:cs="Arial Unicode MS"/>
          <w:sz w:val="22"/>
          <w:bdr w:val="nil"/>
          <w:lang w:val="lt-LT" w:bidi="ta-IN"/>
        </w:rPr>
        <w:t>nustatyta</w:t>
      </w:r>
      <w:r w:rsidRPr="00820914">
        <w:rPr>
          <w:rFonts w:eastAsia="Arial Unicode MS" w:cs="Arial Unicode MS"/>
          <w:sz w:val="22"/>
          <w:bdr w:val="nil"/>
          <w:lang w:val="lt-LT" w:bidi="ta-IN"/>
        </w:rPr>
        <w:t xml:space="preserve"> tvarka.</w:t>
      </w:r>
      <w:r>
        <w:rPr>
          <w:rFonts w:eastAsia="Arial Unicode MS" w:cs="Arial Unicode MS"/>
          <w:sz w:val="22"/>
          <w:bdr w:val="nil"/>
          <w:lang w:val="lt-LT" w:bidi="ta-IN"/>
        </w:rPr>
        <w:t xml:space="preserve"> </w:t>
      </w:r>
      <w:r w:rsidRPr="001427E0">
        <w:rPr>
          <w:rFonts w:eastAsia="Arial Unicode MS" w:cs="Arial Unicode MS"/>
          <w:sz w:val="22"/>
          <w:bdr w:val="nil"/>
          <w:lang w:val="lt-LT" w:bidi="ta-IN"/>
        </w:rPr>
        <w:t>Ekonomio naudingumo balas skaičiuojamas tik tokiu atveju, kai pasiūlymas atitinka visus privalomu</w:t>
      </w:r>
      <w:r>
        <w:rPr>
          <w:rFonts w:eastAsia="Arial Unicode MS" w:cs="Arial Unicode MS"/>
          <w:sz w:val="22"/>
          <w:bdr w:val="nil"/>
          <w:lang w:val="lt-LT" w:bidi="ta-IN"/>
        </w:rPr>
        <w:t>s</w:t>
      </w:r>
      <w:r w:rsidRPr="001427E0">
        <w:rPr>
          <w:rFonts w:eastAsia="Arial Unicode MS" w:cs="Arial Unicode MS"/>
          <w:sz w:val="22"/>
          <w:bdr w:val="nil"/>
          <w:lang w:val="lt-LT" w:bidi="ta-IN"/>
        </w:rPr>
        <w:t xml:space="preserve"> reikalavimus</w:t>
      </w:r>
      <w:r>
        <w:rPr>
          <w:rFonts w:eastAsia="Arial Unicode MS" w:cs="Arial Unicode MS"/>
          <w:sz w:val="22"/>
          <w:bdr w:val="nil"/>
          <w:lang w:val="lt-LT" w:bidi="ta-IN"/>
        </w:rPr>
        <w:t>, nustatytus konkretaus pirkimo sąlygose</w:t>
      </w:r>
      <w:r w:rsidRPr="001427E0">
        <w:rPr>
          <w:rFonts w:eastAsia="Arial Unicode MS" w:cs="Arial Unicode MS"/>
          <w:sz w:val="22"/>
          <w:bdr w:val="nil"/>
          <w:lang w:val="lt-LT" w:bidi="ta-IN"/>
        </w:rPr>
        <w:t>.</w:t>
      </w:r>
    </w:p>
    <w:p w14:paraId="740F4808" w14:textId="77777777" w:rsidR="00CC656C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ind w:firstLine="706"/>
        <w:rPr>
          <w:rFonts w:eastAsia="Arial Unicode MS" w:cs="Arial Unicode MS"/>
          <w:sz w:val="22"/>
          <w:bdr w:val="nil"/>
          <w:lang w:val="lt-LT" w:bidi="ta-IN"/>
        </w:rPr>
      </w:pPr>
      <w:r w:rsidRPr="00820914">
        <w:rPr>
          <w:rFonts w:eastAsia="Arial Unicode MS" w:cs="Arial Unicode MS"/>
          <w:sz w:val="22"/>
          <w:bdr w:val="nil"/>
          <w:lang w:val="lt-LT" w:bidi="ta-IN"/>
        </w:rPr>
        <w:tab/>
      </w:r>
      <w:r w:rsidRPr="00820914">
        <w:rPr>
          <w:rFonts w:eastAsia="Arial Unicode MS" w:cs="Arial Unicode MS"/>
          <w:noProof/>
          <w:sz w:val="22"/>
          <w:bdr w:val="nil"/>
          <w:lang w:val="lt-LT" w:bidi="ta-IN"/>
        </w:rPr>
        <w:t xml:space="preserve">1.2. </w:t>
      </w:r>
      <w:r w:rsidRPr="00820914">
        <w:rPr>
          <w:rFonts w:eastAsia="Arial Unicode MS" w:cs="Arial Unicode MS"/>
          <w:sz w:val="22"/>
          <w:bdr w:val="nil"/>
          <w:lang w:val="lt-LT" w:bidi="ta-IN"/>
        </w:rPr>
        <w:t>Ekonomiškai naudingiausias pasiūlymas – tai pasiūlymas, kurio balų suma, apskaičiuota pagal toliau nustatytus pasiūlymų vertinimo kriterijus ir sąlygas, yra didžiausia.</w:t>
      </w:r>
    </w:p>
    <w:p w14:paraId="094B5E8F" w14:textId="77777777" w:rsidR="00CC656C" w:rsidRPr="00820914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/>
        <w:ind w:firstLine="709"/>
        <w:rPr>
          <w:rFonts w:eastAsia="Arial Unicode MS" w:cs="Arial Unicode MS"/>
          <w:sz w:val="22"/>
          <w:bdr w:val="nil"/>
          <w:lang w:val="lt-LT" w:bidi="ta-IN"/>
        </w:rPr>
      </w:pPr>
      <w:r>
        <w:rPr>
          <w:rFonts w:eastAsia="Arial Unicode MS" w:cs="Arial Unicode MS"/>
          <w:sz w:val="22"/>
          <w:bdr w:val="nil"/>
          <w:lang w:val="lt-LT" w:bidi="ta-IN"/>
        </w:rPr>
        <w:t>1.3. Bendras apskaičiuotas tiekėjo ekonominio naudingumo balas (EN) nurodomas dviejų skaičių po kablelio tikslumu.</w:t>
      </w:r>
    </w:p>
    <w:p w14:paraId="2B774CF9" w14:textId="694D7282" w:rsidR="00CC656C" w:rsidRPr="00820914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ind w:firstLine="709"/>
        <w:jc w:val="left"/>
        <w:outlineLvl w:val="0"/>
        <w:rPr>
          <w:rFonts w:eastAsia="Arial Unicode MS" w:cs="Arial Unicode MS"/>
          <w:b/>
          <w:bCs/>
          <w:caps/>
          <w:spacing w:val="4"/>
          <w:sz w:val="22"/>
          <w:bdr w:val="nil"/>
          <w:lang w:val="lt-LT" w:bidi="ta-IN"/>
        </w:rPr>
      </w:pPr>
      <w:bookmarkStart w:id="1" w:name="_Hlk96256239"/>
      <w:bookmarkEnd w:id="0"/>
      <w:r w:rsidRPr="00820914">
        <w:rPr>
          <w:rFonts w:eastAsia="Arial Unicode MS" w:cs="Arial Unicode MS"/>
          <w:b/>
          <w:bCs/>
          <w:caps/>
          <w:spacing w:val="4"/>
          <w:sz w:val="22"/>
          <w:bdr w:val="nil"/>
          <w:lang w:val="lt-LT" w:bidi="ta-IN"/>
        </w:rPr>
        <w:tab/>
        <w:t xml:space="preserve">2. PASIŪLYMŲ VERTINIMO KRITERIJAI IR </w:t>
      </w:r>
      <w:r w:rsidRPr="00820914">
        <w:rPr>
          <w:rFonts w:eastAsia="Arial Unicode MS" w:cs="Arial Unicode MS"/>
          <w:b/>
          <w:bCs/>
          <w:caps/>
          <w:spacing w:val="4"/>
          <w:sz w:val="22"/>
          <w:bdr w:val="nil"/>
          <w:lang w:val="lt-LT"/>
        </w:rPr>
        <w:t>BALŲ APSKAIČIAVIMAS</w:t>
      </w:r>
      <w:r w:rsidR="000A4AE0">
        <w:rPr>
          <w:rFonts w:eastAsia="Arial Unicode MS" w:cs="Arial Unicode MS"/>
          <w:b/>
          <w:bCs/>
          <w:caps/>
          <w:spacing w:val="4"/>
          <w:sz w:val="22"/>
          <w:bdr w:val="nil"/>
          <w:lang w:val="lt-LT"/>
        </w:rPr>
        <w:t xml:space="preserve"> </w:t>
      </w:r>
    </w:p>
    <w:p w14:paraId="1AD0A8B4" w14:textId="77777777" w:rsidR="00CC656C" w:rsidRPr="00820914" w:rsidRDefault="00CC656C" w:rsidP="00CC656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/>
        <w:ind w:firstLine="709"/>
        <w:rPr>
          <w:rFonts w:eastAsia="Arial Unicode MS" w:cs="Arial Unicode MS"/>
          <w:sz w:val="22"/>
          <w:bdr w:val="nil"/>
          <w:lang w:val="lt-LT" w:bidi="ta-IN"/>
        </w:rPr>
      </w:pPr>
      <w:r w:rsidRPr="00820914">
        <w:rPr>
          <w:rFonts w:eastAsia="Arial Unicode MS" w:cs="Arial Unicode MS"/>
          <w:sz w:val="22"/>
          <w:bdr w:val="nil"/>
          <w:lang w:val="lt-LT" w:bidi="ta-IN"/>
        </w:rPr>
        <w:tab/>
        <w:t>2.1. Taikomi šie vertinimo kriterijai ir jų reikšmės:</w:t>
      </w:r>
    </w:p>
    <w:tbl>
      <w:tblPr>
        <w:tblStyle w:val="TableGrid2"/>
        <w:tblpPr w:leftFromText="180" w:rightFromText="180" w:vertAnchor="text" w:tblpXSpec="center" w:tblpY="1"/>
        <w:tblOverlap w:val="never"/>
        <w:tblW w:w="15385" w:type="dxa"/>
        <w:tblLook w:val="04A0" w:firstRow="1" w:lastRow="0" w:firstColumn="1" w:lastColumn="0" w:noHBand="0" w:noVBand="1"/>
      </w:tblPr>
      <w:tblGrid>
        <w:gridCol w:w="1307"/>
        <w:gridCol w:w="2282"/>
        <w:gridCol w:w="1332"/>
        <w:gridCol w:w="1806"/>
        <w:gridCol w:w="1550"/>
        <w:gridCol w:w="4318"/>
        <w:gridCol w:w="2790"/>
      </w:tblGrid>
      <w:tr w:rsidR="00AA1D28" w:rsidRPr="00820914" w14:paraId="11EBC800" w14:textId="77777777" w:rsidTr="00EC3880">
        <w:trPr>
          <w:trHeight w:val="1133"/>
          <w:tblHeader/>
        </w:trPr>
        <w:tc>
          <w:tcPr>
            <w:tcW w:w="1307" w:type="dxa"/>
            <w:vAlign w:val="center"/>
          </w:tcPr>
          <w:p w14:paraId="51E4B65D" w14:textId="61AA6121" w:rsidR="00CC656C" w:rsidRPr="00820914" w:rsidRDefault="00DC258A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>
              <w:rPr>
                <w:rFonts w:cs="Arial Unicode MS"/>
                <w:b/>
                <w:color w:val="000000"/>
                <w:sz w:val="20"/>
                <w:lang w:val="lt-LT" w:bidi="ta-IN"/>
              </w:rPr>
              <w:t>Vertinimo k</w:t>
            </w:r>
            <w:r w:rsidR="00CC656C" w:rsidRPr="00820914">
              <w:rPr>
                <w:rFonts w:cs="Arial Unicode MS"/>
                <w:b/>
                <w:color w:val="000000"/>
                <w:sz w:val="20"/>
                <w:lang w:val="lt-LT" w:bidi="ta-IN"/>
              </w:rPr>
              <w:t>riterijus</w:t>
            </w:r>
            <w:r>
              <w:rPr>
                <w:rFonts w:cs="Arial Unicode MS"/>
                <w:b/>
                <w:color w:val="000000"/>
                <w:sz w:val="20"/>
                <w:lang w:val="lt-LT" w:bidi="ta-IN"/>
              </w:rPr>
              <w:t xml:space="preserve"> pavadinimas</w:t>
            </w:r>
          </w:p>
        </w:tc>
        <w:tc>
          <w:tcPr>
            <w:tcW w:w="2282" w:type="dxa"/>
            <w:vAlign w:val="center"/>
          </w:tcPr>
          <w:p w14:paraId="4E34F7BC" w14:textId="4374A929" w:rsidR="00CC656C" w:rsidRPr="00820914" w:rsidRDefault="00CC656C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 w:rsidRPr="00820914">
              <w:rPr>
                <w:rFonts w:cs="Arial Unicode MS"/>
                <w:b/>
                <w:color w:val="000000"/>
                <w:sz w:val="20"/>
                <w:lang w:val="lt-LT" w:bidi="ta-IN"/>
              </w:rPr>
              <w:t xml:space="preserve">Kriterijaus </w:t>
            </w:r>
            <w:r w:rsidR="00653632">
              <w:rPr>
                <w:rFonts w:cs="Arial Unicode MS"/>
                <w:b/>
                <w:color w:val="000000"/>
                <w:sz w:val="20"/>
                <w:lang w:val="lt-LT" w:bidi="ta-IN"/>
              </w:rPr>
              <w:t>reikalavimai</w:t>
            </w:r>
          </w:p>
        </w:tc>
        <w:tc>
          <w:tcPr>
            <w:tcW w:w="1332" w:type="dxa"/>
            <w:vAlign w:val="center"/>
          </w:tcPr>
          <w:p w14:paraId="6110BAFD" w14:textId="77777777" w:rsidR="00CC656C" w:rsidRPr="00820914" w:rsidRDefault="00CC656C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 w:rsidRPr="005012C8">
              <w:rPr>
                <w:b/>
                <w:sz w:val="20"/>
                <w:lang w:val="lt-LT" w:bidi="ta-IN"/>
              </w:rPr>
              <w:t>Minimali (vertinama) reikšmė</w:t>
            </w:r>
          </w:p>
        </w:tc>
        <w:tc>
          <w:tcPr>
            <w:tcW w:w="1806" w:type="dxa"/>
            <w:vAlign w:val="center"/>
          </w:tcPr>
          <w:p w14:paraId="59E277FD" w14:textId="77777777" w:rsidR="00CC656C" w:rsidRPr="005012C8" w:rsidRDefault="00CC656C" w:rsidP="00073AA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lang w:val="lt-LT" w:bidi="ta-IN"/>
              </w:rPr>
            </w:pPr>
            <w:r w:rsidRPr="005012C8">
              <w:rPr>
                <w:b/>
                <w:lang w:val="lt-LT" w:bidi="ta-IN"/>
              </w:rPr>
              <w:t>Maksimali vertinama (leidžiama)</w:t>
            </w:r>
          </w:p>
          <w:p w14:paraId="60221D51" w14:textId="77777777" w:rsidR="00CC656C" w:rsidRPr="00820914" w:rsidRDefault="00CC656C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 w:rsidRPr="005012C8">
              <w:rPr>
                <w:b/>
                <w:sz w:val="20"/>
                <w:lang w:val="lt-LT" w:bidi="ta-IN"/>
              </w:rPr>
              <w:t>reikšmė</w:t>
            </w:r>
          </w:p>
        </w:tc>
        <w:tc>
          <w:tcPr>
            <w:tcW w:w="1550" w:type="dxa"/>
            <w:vAlign w:val="center"/>
          </w:tcPr>
          <w:p w14:paraId="16987F7F" w14:textId="77777777" w:rsidR="00CC656C" w:rsidRDefault="00B03B8B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>
              <w:rPr>
                <w:rFonts w:cs="Arial Unicode MS"/>
                <w:b/>
                <w:color w:val="000000"/>
                <w:sz w:val="20"/>
                <w:lang w:val="lt-LT" w:bidi="ta-IN"/>
              </w:rPr>
              <w:t>Maksimalus balas</w:t>
            </w:r>
          </w:p>
          <w:p w14:paraId="17CBA8A9" w14:textId="307F5EC1" w:rsidR="004B2456" w:rsidRPr="00820914" w:rsidRDefault="004B2456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[</w:t>
            </w:r>
            <w:r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nurodyti balai yra projektiniai (preliminarūs) ir gali būti koreguojami po rinkos konsultacijos</w:t>
            </w: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]</w:t>
            </w:r>
          </w:p>
        </w:tc>
        <w:tc>
          <w:tcPr>
            <w:tcW w:w="4318" w:type="dxa"/>
            <w:vAlign w:val="center"/>
          </w:tcPr>
          <w:p w14:paraId="7B121503" w14:textId="5AF458F8" w:rsidR="00CC656C" w:rsidRPr="00820914" w:rsidRDefault="00B03B8B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>
              <w:rPr>
                <w:rFonts w:cs="Arial Unicode MS"/>
                <w:b/>
                <w:color w:val="000000"/>
                <w:sz w:val="20"/>
                <w:lang w:val="lt-LT" w:bidi="ta-IN"/>
              </w:rPr>
              <w:t>Vertinimo f</w:t>
            </w:r>
            <w:r w:rsidR="00CC656C" w:rsidRPr="00820914">
              <w:rPr>
                <w:rFonts w:cs="Arial Unicode MS"/>
                <w:b/>
                <w:color w:val="000000"/>
                <w:sz w:val="20"/>
                <w:lang w:val="lt-LT" w:bidi="ta-IN"/>
              </w:rPr>
              <w:t>ormulė</w:t>
            </w:r>
          </w:p>
        </w:tc>
        <w:tc>
          <w:tcPr>
            <w:tcW w:w="2790" w:type="dxa"/>
            <w:vAlign w:val="center"/>
          </w:tcPr>
          <w:p w14:paraId="7FBD0813" w14:textId="77777777" w:rsidR="00CC656C" w:rsidRPr="00820914" w:rsidRDefault="00CC656C" w:rsidP="00073AA3">
            <w:pPr>
              <w:suppressAutoHyphens/>
              <w:spacing w:after="0"/>
              <w:jc w:val="center"/>
              <w:rPr>
                <w:rFonts w:cs="Arial Unicode MS"/>
                <w:b/>
                <w:color w:val="000000"/>
                <w:sz w:val="20"/>
                <w:lang w:val="lt-LT" w:bidi="ta-IN"/>
              </w:rPr>
            </w:pPr>
            <w:r>
              <w:rPr>
                <w:rFonts w:cs="Arial Unicode MS"/>
                <w:b/>
                <w:color w:val="000000"/>
                <w:sz w:val="20"/>
                <w:lang w:val="lt-LT" w:bidi="ta-IN"/>
              </w:rPr>
              <w:t>Paaiškinimas</w:t>
            </w:r>
          </w:p>
        </w:tc>
      </w:tr>
      <w:tr w:rsidR="00AA1D28" w:rsidRPr="00820914" w14:paraId="121340BB" w14:textId="77777777" w:rsidTr="00EC3880">
        <w:trPr>
          <w:trHeight w:val="63"/>
        </w:trPr>
        <w:tc>
          <w:tcPr>
            <w:tcW w:w="1307" w:type="dxa"/>
          </w:tcPr>
          <w:p w14:paraId="1D646EA9" w14:textId="77777777" w:rsidR="00CC656C" w:rsidRPr="00820914" w:rsidRDefault="00CC656C" w:rsidP="00073AA3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EN</w:t>
            </w:r>
          </w:p>
        </w:tc>
        <w:tc>
          <w:tcPr>
            <w:tcW w:w="2282" w:type="dxa"/>
          </w:tcPr>
          <w:p w14:paraId="30F607E3" w14:textId="77777777" w:rsidR="00CC656C" w:rsidRPr="00820914" w:rsidRDefault="00CC656C" w:rsidP="00073AA3">
            <w:pPr>
              <w:spacing w:before="60" w:after="60"/>
              <w:jc w:val="left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Ekonominis naudingumas</w:t>
            </w:r>
          </w:p>
        </w:tc>
        <w:tc>
          <w:tcPr>
            <w:tcW w:w="1332" w:type="dxa"/>
          </w:tcPr>
          <w:p w14:paraId="699955AC" w14:textId="77777777" w:rsidR="00CC656C" w:rsidRPr="00820914" w:rsidRDefault="00CC656C" w:rsidP="00073AA3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3A7888E4" w14:textId="77777777" w:rsidR="00CC656C" w:rsidRPr="00820914" w:rsidRDefault="00CC656C" w:rsidP="00073AA3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3D2871C3" w14:textId="77777777" w:rsidR="00CC656C" w:rsidRPr="00820914" w:rsidRDefault="00CC656C" w:rsidP="00073AA3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–</w:t>
            </w:r>
          </w:p>
        </w:tc>
        <w:tc>
          <w:tcPr>
            <w:tcW w:w="4318" w:type="dxa"/>
          </w:tcPr>
          <w:p w14:paraId="53A124FF" w14:textId="6BD1554D" w:rsidR="00CC656C" w:rsidRPr="00C07708" w:rsidRDefault="00CC656C" w:rsidP="00073AA3">
            <w:pPr>
              <w:spacing w:before="60" w:after="120"/>
              <w:rPr>
                <w:bCs/>
                <w:sz w:val="20"/>
                <w:lang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EN = K +</w:t>
            </w:r>
            <w:r w:rsidR="00BB2E19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T</w:t>
            </w:r>
            <w:r w:rsidRPr="00A31E9E">
              <w:rPr>
                <w:bCs/>
                <w:sz w:val="20"/>
                <w:vertAlign w:val="subscript"/>
                <w:lang w:val="lt-LT" w:bidi="ta-IN"/>
              </w:rPr>
              <w:t>1</w:t>
            </w:r>
            <w:r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+ T</w:t>
            </w:r>
            <w:r w:rsidRPr="00A31E9E">
              <w:rPr>
                <w:bCs/>
                <w:sz w:val="20"/>
                <w:vertAlign w:val="subscript"/>
                <w:lang w:val="lt-LT" w:bidi="ta-IN"/>
              </w:rPr>
              <w:t>2</w:t>
            </w:r>
            <w:r w:rsidR="00D87B0B"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 w:rsidR="00EE2641">
              <w:rPr>
                <w:bCs/>
                <w:sz w:val="20"/>
                <w:lang w:val="lt-LT" w:bidi="ta-IN"/>
              </w:rPr>
              <w:t>+ T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3 </w:t>
            </w:r>
            <w:r w:rsidR="00EE2641">
              <w:rPr>
                <w:bCs/>
                <w:sz w:val="20"/>
                <w:lang w:val="lt-LT" w:bidi="ta-IN"/>
              </w:rPr>
              <w:t>+ T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4 </w:t>
            </w:r>
            <w:r w:rsidR="00EE2641">
              <w:rPr>
                <w:bCs/>
                <w:sz w:val="20"/>
                <w:lang w:val="lt-LT" w:bidi="ta-IN"/>
              </w:rPr>
              <w:t>+ T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5 </w:t>
            </w:r>
            <w:r w:rsidR="00EE2641">
              <w:rPr>
                <w:bCs/>
                <w:sz w:val="20"/>
                <w:lang w:val="lt-LT" w:bidi="ta-IN"/>
              </w:rPr>
              <w:t>+ T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6 </w:t>
            </w:r>
            <w:r w:rsidR="00EE2641">
              <w:rPr>
                <w:bCs/>
                <w:sz w:val="20"/>
                <w:lang w:val="lt-LT" w:bidi="ta-IN"/>
              </w:rPr>
              <w:t>+ T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7 </w:t>
            </w:r>
            <w:r w:rsidR="00EE2641">
              <w:rPr>
                <w:bCs/>
                <w:sz w:val="20"/>
                <w:lang w:val="lt-LT" w:bidi="ta-IN"/>
              </w:rPr>
              <w:t>+ T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 xml:space="preserve">8 </w:t>
            </w:r>
            <w:r w:rsidR="00EE2641">
              <w:rPr>
                <w:bCs/>
                <w:sz w:val="20"/>
                <w:lang w:val="lt-LT" w:bidi="ta-IN"/>
              </w:rPr>
              <w:t>+ T</w:t>
            </w:r>
            <w:r w:rsidR="00EE2641">
              <w:rPr>
                <w:bCs/>
                <w:sz w:val="20"/>
                <w:vertAlign w:val="subscript"/>
                <w:lang w:val="lt-LT" w:bidi="ta-IN"/>
              </w:rPr>
              <w:t>9</w:t>
            </w:r>
            <w:r w:rsidR="00C07708"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 w:rsidR="00C07708">
              <w:rPr>
                <w:bCs/>
                <w:sz w:val="20"/>
                <w:lang w:val="lt-LT" w:bidi="ta-IN"/>
              </w:rPr>
              <w:t xml:space="preserve"> </w:t>
            </w:r>
            <w:r w:rsidR="00C07708">
              <w:rPr>
                <w:bCs/>
                <w:sz w:val="20"/>
                <w:lang w:val="lt-LT" w:bidi="ta-IN"/>
              </w:rPr>
              <w:t>T</w:t>
            </w:r>
            <w:r w:rsidR="00C07708" w:rsidRPr="00A31E9E">
              <w:rPr>
                <w:bCs/>
                <w:sz w:val="20"/>
                <w:vertAlign w:val="subscript"/>
                <w:lang w:val="lt-LT" w:bidi="ta-IN"/>
              </w:rPr>
              <w:t>1</w:t>
            </w:r>
            <w:r w:rsidR="00C07708">
              <w:rPr>
                <w:bCs/>
                <w:sz w:val="20"/>
                <w:vertAlign w:val="subscript"/>
                <w:lang w:val="lt-LT" w:bidi="ta-IN"/>
              </w:rPr>
              <w:t>0</w:t>
            </w:r>
            <w:r w:rsidR="00C07708"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 w:rsidR="00C07708">
              <w:rPr>
                <w:bCs/>
                <w:sz w:val="20"/>
                <w:lang w:val="lt-LT" w:bidi="ta-IN"/>
              </w:rPr>
              <w:t>+ T</w:t>
            </w:r>
            <w:r w:rsidR="00C07708">
              <w:rPr>
                <w:bCs/>
                <w:sz w:val="20"/>
                <w:vertAlign w:val="subscript"/>
                <w:lang w:val="lt-LT" w:bidi="ta-IN"/>
              </w:rPr>
              <w:t>11</w:t>
            </w:r>
            <w:r w:rsidR="00C07708">
              <w:rPr>
                <w:bCs/>
                <w:sz w:val="20"/>
                <w:vertAlign w:val="subscript"/>
                <w:lang w:val="lt-LT" w:bidi="ta-IN"/>
              </w:rPr>
              <w:t xml:space="preserve">  </w:t>
            </w:r>
            <w:r w:rsidR="00C07708">
              <w:rPr>
                <w:bCs/>
                <w:sz w:val="20"/>
                <w:lang w:val="lt-LT" w:bidi="ta-IN"/>
              </w:rPr>
              <w:t>+ T</w:t>
            </w:r>
            <w:r w:rsidR="00C07708" w:rsidRPr="00C07708">
              <w:rPr>
                <w:bCs/>
                <w:sz w:val="20"/>
                <w:vertAlign w:val="subscript"/>
                <w:lang w:val="lt-LT" w:bidi="ta-IN"/>
              </w:rPr>
              <w:t>12</w:t>
            </w:r>
            <w:r w:rsidR="00C07708"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 w:rsidR="00C07708">
              <w:rPr>
                <w:bCs/>
                <w:sz w:val="20"/>
                <w:lang w:val="lt-LT" w:bidi="ta-IN"/>
              </w:rPr>
              <w:t>+ T</w:t>
            </w:r>
            <w:r w:rsidR="00C07708">
              <w:rPr>
                <w:bCs/>
                <w:sz w:val="20"/>
                <w:vertAlign w:val="subscript"/>
                <w:lang w:val="lt-LT" w:bidi="ta-IN"/>
              </w:rPr>
              <w:t>13</w:t>
            </w:r>
            <w:r w:rsidR="00C07708"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 w:rsidR="00C07708">
              <w:rPr>
                <w:bCs/>
                <w:sz w:val="20"/>
                <w:lang w:val="lt-LT" w:bidi="ta-IN"/>
              </w:rPr>
              <w:t>+ T</w:t>
            </w:r>
            <w:r w:rsidR="00C07708" w:rsidRPr="00C07708">
              <w:rPr>
                <w:bCs/>
                <w:sz w:val="20"/>
                <w:vertAlign w:val="subscript"/>
                <w:lang w:val="lt-LT" w:bidi="ta-IN"/>
              </w:rPr>
              <w:t>14</w:t>
            </w:r>
            <w:r w:rsidR="00C07708"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 w:rsidR="00C07708">
              <w:rPr>
                <w:bCs/>
                <w:sz w:val="20"/>
                <w:lang w:val="lt-LT" w:bidi="ta-IN"/>
              </w:rPr>
              <w:t>+ T</w:t>
            </w:r>
            <w:r w:rsidR="00C07708" w:rsidRPr="00C07708">
              <w:rPr>
                <w:bCs/>
                <w:sz w:val="20"/>
                <w:vertAlign w:val="subscript"/>
                <w:lang w:val="lt-LT" w:bidi="ta-IN"/>
              </w:rPr>
              <w:t>15</w:t>
            </w:r>
            <w:r w:rsidR="00C07708"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 w:rsidR="00C07708">
              <w:rPr>
                <w:bCs/>
                <w:sz w:val="20"/>
                <w:lang w:val="lt-LT" w:bidi="ta-IN"/>
              </w:rPr>
              <w:t>+ T</w:t>
            </w:r>
            <w:r w:rsidR="00C07708" w:rsidRPr="00C07708">
              <w:rPr>
                <w:bCs/>
                <w:sz w:val="20"/>
                <w:vertAlign w:val="subscript"/>
                <w:lang w:val="lt-LT" w:bidi="ta-IN"/>
              </w:rPr>
              <w:t>16</w:t>
            </w:r>
            <w:r w:rsidR="00C07708">
              <w:rPr>
                <w:bCs/>
                <w:sz w:val="20"/>
                <w:vertAlign w:val="subscript"/>
                <w:lang w:val="lt-LT" w:bidi="ta-IN"/>
              </w:rPr>
              <w:t xml:space="preserve"> </w:t>
            </w:r>
            <w:r w:rsidR="00C07708">
              <w:rPr>
                <w:bCs/>
                <w:sz w:val="20"/>
                <w:lang w:val="lt-LT" w:bidi="ta-IN"/>
              </w:rPr>
              <w:t>+ T</w:t>
            </w:r>
            <w:r w:rsidR="00C07708" w:rsidRPr="00C07708">
              <w:rPr>
                <w:bCs/>
                <w:sz w:val="20"/>
                <w:vertAlign w:val="subscript"/>
                <w:lang w:val="lt-LT" w:bidi="ta-IN"/>
              </w:rPr>
              <w:t>17</w:t>
            </w:r>
          </w:p>
        </w:tc>
        <w:tc>
          <w:tcPr>
            <w:tcW w:w="2790" w:type="dxa"/>
          </w:tcPr>
          <w:p w14:paraId="68153EB3" w14:textId="77777777" w:rsidR="00CC656C" w:rsidRPr="00820914" w:rsidRDefault="00CC656C" w:rsidP="00073AA3">
            <w:pPr>
              <w:spacing w:before="60" w:after="60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Ekonominis naudingumas lygus balų už visus kriterijus sumai.</w:t>
            </w:r>
          </w:p>
        </w:tc>
      </w:tr>
      <w:tr w:rsidR="00AA1D28" w:rsidRPr="00820914" w14:paraId="35A532FF" w14:textId="77777777" w:rsidTr="00EC3880">
        <w:trPr>
          <w:trHeight w:val="299"/>
        </w:trPr>
        <w:tc>
          <w:tcPr>
            <w:tcW w:w="1307" w:type="dxa"/>
          </w:tcPr>
          <w:p w14:paraId="07A70866" w14:textId="77777777" w:rsidR="00CC656C" w:rsidRPr="00820914" w:rsidRDefault="00CC656C" w:rsidP="00073AA3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K</w:t>
            </w:r>
          </w:p>
        </w:tc>
        <w:tc>
          <w:tcPr>
            <w:tcW w:w="2282" w:type="dxa"/>
          </w:tcPr>
          <w:p w14:paraId="2DF9E8F4" w14:textId="77777777" w:rsidR="00CC656C" w:rsidRPr="00820914" w:rsidRDefault="00CC656C" w:rsidP="00073AA3">
            <w:pPr>
              <w:spacing w:before="60" w:after="60"/>
              <w:jc w:val="left"/>
              <w:rPr>
                <w:bCs/>
                <w:sz w:val="20"/>
                <w:lang w:val="lt-LT" w:bidi="ta-IN"/>
              </w:rPr>
            </w:pPr>
            <w:r w:rsidRPr="00820914">
              <w:rPr>
                <w:bCs/>
                <w:sz w:val="20"/>
                <w:lang w:val="lt-LT" w:bidi="ta-IN"/>
              </w:rPr>
              <w:t>Kaina (Eur su PVM)</w:t>
            </w:r>
          </w:p>
        </w:tc>
        <w:tc>
          <w:tcPr>
            <w:tcW w:w="1332" w:type="dxa"/>
          </w:tcPr>
          <w:p w14:paraId="676A9F72" w14:textId="02F1782D" w:rsidR="00CC656C" w:rsidRPr="00A5076B" w:rsidRDefault="0036255E" w:rsidP="00073AA3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 w:rsidRPr="0036255E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[</w:t>
            </w:r>
            <w:r w:rsidR="0029280A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bus nustatyta po rinkos konsultacijos</w:t>
            </w:r>
            <w:r w:rsidRPr="0036255E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]</w:t>
            </w:r>
          </w:p>
        </w:tc>
        <w:tc>
          <w:tcPr>
            <w:tcW w:w="1806" w:type="dxa"/>
          </w:tcPr>
          <w:p w14:paraId="75476E37" w14:textId="43F4DD12" w:rsidR="009359AC" w:rsidRPr="0038767D" w:rsidRDefault="009359AC" w:rsidP="0038767D">
            <w:pPr>
              <w:spacing w:before="60" w:after="0"/>
              <w:jc w:val="center"/>
              <w:rPr>
                <w:bCs/>
                <w:sz w:val="20"/>
                <w:lang w:val="lt-LT" w:bidi="ta-IN"/>
              </w:rPr>
            </w:pPr>
            <w:r w:rsidRPr="009359AC">
              <w:rPr>
                <w:bCs/>
                <w:sz w:val="20"/>
                <w:lang w:val="lt-LT" w:bidi="ta-IN"/>
              </w:rPr>
              <w:t>Pirkimui skirta lėšų suma</w:t>
            </w:r>
            <w:r>
              <w:rPr>
                <w:bCs/>
                <w:sz w:val="20"/>
                <w:lang w:val="lt-LT" w:bidi="ta-IN"/>
              </w:rPr>
              <w:t xml:space="preserve"> </w:t>
            </w:r>
            <w:r w:rsidR="00CC656C" w:rsidRPr="009359AC">
              <w:rPr>
                <w:bCs/>
                <w:sz w:val="20"/>
                <w:lang w:val="lt-LT" w:bidi="ta-IN"/>
              </w:rPr>
              <w:t>Eur su PVM</w:t>
            </w:r>
          </w:p>
        </w:tc>
        <w:tc>
          <w:tcPr>
            <w:tcW w:w="1550" w:type="dxa"/>
          </w:tcPr>
          <w:p w14:paraId="505C3C80" w14:textId="71C2D85D" w:rsidR="00CC656C" w:rsidRPr="003D475B" w:rsidRDefault="00233788" w:rsidP="003D475B">
            <w:pPr>
              <w:spacing w:before="60" w:after="60"/>
              <w:jc w:val="center"/>
              <w:rPr>
                <w:b/>
                <w:bCs/>
                <w:i/>
                <w:iCs/>
                <w:sz w:val="16"/>
                <w:szCs w:val="16"/>
                <w:lang w:val="lt-LT" w:bidi="ta-IN"/>
              </w:rPr>
            </w:pP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 xml:space="preserve">[bus </w:t>
            </w:r>
            <w:r w:rsidR="008F63A8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nustatytas po rinkos konsultacijos</w:t>
            </w: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]</w:t>
            </w:r>
          </w:p>
        </w:tc>
        <w:tc>
          <w:tcPr>
            <w:tcW w:w="4318" w:type="dxa"/>
          </w:tcPr>
          <w:p w14:paraId="2D13CEBA" w14:textId="58FBE868" w:rsidR="00CC656C" w:rsidRPr="00467F53" w:rsidRDefault="00467F53" w:rsidP="00073AA3">
            <w:pPr>
              <w:spacing w:before="60" w:after="60"/>
              <w:rPr>
                <w:bCs/>
                <w:sz w:val="18"/>
                <w:szCs w:val="18"/>
                <w:lang w:val="lt-LT" w:bidi="ta-IN"/>
              </w:rPr>
            </w:pP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[</w:t>
            </w:r>
            <w:r w:rsidR="008F63A8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formulė bus nustatyta po rinkos konsultacijos</w:t>
            </w: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]</w:t>
            </w:r>
          </w:p>
        </w:tc>
        <w:tc>
          <w:tcPr>
            <w:tcW w:w="2790" w:type="dxa"/>
          </w:tcPr>
          <w:p w14:paraId="6BEE7256" w14:textId="2851B34C" w:rsidR="00CC656C" w:rsidRPr="00467F53" w:rsidRDefault="00467F53" w:rsidP="00073AA3">
            <w:pPr>
              <w:spacing w:before="60" w:after="60"/>
              <w:rPr>
                <w:bCs/>
                <w:sz w:val="18"/>
                <w:szCs w:val="18"/>
                <w:lang w:val="lt-LT" w:bidi="ta-IN"/>
              </w:rPr>
            </w:pP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[</w:t>
            </w:r>
            <w:r w:rsidR="00AD4F21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 xml:space="preserve">šio kriterijaus </w:t>
            </w: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 xml:space="preserve">vertinimo tvarkos </w:t>
            </w:r>
            <w:r w:rsidR="008F63A8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aprašymas bus pateiktas po rinkos konsultacijos</w:t>
            </w:r>
            <w:r w:rsidRPr="00467F53">
              <w:rPr>
                <w:b/>
                <w:bCs/>
                <w:i/>
                <w:iCs/>
                <w:sz w:val="18"/>
                <w:szCs w:val="18"/>
                <w:lang w:val="lt-LT" w:bidi="ta-IN"/>
              </w:rPr>
              <w:t>]</w:t>
            </w:r>
          </w:p>
        </w:tc>
      </w:tr>
      <w:tr w:rsidR="005C6A8E" w:rsidRPr="00820914" w14:paraId="1DE6920A" w14:textId="77777777" w:rsidTr="005C6A8E">
        <w:trPr>
          <w:trHeight w:val="299"/>
        </w:trPr>
        <w:tc>
          <w:tcPr>
            <w:tcW w:w="1307" w:type="dxa"/>
          </w:tcPr>
          <w:p w14:paraId="492E0DDD" w14:textId="525E5092" w:rsidR="005C6A8E" w:rsidRDefault="005C6A8E" w:rsidP="005C6A8E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T</w:t>
            </w:r>
            <w:r w:rsidRPr="00915D3E">
              <w:rPr>
                <w:bCs/>
                <w:sz w:val="20"/>
                <w:vertAlign w:val="subscript"/>
                <w:lang w:val="lt-LT" w:bidi="ta-IN"/>
              </w:rPr>
              <w:t>1</w:t>
            </w:r>
          </w:p>
        </w:tc>
        <w:tc>
          <w:tcPr>
            <w:tcW w:w="2282" w:type="dxa"/>
          </w:tcPr>
          <w:p w14:paraId="06D6A823" w14:textId="2FB5906F" w:rsidR="005C6A8E" w:rsidRPr="005C6A8E" w:rsidRDefault="005C6A8E" w:rsidP="005C6A8E">
            <w:pPr>
              <w:spacing w:before="60" w:after="60"/>
              <w:rPr>
                <w:bCs/>
                <w:noProof/>
                <w:sz w:val="20"/>
                <w:szCs w:val="16"/>
                <w:lang w:bidi="ta-IN"/>
              </w:rPr>
            </w:pPr>
            <w:r w:rsidRPr="005C6A8E">
              <w:rPr>
                <w:noProof/>
                <w:color w:val="000000"/>
                <w:sz w:val="20"/>
                <w:szCs w:val="16"/>
              </w:rPr>
              <w:t>Amfetamino tyrimo rezultatų matavimo serijos glaudumas (CV%) pusiau kiekybiniam tyrimo rezultatui, taikant 500 ng/ml ribinę vertę, neviršija 3,5</w:t>
            </w:r>
            <w:r>
              <w:rPr>
                <w:noProof/>
                <w:color w:val="000000"/>
                <w:sz w:val="20"/>
                <w:szCs w:val="16"/>
              </w:rPr>
              <w:t xml:space="preserve"> </w:t>
            </w:r>
            <w:r w:rsidRPr="005C6A8E">
              <w:rPr>
                <w:noProof/>
                <w:color w:val="000000"/>
                <w:sz w:val="20"/>
                <w:szCs w:val="16"/>
              </w:rPr>
              <w:t>%</w:t>
            </w:r>
            <w:r>
              <w:rPr>
                <w:noProof/>
                <w:color w:val="000000"/>
                <w:sz w:val="20"/>
                <w:szCs w:val="16"/>
              </w:rPr>
              <w:t>.</w:t>
            </w:r>
          </w:p>
        </w:tc>
        <w:tc>
          <w:tcPr>
            <w:tcW w:w="1332" w:type="dxa"/>
          </w:tcPr>
          <w:p w14:paraId="73FCF9D0" w14:textId="1F7D9472" w:rsidR="005C6A8E" w:rsidRPr="00073AA3" w:rsidRDefault="005C6A8E" w:rsidP="005C6A8E">
            <w:pPr>
              <w:spacing w:before="60" w:after="60"/>
              <w:jc w:val="center"/>
              <w:rPr>
                <w:color w:val="FF0000"/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4B089C1E" w14:textId="1B2A2163" w:rsidR="005C6A8E" w:rsidRPr="00E161D4" w:rsidRDefault="005C6A8E" w:rsidP="005C6A8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245A18F8" w14:textId="06D98DA9" w:rsidR="005C6A8E" w:rsidRPr="00E161D4" w:rsidRDefault="000542D4" w:rsidP="005C6A8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1,4</w:t>
            </w:r>
          </w:p>
        </w:tc>
        <w:tc>
          <w:tcPr>
            <w:tcW w:w="4318" w:type="dxa"/>
          </w:tcPr>
          <w:p w14:paraId="4E326699" w14:textId="0F5CF499" w:rsidR="005C6A8E" w:rsidRPr="00E161D4" w:rsidRDefault="005C6A8E" w:rsidP="005C6A8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0542D4">
              <w:rPr>
                <w:rFonts w:eastAsia="Times New Roman"/>
                <w:iCs/>
                <w:sz w:val="20"/>
                <w:szCs w:val="18"/>
                <w:lang w:val="lt-LT"/>
              </w:rPr>
              <w:t>1,4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2F7CB56A" w14:textId="77C726D5" w:rsidR="005C6A8E" w:rsidRPr="00E161D4" w:rsidRDefault="005C6A8E" w:rsidP="005C6A8E">
            <w:pPr>
              <w:spacing w:before="60"/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699A5985" w14:textId="77777777" w:rsidR="005C6A8E" w:rsidRDefault="005C6A8E" w:rsidP="005C6A8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5E487CBF" w14:textId="7B59254C" w:rsidR="005C6A8E" w:rsidRDefault="005C6A8E" w:rsidP="005C6A8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lastRenderedPageBreak/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0542D4" w:rsidRPr="00820914" w14:paraId="51EC4B1E" w14:textId="77777777" w:rsidTr="005C6A8E">
        <w:trPr>
          <w:trHeight w:val="299"/>
        </w:trPr>
        <w:tc>
          <w:tcPr>
            <w:tcW w:w="1307" w:type="dxa"/>
          </w:tcPr>
          <w:p w14:paraId="4D4D9C52" w14:textId="1B906AE5" w:rsidR="000542D4" w:rsidRDefault="000542D4" w:rsidP="000542D4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lastRenderedPageBreak/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2</w:t>
            </w:r>
          </w:p>
        </w:tc>
        <w:tc>
          <w:tcPr>
            <w:tcW w:w="2282" w:type="dxa"/>
          </w:tcPr>
          <w:p w14:paraId="3572C5F7" w14:textId="43D8F268" w:rsidR="000542D4" w:rsidRPr="005C6A8E" w:rsidRDefault="000542D4" w:rsidP="000542D4">
            <w:pPr>
              <w:spacing w:before="60" w:after="60"/>
              <w:rPr>
                <w:bCs/>
                <w:noProof/>
                <w:sz w:val="20"/>
                <w:szCs w:val="16"/>
                <w:lang w:bidi="ta-IN"/>
              </w:rPr>
            </w:pPr>
            <w:r w:rsidRPr="005C6A8E">
              <w:rPr>
                <w:noProof/>
                <w:color w:val="000000"/>
                <w:sz w:val="20"/>
                <w:szCs w:val="16"/>
              </w:rPr>
              <w:t>Benzodiazepinų tyrimo rezultatų matavimo serijos glaudumas (CV%) pusiau kiekybiniam tyrimo rezultatui, taikant 300 ng/ml ribinę vertę, neviršija 2</w:t>
            </w:r>
            <w:r>
              <w:rPr>
                <w:noProof/>
                <w:color w:val="000000"/>
                <w:sz w:val="20"/>
                <w:szCs w:val="16"/>
              </w:rPr>
              <w:t xml:space="preserve"> </w:t>
            </w:r>
            <w:r w:rsidRPr="005C6A8E">
              <w:rPr>
                <w:noProof/>
                <w:color w:val="000000"/>
                <w:sz w:val="20"/>
                <w:szCs w:val="16"/>
              </w:rPr>
              <w:t>%</w:t>
            </w:r>
            <w:r>
              <w:rPr>
                <w:noProof/>
                <w:color w:val="000000"/>
                <w:sz w:val="20"/>
                <w:szCs w:val="16"/>
              </w:rPr>
              <w:t>.</w:t>
            </w:r>
            <w:r w:rsidRPr="005C6A8E">
              <w:rPr>
                <w:noProof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1332" w:type="dxa"/>
          </w:tcPr>
          <w:p w14:paraId="0F2155D9" w14:textId="4530BDFC" w:rsidR="000542D4" w:rsidRPr="000F1EBB" w:rsidRDefault="000542D4" w:rsidP="000542D4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0CE71364" w14:textId="5D0D0293" w:rsidR="000542D4" w:rsidRPr="00E161D4" w:rsidRDefault="000542D4" w:rsidP="000542D4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17DFA797" w14:textId="7DFAA604" w:rsidR="000542D4" w:rsidRPr="00E161D4" w:rsidRDefault="000542D4" w:rsidP="000542D4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1,4</w:t>
            </w:r>
          </w:p>
        </w:tc>
        <w:tc>
          <w:tcPr>
            <w:tcW w:w="4318" w:type="dxa"/>
          </w:tcPr>
          <w:p w14:paraId="43FBCBA5" w14:textId="77777777" w:rsidR="000542D4" w:rsidRPr="00E161D4" w:rsidRDefault="000542D4" w:rsidP="000542D4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>
              <w:rPr>
                <w:rFonts w:eastAsia="Times New Roman"/>
                <w:iCs/>
                <w:sz w:val="20"/>
                <w:szCs w:val="18"/>
                <w:lang w:val="lt-LT"/>
              </w:rPr>
              <w:t>1,4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7A2D1189" w14:textId="2DC0436C" w:rsidR="000542D4" w:rsidRPr="00E161D4" w:rsidRDefault="000542D4" w:rsidP="000542D4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59E28B9E" w14:textId="77777777" w:rsidR="000542D4" w:rsidRDefault="000542D4" w:rsidP="000542D4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2E06B220" w14:textId="0EE3855B" w:rsidR="000542D4" w:rsidRDefault="000542D4" w:rsidP="000542D4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0542D4" w:rsidRPr="00820914" w14:paraId="277EFB36" w14:textId="77777777" w:rsidTr="005C6A8E">
        <w:trPr>
          <w:trHeight w:val="299"/>
        </w:trPr>
        <w:tc>
          <w:tcPr>
            <w:tcW w:w="1307" w:type="dxa"/>
          </w:tcPr>
          <w:p w14:paraId="2ACF2100" w14:textId="66F90BF3" w:rsidR="000542D4" w:rsidRDefault="000542D4" w:rsidP="000542D4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3</w:t>
            </w:r>
          </w:p>
        </w:tc>
        <w:tc>
          <w:tcPr>
            <w:tcW w:w="2282" w:type="dxa"/>
          </w:tcPr>
          <w:p w14:paraId="6731B3EC" w14:textId="2BD0507A" w:rsidR="000542D4" w:rsidRPr="005C6A8E" w:rsidRDefault="000542D4" w:rsidP="000542D4">
            <w:pPr>
              <w:spacing w:before="60" w:after="60"/>
              <w:rPr>
                <w:bCs/>
                <w:noProof/>
                <w:sz w:val="20"/>
                <w:szCs w:val="16"/>
                <w:lang w:bidi="ta-IN"/>
              </w:rPr>
            </w:pPr>
            <w:r w:rsidRPr="005C6A8E">
              <w:rPr>
                <w:noProof/>
                <w:color w:val="000000"/>
                <w:sz w:val="20"/>
                <w:szCs w:val="16"/>
              </w:rPr>
              <w:t xml:space="preserve">Metadono tyrimo rezultatų matavimo serijos glaudumas (CV%) pusiau kiekybiniam tyrimo rezultatui, taikant </w:t>
            </w:r>
            <w:r w:rsidRPr="005C6A8E">
              <w:rPr>
                <w:noProof/>
                <w:color w:val="000000"/>
                <w:sz w:val="20"/>
                <w:szCs w:val="16"/>
              </w:rPr>
              <w:lastRenderedPageBreak/>
              <w:t>300 ng/ml ribinę vertę, neviršija</w:t>
            </w:r>
            <w:r w:rsidRPr="005C6A8E">
              <w:rPr>
                <w:noProof/>
                <w:color w:val="FF0000"/>
                <w:sz w:val="20"/>
                <w:szCs w:val="16"/>
              </w:rPr>
              <w:t xml:space="preserve"> </w:t>
            </w:r>
            <w:r w:rsidRPr="005C6A8E">
              <w:rPr>
                <w:noProof/>
                <w:sz w:val="20"/>
                <w:szCs w:val="16"/>
              </w:rPr>
              <w:t>2,5</w:t>
            </w:r>
            <w:r>
              <w:rPr>
                <w:noProof/>
                <w:sz w:val="20"/>
                <w:szCs w:val="16"/>
              </w:rPr>
              <w:t xml:space="preserve"> </w:t>
            </w:r>
            <w:r w:rsidRPr="005C6A8E">
              <w:rPr>
                <w:noProof/>
                <w:color w:val="000000"/>
                <w:sz w:val="20"/>
                <w:szCs w:val="16"/>
              </w:rPr>
              <w:t>%</w:t>
            </w:r>
            <w:r>
              <w:rPr>
                <w:noProof/>
                <w:color w:val="000000"/>
                <w:sz w:val="20"/>
                <w:szCs w:val="16"/>
              </w:rPr>
              <w:t>.</w:t>
            </w:r>
          </w:p>
        </w:tc>
        <w:tc>
          <w:tcPr>
            <w:tcW w:w="1332" w:type="dxa"/>
          </w:tcPr>
          <w:p w14:paraId="78D0440A" w14:textId="62CBC1FF" w:rsidR="000542D4" w:rsidRDefault="000542D4" w:rsidP="000542D4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lastRenderedPageBreak/>
              <w:t>–</w:t>
            </w:r>
          </w:p>
        </w:tc>
        <w:tc>
          <w:tcPr>
            <w:tcW w:w="1806" w:type="dxa"/>
          </w:tcPr>
          <w:p w14:paraId="68CF35A2" w14:textId="3DDE2BFA" w:rsidR="000542D4" w:rsidRPr="00E161D4" w:rsidRDefault="000542D4" w:rsidP="000542D4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70496762" w14:textId="7D94300E" w:rsidR="000542D4" w:rsidRPr="00E161D4" w:rsidRDefault="000542D4" w:rsidP="000542D4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1,4</w:t>
            </w:r>
          </w:p>
        </w:tc>
        <w:tc>
          <w:tcPr>
            <w:tcW w:w="4318" w:type="dxa"/>
          </w:tcPr>
          <w:p w14:paraId="7A87567E" w14:textId="77777777" w:rsidR="000542D4" w:rsidRPr="00E161D4" w:rsidRDefault="000542D4" w:rsidP="000542D4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>
              <w:rPr>
                <w:rFonts w:eastAsia="Times New Roman"/>
                <w:iCs/>
                <w:sz w:val="20"/>
                <w:szCs w:val="18"/>
                <w:lang w:val="lt-LT"/>
              </w:rPr>
              <w:t>1,4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4B100B25" w14:textId="350E2466" w:rsidR="000542D4" w:rsidRPr="00E161D4" w:rsidRDefault="000542D4" w:rsidP="000542D4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5EB2B1EB" w14:textId="77777777" w:rsidR="000542D4" w:rsidRDefault="000542D4" w:rsidP="000542D4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 xml:space="preserve">1. Jeigu tiekėjo pasiūlymas pilna apimtimi atitinka nurodytą kokybės kriterijaus reikalavimą (techninį parametrą), jam skiriamas maksimalus </w:t>
            </w:r>
            <w:r>
              <w:rPr>
                <w:bCs/>
                <w:sz w:val="20"/>
                <w:lang w:val="lt-LT" w:bidi="ta-IN"/>
              </w:rPr>
              <w:lastRenderedPageBreak/>
              <w:t>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41885DB0" w14:textId="0E7C4A3C" w:rsidR="000542D4" w:rsidRDefault="000542D4" w:rsidP="000542D4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0542D4" w:rsidRPr="00820914" w14:paraId="49A42913" w14:textId="77777777" w:rsidTr="005C6A8E">
        <w:trPr>
          <w:trHeight w:val="299"/>
        </w:trPr>
        <w:tc>
          <w:tcPr>
            <w:tcW w:w="1307" w:type="dxa"/>
          </w:tcPr>
          <w:p w14:paraId="78F12DA0" w14:textId="31214FB2" w:rsidR="000542D4" w:rsidRDefault="000542D4" w:rsidP="000542D4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lastRenderedPageBreak/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4</w:t>
            </w:r>
          </w:p>
        </w:tc>
        <w:tc>
          <w:tcPr>
            <w:tcW w:w="2282" w:type="dxa"/>
          </w:tcPr>
          <w:p w14:paraId="57704F5B" w14:textId="7E9DE104" w:rsidR="000542D4" w:rsidRPr="005C6A8E" w:rsidRDefault="000542D4" w:rsidP="000542D4">
            <w:pPr>
              <w:spacing w:before="60" w:after="60"/>
              <w:rPr>
                <w:bCs/>
                <w:noProof/>
                <w:sz w:val="20"/>
                <w:szCs w:val="16"/>
                <w:lang w:bidi="ta-IN"/>
              </w:rPr>
            </w:pPr>
            <w:r w:rsidRPr="005C6A8E">
              <w:rPr>
                <w:noProof/>
                <w:sz w:val="20"/>
                <w:szCs w:val="16"/>
              </w:rPr>
              <w:t>MDMA tyrimo rezultatų matavimo serijos glaudumas (CV%) pusiau kiekybiniam tyrimo rezultatui, taikant 500 ng/ml ribinę vertę, neviršija 1</w:t>
            </w:r>
            <w:r>
              <w:rPr>
                <w:noProof/>
                <w:sz w:val="20"/>
                <w:szCs w:val="16"/>
              </w:rPr>
              <w:t>,</w:t>
            </w:r>
            <w:r w:rsidRPr="005C6A8E">
              <w:rPr>
                <w:noProof/>
                <w:sz w:val="20"/>
                <w:szCs w:val="16"/>
              </w:rPr>
              <w:t>5</w:t>
            </w:r>
            <w:r>
              <w:rPr>
                <w:noProof/>
                <w:sz w:val="20"/>
                <w:szCs w:val="16"/>
              </w:rPr>
              <w:t xml:space="preserve"> </w:t>
            </w:r>
            <w:r w:rsidRPr="005C6A8E">
              <w:rPr>
                <w:noProof/>
                <w:sz w:val="20"/>
                <w:szCs w:val="16"/>
              </w:rPr>
              <w:t>%</w:t>
            </w:r>
            <w:r>
              <w:rPr>
                <w:noProof/>
                <w:sz w:val="20"/>
                <w:szCs w:val="16"/>
              </w:rPr>
              <w:t>.</w:t>
            </w:r>
            <w:r w:rsidRPr="005C6A8E">
              <w:rPr>
                <w:noProof/>
                <w:sz w:val="20"/>
                <w:szCs w:val="16"/>
              </w:rPr>
              <w:t xml:space="preserve"> </w:t>
            </w:r>
          </w:p>
        </w:tc>
        <w:tc>
          <w:tcPr>
            <w:tcW w:w="1332" w:type="dxa"/>
          </w:tcPr>
          <w:p w14:paraId="0AA13632" w14:textId="20692CA8" w:rsidR="000542D4" w:rsidRDefault="000542D4" w:rsidP="000542D4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65A8D15C" w14:textId="7DE2ED83" w:rsidR="000542D4" w:rsidRPr="00E161D4" w:rsidRDefault="000542D4" w:rsidP="000542D4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1874B547" w14:textId="5F26A661" w:rsidR="000542D4" w:rsidRPr="00E161D4" w:rsidRDefault="000542D4" w:rsidP="000542D4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1,4</w:t>
            </w:r>
          </w:p>
        </w:tc>
        <w:tc>
          <w:tcPr>
            <w:tcW w:w="4318" w:type="dxa"/>
          </w:tcPr>
          <w:p w14:paraId="20E52C8A" w14:textId="77777777" w:rsidR="000542D4" w:rsidRPr="00E161D4" w:rsidRDefault="000542D4" w:rsidP="000542D4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>
              <w:rPr>
                <w:rFonts w:eastAsia="Times New Roman"/>
                <w:iCs/>
                <w:sz w:val="20"/>
                <w:szCs w:val="18"/>
                <w:lang w:val="lt-LT"/>
              </w:rPr>
              <w:t>1,4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505B2C20" w14:textId="12EA5BD0" w:rsidR="000542D4" w:rsidRPr="00E161D4" w:rsidRDefault="000542D4" w:rsidP="000542D4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7D68057B" w14:textId="77777777" w:rsidR="000542D4" w:rsidRDefault="000542D4" w:rsidP="000542D4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54B89E77" w14:textId="715D98FD" w:rsidR="000542D4" w:rsidRDefault="000542D4" w:rsidP="000542D4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5C6A8E" w:rsidRPr="00820914" w14:paraId="05BAF24B" w14:textId="77777777" w:rsidTr="005C6A8E">
        <w:trPr>
          <w:trHeight w:val="299"/>
        </w:trPr>
        <w:tc>
          <w:tcPr>
            <w:tcW w:w="1307" w:type="dxa"/>
          </w:tcPr>
          <w:p w14:paraId="26F7FCD5" w14:textId="215EC29B" w:rsidR="005C6A8E" w:rsidRDefault="005C6A8E" w:rsidP="005C6A8E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lastRenderedPageBreak/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5</w:t>
            </w:r>
          </w:p>
        </w:tc>
        <w:tc>
          <w:tcPr>
            <w:tcW w:w="2282" w:type="dxa"/>
          </w:tcPr>
          <w:p w14:paraId="12AB3007" w14:textId="3E99E6B1" w:rsidR="005C6A8E" w:rsidRPr="005C6A8E" w:rsidRDefault="005C6A8E" w:rsidP="005C6A8E">
            <w:pPr>
              <w:spacing w:before="60" w:after="60"/>
              <w:rPr>
                <w:bCs/>
                <w:noProof/>
                <w:sz w:val="20"/>
                <w:szCs w:val="16"/>
                <w:lang w:bidi="ta-IN"/>
              </w:rPr>
            </w:pPr>
            <w:r w:rsidRPr="005C6A8E">
              <w:rPr>
                <w:noProof/>
                <w:color w:val="000000"/>
                <w:sz w:val="20"/>
                <w:szCs w:val="16"/>
              </w:rPr>
              <w:t xml:space="preserve">Atidaryto reagento (amfetamino, opijatų, kanabinoidų, kokaino, benzodiazepinų, metadono, barbituratų, MDMA) stabilumas </w:t>
            </w:r>
            <w:r>
              <w:rPr>
                <w:noProof/>
                <w:color w:val="000000"/>
                <w:sz w:val="20"/>
                <w:szCs w:val="16"/>
              </w:rPr>
              <w:t xml:space="preserve">– </w:t>
            </w:r>
            <w:r w:rsidRPr="005C6A8E">
              <w:rPr>
                <w:noProof/>
                <w:color w:val="000000"/>
                <w:sz w:val="20"/>
                <w:szCs w:val="16"/>
              </w:rPr>
              <w:t>ne mažiau kaip 12 mėnesių 2-8</w:t>
            </w:r>
            <w:r w:rsidRPr="005C6A8E">
              <w:rPr>
                <w:noProof/>
                <w:color w:val="1F1F1F"/>
                <w:sz w:val="20"/>
                <w:szCs w:val="16"/>
              </w:rPr>
              <w:t xml:space="preserve"> </w:t>
            </w:r>
            <w:r w:rsidRPr="005C6A8E">
              <w:rPr>
                <w:noProof/>
                <w:color w:val="000000"/>
                <w:sz w:val="20"/>
                <w:szCs w:val="16"/>
              </w:rPr>
              <w:t>°C temperatūroje arba iki reagento galiojimo laiko pabaigos</w:t>
            </w:r>
            <w:r>
              <w:rPr>
                <w:noProof/>
                <w:color w:val="000000"/>
                <w:sz w:val="20"/>
                <w:szCs w:val="16"/>
              </w:rPr>
              <w:t>.</w:t>
            </w:r>
          </w:p>
        </w:tc>
        <w:tc>
          <w:tcPr>
            <w:tcW w:w="1332" w:type="dxa"/>
          </w:tcPr>
          <w:p w14:paraId="4C5E3C4E" w14:textId="4C76D7A9" w:rsidR="005C6A8E" w:rsidRDefault="005C6A8E" w:rsidP="005C6A8E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563C6C47" w14:textId="063C5A25" w:rsidR="005C6A8E" w:rsidRPr="00E161D4" w:rsidRDefault="005C6A8E" w:rsidP="005C6A8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6712C7DE" w14:textId="43BE4AFB" w:rsidR="005C6A8E" w:rsidRPr="00110330" w:rsidRDefault="000542D4" w:rsidP="005C6A8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4</w:t>
            </w:r>
          </w:p>
        </w:tc>
        <w:tc>
          <w:tcPr>
            <w:tcW w:w="4318" w:type="dxa"/>
          </w:tcPr>
          <w:p w14:paraId="40FE6BDA" w14:textId="58E1C8A4" w:rsidR="005C6A8E" w:rsidRPr="00E161D4" w:rsidRDefault="005C6A8E" w:rsidP="005C6A8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0542D4">
              <w:rPr>
                <w:rFonts w:eastAsia="Times New Roman"/>
                <w:iCs/>
                <w:sz w:val="20"/>
                <w:szCs w:val="18"/>
                <w:lang w:val="lt-LT"/>
              </w:rPr>
              <w:t>4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568A74F3" w14:textId="7B7C653B" w:rsidR="005C6A8E" w:rsidRPr="00E161D4" w:rsidRDefault="005C6A8E" w:rsidP="005C6A8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6E447CDF" w14:textId="77777777" w:rsidR="005C6A8E" w:rsidRDefault="005C6A8E" w:rsidP="005C6A8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18B57E4C" w14:textId="31FE1010" w:rsidR="005C6A8E" w:rsidRDefault="005C6A8E" w:rsidP="005C6A8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5C6A8E" w:rsidRPr="00820914" w14:paraId="21264645" w14:textId="77777777" w:rsidTr="005C6A8E">
        <w:trPr>
          <w:trHeight w:val="299"/>
        </w:trPr>
        <w:tc>
          <w:tcPr>
            <w:tcW w:w="1307" w:type="dxa"/>
          </w:tcPr>
          <w:p w14:paraId="57727ACB" w14:textId="6B8D466B" w:rsidR="005C6A8E" w:rsidRDefault="005C6A8E" w:rsidP="005C6A8E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6</w:t>
            </w:r>
          </w:p>
        </w:tc>
        <w:tc>
          <w:tcPr>
            <w:tcW w:w="2282" w:type="dxa"/>
          </w:tcPr>
          <w:p w14:paraId="5DDD9F87" w14:textId="3133DDCF" w:rsidR="005C6A8E" w:rsidRPr="005C6A8E" w:rsidRDefault="005C6A8E" w:rsidP="005C6A8E">
            <w:pPr>
              <w:spacing w:before="60" w:after="60"/>
              <w:jc w:val="left"/>
              <w:rPr>
                <w:bCs/>
                <w:noProof/>
                <w:sz w:val="20"/>
                <w:szCs w:val="16"/>
                <w:lang w:bidi="ta-IN"/>
              </w:rPr>
            </w:pPr>
            <w:r w:rsidRPr="005C6A8E">
              <w:rPr>
                <w:noProof/>
                <w:color w:val="000000"/>
                <w:sz w:val="20"/>
                <w:szCs w:val="16"/>
              </w:rPr>
              <w:t>Reagentai paruošti naudoti</w:t>
            </w:r>
            <w:r>
              <w:rPr>
                <w:noProof/>
                <w:color w:val="000000"/>
                <w:sz w:val="20"/>
                <w:szCs w:val="16"/>
              </w:rPr>
              <w:t>.</w:t>
            </w:r>
          </w:p>
        </w:tc>
        <w:tc>
          <w:tcPr>
            <w:tcW w:w="1332" w:type="dxa"/>
          </w:tcPr>
          <w:p w14:paraId="1A3DD975" w14:textId="47DF90C1" w:rsidR="005C6A8E" w:rsidRDefault="005C6A8E" w:rsidP="005C6A8E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51CC280F" w14:textId="66C115F3" w:rsidR="005C6A8E" w:rsidRPr="00E161D4" w:rsidRDefault="005C6A8E" w:rsidP="005C6A8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20299706" w14:textId="3CA89E2F" w:rsidR="005C6A8E" w:rsidRPr="00E161D4" w:rsidRDefault="007B0BD2" w:rsidP="005C6A8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3,2</w:t>
            </w:r>
          </w:p>
        </w:tc>
        <w:tc>
          <w:tcPr>
            <w:tcW w:w="4318" w:type="dxa"/>
          </w:tcPr>
          <w:p w14:paraId="35AFED74" w14:textId="2AB6E759" w:rsidR="005C6A8E" w:rsidRPr="00E161D4" w:rsidRDefault="005C6A8E" w:rsidP="005C6A8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7B0BD2">
              <w:rPr>
                <w:rFonts w:eastAsia="Times New Roman"/>
                <w:iCs/>
                <w:sz w:val="20"/>
                <w:szCs w:val="18"/>
                <w:lang w:val="lt-LT"/>
              </w:rPr>
              <w:t>3,2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76939745" w14:textId="3935495E" w:rsidR="005C6A8E" w:rsidRPr="00E161D4" w:rsidRDefault="005C6A8E" w:rsidP="005C6A8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4C4C66E7" w14:textId="77777777" w:rsidR="005C6A8E" w:rsidRDefault="005C6A8E" w:rsidP="005C6A8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171F26F5" w14:textId="7745E74D" w:rsidR="005C6A8E" w:rsidRDefault="005C6A8E" w:rsidP="005C6A8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konkretaus pirkimo sąlygų </w:t>
            </w:r>
            <w:r w:rsidRPr="00616CA3">
              <w:rPr>
                <w:b/>
                <w:sz w:val="20"/>
                <w:u w:val="single"/>
                <w:lang w:val="lt-LT" w:bidi="ta-IN"/>
              </w:rPr>
              <w:lastRenderedPageBreak/>
              <w:t>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5C6A8E" w:rsidRPr="00820914" w14:paraId="63FD2EFE" w14:textId="77777777" w:rsidTr="005C6A8E">
        <w:trPr>
          <w:trHeight w:val="299"/>
        </w:trPr>
        <w:tc>
          <w:tcPr>
            <w:tcW w:w="1307" w:type="dxa"/>
          </w:tcPr>
          <w:p w14:paraId="34A8A9A2" w14:textId="27879978" w:rsidR="005C6A8E" w:rsidRDefault="005C6A8E" w:rsidP="005C6A8E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lastRenderedPageBreak/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7</w:t>
            </w:r>
          </w:p>
        </w:tc>
        <w:tc>
          <w:tcPr>
            <w:tcW w:w="2282" w:type="dxa"/>
          </w:tcPr>
          <w:p w14:paraId="45807A14" w14:textId="2DD108F2" w:rsidR="005C6A8E" w:rsidRPr="005C6A8E" w:rsidRDefault="005C6A8E" w:rsidP="005C6A8E">
            <w:pPr>
              <w:spacing w:before="60" w:after="60"/>
              <w:rPr>
                <w:bCs/>
                <w:noProof/>
                <w:color w:val="000000" w:themeColor="text1"/>
                <w:sz w:val="20"/>
                <w:szCs w:val="16"/>
                <w:lang w:bidi="ta-IN"/>
              </w:rPr>
            </w:pPr>
            <w:r w:rsidRPr="005C6A8E">
              <w:rPr>
                <w:noProof/>
                <w:color w:val="000000"/>
                <w:sz w:val="20"/>
                <w:szCs w:val="16"/>
              </w:rPr>
              <w:t>Kokaino, MDMA, amfetamino, metadono, opiatų, barbitūratų, benzodiazepinų, kanabinoidų reagento vartotojo instrukcijose yra pateikiama procedūra mėginio apdorojimui, kai šlapimo PH&lt;5</w:t>
            </w:r>
            <w:r>
              <w:rPr>
                <w:noProof/>
                <w:color w:val="000000"/>
                <w:sz w:val="20"/>
                <w:szCs w:val="16"/>
              </w:rPr>
              <w:t>.</w:t>
            </w:r>
          </w:p>
        </w:tc>
        <w:tc>
          <w:tcPr>
            <w:tcW w:w="1332" w:type="dxa"/>
          </w:tcPr>
          <w:p w14:paraId="6CD81D04" w14:textId="0A041F4F" w:rsidR="005C6A8E" w:rsidRDefault="005C6A8E" w:rsidP="005C6A8E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39DE14CB" w14:textId="5B31CEF9" w:rsidR="005C6A8E" w:rsidRPr="00E161D4" w:rsidRDefault="005C6A8E" w:rsidP="005C6A8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17D090C8" w14:textId="7DE2B53A" w:rsidR="005C6A8E" w:rsidRPr="00E161D4" w:rsidRDefault="007B0BD2" w:rsidP="005C6A8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2,2</w:t>
            </w:r>
          </w:p>
        </w:tc>
        <w:tc>
          <w:tcPr>
            <w:tcW w:w="4318" w:type="dxa"/>
          </w:tcPr>
          <w:p w14:paraId="0095CB96" w14:textId="5D36434F" w:rsidR="005C6A8E" w:rsidRPr="00E161D4" w:rsidRDefault="005C6A8E" w:rsidP="005C6A8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7B0BD2">
              <w:rPr>
                <w:rFonts w:eastAsia="Times New Roman"/>
                <w:iCs/>
                <w:sz w:val="20"/>
                <w:szCs w:val="18"/>
                <w:lang w:val="lt-LT"/>
              </w:rPr>
              <w:t>2,2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374F04C0" w14:textId="0DAFEA59" w:rsidR="005C6A8E" w:rsidRPr="00E161D4" w:rsidRDefault="005C6A8E" w:rsidP="005C6A8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30BE1C4B" w14:textId="77777777" w:rsidR="005C6A8E" w:rsidRDefault="005C6A8E" w:rsidP="005C6A8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6D760726" w14:textId="06803847" w:rsidR="005C6A8E" w:rsidRDefault="005C6A8E" w:rsidP="005C6A8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5C6A8E" w:rsidRPr="00820914" w14:paraId="1F16173B" w14:textId="77777777" w:rsidTr="005C6A8E">
        <w:trPr>
          <w:trHeight w:val="299"/>
        </w:trPr>
        <w:tc>
          <w:tcPr>
            <w:tcW w:w="1307" w:type="dxa"/>
          </w:tcPr>
          <w:p w14:paraId="55E66AF3" w14:textId="6F76FE2A" w:rsidR="005C6A8E" w:rsidRDefault="005C6A8E" w:rsidP="005C6A8E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8</w:t>
            </w:r>
          </w:p>
        </w:tc>
        <w:tc>
          <w:tcPr>
            <w:tcW w:w="2282" w:type="dxa"/>
          </w:tcPr>
          <w:p w14:paraId="32095A29" w14:textId="77777777" w:rsidR="006A5455" w:rsidRDefault="006A5455" w:rsidP="005C6A8E">
            <w:pPr>
              <w:spacing w:before="60" w:after="60"/>
              <w:rPr>
                <w:noProof/>
                <w:color w:val="000000"/>
                <w:sz w:val="20"/>
                <w:szCs w:val="16"/>
              </w:rPr>
            </w:pPr>
            <w:r>
              <w:rPr>
                <w:noProof/>
                <w:color w:val="000000"/>
                <w:sz w:val="20"/>
                <w:szCs w:val="16"/>
              </w:rPr>
              <w:t>V</w:t>
            </w:r>
            <w:r w:rsidR="005C6A8E" w:rsidRPr="005C6A8E">
              <w:rPr>
                <w:noProof/>
                <w:color w:val="000000"/>
                <w:sz w:val="20"/>
                <w:szCs w:val="16"/>
              </w:rPr>
              <w:t>idutinio (300-600 tyrimų) dydžio pakuotės substrato tūris viršija 100</w:t>
            </w:r>
            <w:r>
              <w:rPr>
                <w:noProof/>
                <w:color w:val="000000"/>
                <w:sz w:val="20"/>
                <w:szCs w:val="16"/>
              </w:rPr>
              <w:t> </w:t>
            </w:r>
            <w:r w:rsidR="005C6A8E" w:rsidRPr="005C6A8E">
              <w:rPr>
                <w:noProof/>
                <w:color w:val="000000"/>
                <w:sz w:val="20"/>
                <w:szCs w:val="16"/>
              </w:rPr>
              <w:t>ml</w:t>
            </w:r>
            <w:r>
              <w:rPr>
                <w:noProof/>
                <w:color w:val="000000"/>
                <w:sz w:val="20"/>
                <w:szCs w:val="16"/>
              </w:rPr>
              <w:t>.</w:t>
            </w:r>
          </w:p>
          <w:p w14:paraId="17484818" w14:textId="77777777" w:rsidR="006A5455" w:rsidRDefault="006A5455" w:rsidP="005C6A8E">
            <w:pPr>
              <w:spacing w:before="60" w:after="60"/>
              <w:rPr>
                <w:noProof/>
                <w:color w:val="000000"/>
                <w:sz w:val="20"/>
                <w:szCs w:val="16"/>
              </w:rPr>
            </w:pPr>
          </w:p>
          <w:p w14:paraId="03A1E045" w14:textId="6F4B6D50" w:rsidR="005C6A8E" w:rsidRPr="006A5455" w:rsidRDefault="006A5455" w:rsidP="005C6A8E">
            <w:pPr>
              <w:spacing w:before="60" w:after="60"/>
              <w:rPr>
                <w:bCs/>
                <w:i/>
                <w:iCs/>
                <w:noProof/>
                <w:color w:val="000000" w:themeColor="text1"/>
                <w:sz w:val="20"/>
                <w:szCs w:val="16"/>
                <w:lang w:bidi="ta-IN"/>
              </w:rPr>
            </w:pPr>
            <w:r w:rsidRPr="006A5455">
              <w:rPr>
                <w:i/>
                <w:iCs/>
                <w:noProof/>
                <w:color w:val="000000"/>
                <w:sz w:val="20"/>
                <w:szCs w:val="16"/>
              </w:rPr>
              <w:t>Reikalavimas keliamas kaip aplinkosauginis reikalavimas,</w:t>
            </w:r>
            <w:r w:rsidRPr="006A5455">
              <w:rPr>
                <w:i/>
                <w:iCs/>
                <w:noProof/>
                <w:color w:val="000000"/>
                <w:sz w:val="20"/>
                <w:szCs w:val="16"/>
              </w:rPr>
              <w:t xml:space="preserve"> </w:t>
            </w:r>
            <w:r w:rsidRPr="006A5455">
              <w:rPr>
                <w:i/>
                <w:iCs/>
                <w:noProof/>
                <w:color w:val="000000"/>
                <w:sz w:val="20"/>
                <w:szCs w:val="16"/>
              </w:rPr>
              <w:lastRenderedPageBreak/>
              <w:t>vadovaujantis Aplinkos apsaugos kriterijų taikymo, vykdant žaliuosius pirkimus, tvarkos aprašo 4.4.4.1</w:t>
            </w:r>
            <w:r>
              <w:rPr>
                <w:i/>
                <w:iCs/>
                <w:noProof/>
                <w:color w:val="000000"/>
                <w:sz w:val="20"/>
                <w:szCs w:val="16"/>
              </w:rPr>
              <w:t> </w:t>
            </w:r>
            <w:r w:rsidRPr="006A5455">
              <w:rPr>
                <w:i/>
                <w:iCs/>
                <w:noProof/>
                <w:color w:val="000000"/>
                <w:sz w:val="20"/>
                <w:szCs w:val="16"/>
              </w:rPr>
              <w:t>papunkčiu.</w:t>
            </w:r>
          </w:p>
        </w:tc>
        <w:tc>
          <w:tcPr>
            <w:tcW w:w="1332" w:type="dxa"/>
          </w:tcPr>
          <w:p w14:paraId="7425716F" w14:textId="522032BD" w:rsidR="005C6A8E" w:rsidRDefault="005C6A8E" w:rsidP="005C6A8E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lastRenderedPageBreak/>
              <w:t>–</w:t>
            </w:r>
          </w:p>
        </w:tc>
        <w:tc>
          <w:tcPr>
            <w:tcW w:w="1806" w:type="dxa"/>
          </w:tcPr>
          <w:p w14:paraId="5B7D9C45" w14:textId="3847518E" w:rsidR="005C6A8E" w:rsidRPr="00E161D4" w:rsidRDefault="005C6A8E" w:rsidP="005C6A8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7CE0E119" w14:textId="52ECD7DE" w:rsidR="005C6A8E" w:rsidRPr="00E161D4" w:rsidRDefault="007B0BD2" w:rsidP="005C6A8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3,2</w:t>
            </w:r>
          </w:p>
        </w:tc>
        <w:tc>
          <w:tcPr>
            <w:tcW w:w="4318" w:type="dxa"/>
          </w:tcPr>
          <w:p w14:paraId="4C0CAA97" w14:textId="060B974E" w:rsidR="005C6A8E" w:rsidRPr="00E161D4" w:rsidRDefault="005C6A8E" w:rsidP="005C6A8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7B0BD2">
              <w:rPr>
                <w:rFonts w:eastAsia="Times New Roman"/>
                <w:iCs/>
                <w:sz w:val="20"/>
                <w:szCs w:val="18"/>
                <w:lang w:val="lt-LT"/>
              </w:rPr>
              <w:t>3,2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5A287AB6" w14:textId="1CF93EB8" w:rsidR="005C6A8E" w:rsidRPr="00E161D4" w:rsidRDefault="005C6A8E" w:rsidP="005C6A8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20E7E6D9" w14:textId="77777777" w:rsidR="005C6A8E" w:rsidRDefault="005C6A8E" w:rsidP="005C6A8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 xml:space="preserve">Jeigu tiekėjo pasiūlymas neatitinka šio reikalavimo arba jį atitinka ne </w:t>
            </w:r>
            <w:r>
              <w:rPr>
                <w:bCs/>
                <w:sz w:val="20"/>
                <w:lang w:val="lt-LT" w:bidi="ta-IN"/>
              </w:rPr>
              <w:lastRenderedPageBreak/>
              <w:t>pilna apimtimi, tiekėjo pasiūlymui skiriama 0 balų.</w:t>
            </w:r>
          </w:p>
          <w:p w14:paraId="5DF8710E" w14:textId="507612D6" w:rsidR="005C6A8E" w:rsidRDefault="005C6A8E" w:rsidP="005C6A8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5C6A8E" w:rsidRPr="00820914" w14:paraId="2584A5C3" w14:textId="77777777" w:rsidTr="005C6A8E">
        <w:trPr>
          <w:trHeight w:val="299"/>
        </w:trPr>
        <w:tc>
          <w:tcPr>
            <w:tcW w:w="1307" w:type="dxa"/>
          </w:tcPr>
          <w:p w14:paraId="38AC2909" w14:textId="4D5546FB" w:rsidR="005C6A8E" w:rsidRDefault="005C6A8E" w:rsidP="005C6A8E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lastRenderedPageBreak/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9</w:t>
            </w:r>
          </w:p>
        </w:tc>
        <w:tc>
          <w:tcPr>
            <w:tcW w:w="2282" w:type="dxa"/>
          </w:tcPr>
          <w:p w14:paraId="3FAF1975" w14:textId="6B44AC83" w:rsidR="005C6A8E" w:rsidRPr="005C6A8E" w:rsidRDefault="005C6A8E" w:rsidP="005C6A8E">
            <w:pPr>
              <w:spacing w:before="60" w:after="60"/>
              <w:rPr>
                <w:bCs/>
                <w:noProof/>
                <w:color w:val="000000" w:themeColor="text1"/>
                <w:sz w:val="20"/>
                <w:szCs w:val="16"/>
                <w:lang w:bidi="ta-IN"/>
              </w:rPr>
            </w:pPr>
            <w:r w:rsidRPr="005C6A8E">
              <w:rPr>
                <w:noProof/>
                <w:color w:val="000000"/>
                <w:sz w:val="20"/>
                <w:szCs w:val="16"/>
              </w:rPr>
              <w:t xml:space="preserve">Fentanilių mažiausia kokybinio aptikimo riba siekia ne daugiau kaip </w:t>
            </w:r>
            <w:r w:rsidRPr="005C6A8E">
              <w:rPr>
                <w:noProof/>
                <w:sz w:val="20"/>
                <w:szCs w:val="16"/>
              </w:rPr>
              <w:t>1</w:t>
            </w:r>
            <w:r w:rsidR="000F1857">
              <w:rPr>
                <w:noProof/>
                <w:sz w:val="20"/>
                <w:szCs w:val="16"/>
              </w:rPr>
              <w:t> </w:t>
            </w:r>
            <w:r w:rsidRPr="005C6A8E">
              <w:rPr>
                <w:noProof/>
                <w:sz w:val="20"/>
                <w:szCs w:val="16"/>
              </w:rPr>
              <w:t>ng/ml</w:t>
            </w:r>
            <w:r w:rsidR="000F1857">
              <w:rPr>
                <w:noProof/>
                <w:sz w:val="20"/>
                <w:szCs w:val="16"/>
              </w:rPr>
              <w:t>.</w:t>
            </w:r>
          </w:p>
        </w:tc>
        <w:tc>
          <w:tcPr>
            <w:tcW w:w="1332" w:type="dxa"/>
          </w:tcPr>
          <w:p w14:paraId="3B707984" w14:textId="6619E62D" w:rsidR="005C6A8E" w:rsidRDefault="005C6A8E" w:rsidP="005C6A8E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  <w:r>
              <w:rPr>
                <w:sz w:val="20"/>
                <w:lang w:val="lt-LT" w:bidi="ta-IN"/>
              </w:rPr>
              <w:t>–</w:t>
            </w:r>
          </w:p>
        </w:tc>
        <w:tc>
          <w:tcPr>
            <w:tcW w:w="1806" w:type="dxa"/>
          </w:tcPr>
          <w:p w14:paraId="64F298E3" w14:textId="0AA04669" w:rsidR="005C6A8E" w:rsidRPr="00E161D4" w:rsidRDefault="005C6A8E" w:rsidP="005C6A8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 w:rsidRPr="00E161D4">
              <w:rPr>
                <w:b/>
                <w:bCs/>
                <w:sz w:val="20"/>
                <w:lang w:val="lt-LT" w:bidi="ta-IN"/>
              </w:rPr>
              <w:t>–</w:t>
            </w:r>
          </w:p>
        </w:tc>
        <w:tc>
          <w:tcPr>
            <w:tcW w:w="1550" w:type="dxa"/>
          </w:tcPr>
          <w:p w14:paraId="49E037CC" w14:textId="7745A70B" w:rsidR="005C6A8E" w:rsidRPr="00E161D4" w:rsidRDefault="007B0BD2" w:rsidP="005C6A8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3,6</w:t>
            </w:r>
          </w:p>
        </w:tc>
        <w:tc>
          <w:tcPr>
            <w:tcW w:w="4318" w:type="dxa"/>
          </w:tcPr>
          <w:p w14:paraId="11D9D58D" w14:textId="1F308515" w:rsidR="005C6A8E" w:rsidRPr="00E161D4" w:rsidRDefault="005C6A8E" w:rsidP="005C6A8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 w:rsidR="007B0BD2">
              <w:rPr>
                <w:rFonts w:eastAsia="Times New Roman"/>
                <w:iCs/>
                <w:sz w:val="20"/>
                <w:szCs w:val="18"/>
                <w:lang w:val="lt-LT"/>
              </w:rPr>
              <w:t>3,6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39C96633" w14:textId="6CE231BA" w:rsidR="005C6A8E" w:rsidRPr="00E161D4" w:rsidRDefault="005C6A8E" w:rsidP="005C6A8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3C9A8C8E" w14:textId="77777777" w:rsidR="005C6A8E" w:rsidRDefault="005C6A8E" w:rsidP="005C6A8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7E628B3D" w14:textId="41FFEDE8" w:rsidR="005C6A8E" w:rsidRDefault="005C6A8E" w:rsidP="005C6A8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7B0BD2" w:rsidRPr="00820914" w14:paraId="63B7F438" w14:textId="77777777" w:rsidTr="005C6A8E">
        <w:trPr>
          <w:trHeight w:val="299"/>
        </w:trPr>
        <w:tc>
          <w:tcPr>
            <w:tcW w:w="1307" w:type="dxa"/>
          </w:tcPr>
          <w:p w14:paraId="08CB5B77" w14:textId="3FB89257" w:rsidR="007B0BD2" w:rsidRDefault="007B0BD2" w:rsidP="007B0BD2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10</w:t>
            </w:r>
          </w:p>
        </w:tc>
        <w:tc>
          <w:tcPr>
            <w:tcW w:w="2282" w:type="dxa"/>
          </w:tcPr>
          <w:p w14:paraId="7C809DB2" w14:textId="449B0A3C" w:rsidR="007B0BD2" w:rsidRPr="005C6A8E" w:rsidRDefault="007B0BD2" w:rsidP="007B0BD2">
            <w:pPr>
              <w:spacing w:before="60" w:after="60"/>
              <w:rPr>
                <w:bCs/>
                <w:noProof/>
                <w:color w:val="000000" w:themeColor="text1"/>
                <w:sz w:val="20"/>
                <w:szCs w:val="16"/>
                <w:lang w:bidi="ta-IN"/>
              </w:rPr>
            </w:pPr>
            <w:r w:rsidRPr="005C6A8E">
              <w:rPr>
                <w:noProof/>
                <w:color w:val="000000"/>
                <w:sz w:val="20"/>
                <w:szCs w:val="16"/>
              </w:rPr>
              <w:t>Reakcijos kiuvetės yra vienkartinės</w:t>
            </w:r>
            <w:r>
              <w:rPr>
                <w:noProof/>
                <w:color w:val="000000"/>
                <w:sz w:val="20"/>
                <w:szCs w:val="16"/>
              </w:rPr>
              <w:t>.</w:t>
            </w:r>
          </w:p>
        </w:tc>
        <w:tc>
          <w:tcPr>
            <w:tcW w:w="1332" w:type="dxa"/>
          </w:tcPr>
          <w:p w14:paraId="6D2EC214" w14:textId="77777777" w:rsidR="007B0BD2" w:rsidRDefault="007B0BD2" w:rsidP="007B0BD2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</w:p>
        </w:tc>
        <w:tc>
          <w:tcPr>
            <w:tcW w:w="1806" w:type="dxa"/>
          </w:tcPr>
          <w:p w14:paraId="35D86264" w14:textId="77777777" w:rsidR="007B0BD2" w:rsidRPr="00E161D4" w:rsidRDefault="007B0BD2" w:rsidP="007B0BD2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</w:p>
        </w:tc>
        <w:tc>
          <w:tcPr>
            <w:tcW w:w="1550" w:type="dxa"/>
          </w:tcPr>
          <w:p w14:paraId="49436A2C" w14:textId="6550B3B1" w:rsidR="007B0BD2" w:rsidRDefault="007B0BD2" w:rsidP="007B0BD2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7</w:t>
            </w:r>
          </w:p>
        </w:tc>
        <w:tc>
          <w:tcPr>
            <w:tcW w:w="4318" w:type="dxa"/>
          </w:tcPr>
          <w:p w14:paraId="150801F6" w14:textId="07CB9DB4" w:rsidR="007B0BD2" w:rsidRPr="00E161D4" w:rsidRDefault="007B0BD2" w:rsidP="007B0BD2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>
              <w:rPr>
                <w:rFonts w:eastAsia="Times New Roman"/>
                <w:iCs/>
                <w:sz w:val="20"/>
                <w:szCs w:val="18"/>
                <w:lang w:val="lt-LT"/>
              </w:rPr>
              <w:t>7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3A4CFDA4" w14:textId="6F40054C" w:rsidR="007B0BD2" w:rsidRPr="00E161D4" w:rsidRDefault="007B0BD2" w:rsidP="007B0BD2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4791DE88" w14:textId="77777777" w:rsidR="002B4C4E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 xml:space="preserve">1. Jeigu tiekėjo pasiūlymas pilna apimtimi atitinka nurodytą kokybės kriterijaus reikalavimą </w:t>
            </w:r>
            <w:r>
              <w:rPr>
                <w:bCs/>
                <w:sz w:val="20"/>
                <w:lang w:val="lt-LT" w:bidi="ta-IN"/>
              </w:rPr>
              <w:lastRenderedPageBreak/>
              <w:t>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36AB4662" w14:textId="4212EA63" w:rsidR="007B0BD2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2B4C4E" w:rsidRPr="00820914" w14:paraId="1EEE493D" w14:textId="77777777" w:rsidTr="005C6A8E">
        <w:trPr>
          <w:trHeight w:val="299"/>
        </w:trPr>
        <w:tc>
          <w:tcPr>
            <w:tcW w:w="1307" w:type="dxa"/>
          </w:tcPr>
          <w:p w14:paraId="7B38E0EC" w14:textId="7E28642B" w:rsidR="002B4C4E" w:rsidRDefault="002B4C4E" w:rsidP="002B4C4E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7D766C">
              <w:rPr>
                <w:bCs/>
                <w:sz w:val="20"/>
                <w:lang w:val="lt-LT" w:bidi="ta-IN"/>
              </w:rPr>
              <w:lastRenderedPageBreak/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11</w:t>
            </w:r>
          </w:p>
        </w:tc>
        <w:tc>
          <w:tcPr>
            <w:tcW w:w="2282" w:type="dxa"/>
          </w:tcPr>
          <w:p w14:paraId="5019BA31" w14:textId="77715B99" w:rsidR="002B4C4E" w:rsidRPr="005C6A8E" w:rsidRDefault="002B4C4E" w:rsidP="002B4C4E">
            <w:pPr>
              <w:spacing w:before="60" w:after="60"/>
              <w:rPr>
                <w:bCs/>
                <w:noProof/>
                <w:color w:val="000000" w:themeColor="text1"/>
                <w:sz w:val="20"/>
                <w:szCs w:val="16"/>
                <w:lang w:bidi="ta-IN"/>
              </w:rPr>
            </w:pPr>
            <w:r w:rsidRPr="005C6A8E">
              <w:rPr>
                <w:noProof/>
                <w:sz w:val="20"/>
                <w:szCs w:val="16"/>
              </w:rPr>
              <w:t>Opijatų tyrimas neturi kryžminio reaktyvumo su ekgonino metilo esteriu, MDMA, MDA, pseudoefedrinu, diazepamu iki 100</w:t>
            </w:r>
            <w:r>
              <w:rPr>
                <w:noProof/>
                <w:sz w:val="20"/>
                <w:szCs w:val="16"/>
              </w:rPr>
              <w:t> </w:t>
            </w:r>
            <w:r w:rsidRPr="005C6A8E">
              <w:rPr>
                <w:noProof/>
                <w:sz w:val="20"/>
                <w:szCs w:val="16"/>
              </w:rPr>
              <w:t>000</w:t>
            </w:r>
            <w:r>
              <w:rPr>
                <w:noProof/>
                <w:sz w:val="20"/>
                <w:szCs w:val="16"/>
              </w:rPr>
              <w:t> </w:t>
            </w:r>
            <w:r w:rsidRPr="005C6A8E">
              <w:rPr>
                <w:noProof/>
                <w:sz w:val="20"/>
                <w:szCs w:val="16"/>
              </w:rPr>
              <w:t>ng/mL.</w:t>
            </w:r>
          </w:p>
        </w:tc>
        <w:tc>
          <w:tcPr>
            <w:tcW w:w="1332" w:type="dxa"/>
          </w:tcPr>
          <w:p w14:paraId="0608CF55" w14:textId="77777777" w:rsidR="002B4C4E" w:rsidRDefault="002B4C4E" w:rsidP="002B4C4E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</w:p>
        </w:tc>
        <w:tc>
          <w:tcPr>
            <w:tcW w:w="1806" w:type="dxa"/>
          </w:tcPr>
          <w:p w14:paraId="1B06A814" w14:textId="77777777" w:rsidR="002B4C4E" w:rsidRPr="00E161D4" w:rsidRDefault="002B4C4E" w:rsidP="002B4C4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</w:p>
        </w:tc>
        <w:tc>
          <w:tcPr>
            <w:tcW w:w="1550" w:type="dxa"/>
          </w:tcPr>
          <w:p w14:paraId="696AC395" w14:textId="42119BA3" w:rsidR="002B4C4E" w:rsidRDefault="002B4C4E" w:rsidP="002B4C4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1,6</w:t>
            </w:r>
          </w:p>
        </w:tc>
        <w:tc>
          <w:tcPr>
            <w:tcW w:w="4318" w:type="dxa"/>
          </w:tcPr>
          <w:p w14:paraId="0CFCC7CE" w14:textId="14ED40CF" w:rsidR="002B4C4E" w:rsidRPr="00E161D4" w:rsidRDefault="002B4C4E" w:rsidP="002B4C4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>
              <w:rPr>
                <w:rFonts w:eastAsia="Times New Roman"/>
                <w:iCs/>
                <w:sz w:val="20"/>
                <w:szCs w:val="18"/>
                <w:lang w:val="lt-LT"/>
              </w:rPr>
              <w:t>1,6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3FDE0D6F" w14:textId="5889D6B8" w:rsidR="002B4C4E" w:rsidRPr="00E161D4" w:rsidRDefault="002B4C4E" w:rsidP="002B4C4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0DD01292" w14:textId="77777777" w:rsidR="002B4C4E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44B64127" w14:textId="02652F4E" w:rsidR="002B4C4E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</w:t>
            </w:r>
            <w:r>
              <w:rPr>
                <w:b/>
                <w:sz w:val="20"/>
                <w:u w:val="single"/>
                <w:lang w:val="lt-LT" w:bidi="ta-IN"/>
              </w:rPr>
              <w:lastRenderedPageBreak/>
              <w:t>jame reikalaujamus dokumentus.</w:t>
            </w:r>
          </w:p>
        </w:tc>
      </w:tr>
      <w:tr w:rsidR="002B4C4E" w:rsidRPr="00820914" w14:paraId="0D241FA4" w14:textId="77777777" w:rsidTr="005C6A8E">
        <w:trPr>
          <w:trHeight w:val="299"/>
        </w:trPr>
        <w:tc>
          <w:tcPr>
            <w:tcW w:w="1307" w:type="dxa"/>
          </w:tcPr>
          <w:p w14:paraId="56550653" w14:textId="6801F335" w:rsidR="002B4C4E" w:rsidRDefault="002B4C4E" w:rsidP="002B4C4E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7D766C">
              <w:rPr>
                <w:bCs/>
                <w:sz w:val="20"/>
                <w:lang w:val="lt-LT" w:bidi="ta-IN"/>
              </w:rPr>
              <w:lastRenderedPageBreak/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12</w:t>
            </w:r>
          </w:p>
        </w:tc>
        <w:tc>
          <w:tcPr>
            <w:tcW w:w="2282" w:type="dxa"/>
          </w:tcPr>
          <w:p w14:paraId="16E077EB" w14:textId="0E7B26CB" w:rsidR="002B4C4E" w:rsidRPr="005C6A8E" w:rsidRDefault="002B4C4E" w:rsidP="002B4C4E">
            <w:pPr>
              <w:spacing w:before="60" w:after="60"/>
              <w:rPr>
                <w:bCs/>
                <w:noProof/>
                <w:color w:val="000000" w:themeColor="text1"/>
                <w:sz w:val="20"/>
                <w:szCs w:val="16"/>
                <w:lang w:bidi="ta-IN"/>
              </w:rPr>
            </w:pPr>
            <w:r w:rsidRPr="005C6A8E">
              <w:rPr>
                <w:noProof/>
                <w:color w:val="000000"/>
                <w:sz w:val="20"/>
                <w:szCs w:val="16"/>
              </w:rPr>
              <w:t>Amfetaminų tyrimas neturi kryžminio reaktyvumo su kokainu, ekgonino metilo esteriu, heroinu iki 100</w:t>
            </w:r>
            <w:r>
              <w:rPr>
                <w:noProof/>
                <w:color w:val="000000"/>
                <w:sz w:val="20"/>
                <w:szCs w:val="16"/>
              </w:rPr>
              <w:t> </w:t>
            </w:r>
            <w:r w:rsidRPr="005C6A8E">
              <w:rPr>
                <w:noProof/>
                <w:color w:val="000000"/>
                <w:sz w:val="20"/>
                <w:szCs w:val="16"/>
              </w:rPr>
              <w:t>000</w:t>
            </w:r>
            <w:r>
              <w:rPr>
                <w:noProof/>
                <w:color w:val="000000"/>
                <w:sz w:val="20"/>
                <w:szCs w:val="16"/>
              </w:rPr>
              <w:t> </w:t>
            </w:r>
            <w:r w:rsidRPr="005C6A8E">
              <w:rPr>
                <w:noProof/>
                <w:color w:val="000000"/>
                <w:sz w:val="20"/>
                <w:szCs w:val="16"/>
              </w:rPr>
              <w:t>ng/mL</w:t>
            </w:r>
            <w:r>
              <w:rPr>
                <w:noProof/>
                <w:color w:val="000000"/>
                <w:sz w:val="20"/>
                <w:szCs w:val="16"/>
              </w:rPr>
              <w:t>.</w:t>
            </w:r>
          </w:p>
        </w:tc>
        <w:tc>
          <w:tcPr>
            <w:tcW w:w="1332" w:type="dxa"/>
          </w:tcPr>
          <w:p w14:paraId="3C653D13" w14:textId="77777777" w:rsidR="002B4C4E" w:rsidRDefault="002B4C4E" w:rsidP="002B4C4E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</w:p>
        </w:tc>
        <w:tc>
          <w:tcPr>
            <w:tcW w:w="1806" w:type="dxa"/>
          </w:tcPr>
          <w:p w14:paraId="12E4DF6A" w14:textId="77777777" w:rsidR="002B4C4E" w:rsidRPr="00E161D4" w:rsidRDefault="002B4C4E" w:rsidP="002B4C4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</w:p>
        </w:tc>
        <w:tc>
          <w:tcPr>
            <w:tcW w:w="1550" w:type="dxa"/>
          </w:tcPr>
          <w:p w14:paraId="715BB35B" w14:textId="6630F5B6" w:rsidR="002B4C4E" w:rsidRDefault="002B4C4E" w:rsidP="002B4C4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1,6</w:t>
            </w:r>
          </w:p>
        </w:tc>
        <w:tc>
          <w:tcPr>
            <w:tcW w:w="4318" w:type="dxa"/>
          </w:tcPr>
          <w:p w14:paraId="1B485650" w14:textId="77777777" w:rsidR="002B4C4E" w:rsidRPr="00E161D4" w:rsidRDefault="002B4C4E" w:rsidP="002B4C4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>
              <w:rPr>
                <w:rFonts w:eastAsia="Times New Roman"/>
                <w:iCs/>
                <w:sz w:val="20"/>
                <w:szCs w:val="18"/>
                <w:lang w:val="lt-LT"/>
              </w:rPr>
              <w:t>1,6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65FC9FB2" w14:textId="41240AB6" w:rsidR="002B4C4E" w:rsidRPr="00E161D4" w:rsidRDefault="002B4C4E" w:rsidP="002B4C4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1B90389A" w14:textId="77777777" w:rsidR="002B4C4E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27875066" w14:textId="06D83F6B" w:rsidR="002B4C4E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2B4C4E" w:rsidRPr="00820914" w14:paraId="1CA88180" w14:textId="77777777" w:rsidTr="005C6A8E">
        <w:trPr>
          <w:trHeight w:val="299"/>
        </w:trPr>
        <w:tc>
          <w:tcPr>
            <w:tcW w:w="1307" w:type="dxa"/>
          </w:tcPr>
          <w:p w14:paraId="341A4C67" w14:textId="32A06CD7" w:rsidR="002B4C4E" w:rsidRDefault="002B4C4E" w:rsidP="002B4C4E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7D766C">
              <w:rPr>
                <w:bCs/>
                <w:sz w:val="20"/>
                <w:lang w:val="lt-LT" w:bidi="ta-IN"/>
              </w:rPr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13</w:t>
            </w:r>
          </w:p>
        </w:tc>
        <w:tc>
          <w:tcPr>
            <w:tcW w:w="2282" w:type="dxa"/>
          </w:tcPr>
          <w:p w14:paraId="6FF1E04F" w14:textId="3D67E5F8" w:rsidR="002B4C4E" w:rsidRPr="005C6A8E" w:rsidRDefault="002B4C4E" w:rsidP="002B4C4E">
            <w:pPr>
              <w:spacing w:before="60" w:after="60"/>
              <w:rPr>
                <w:bCs/>
                <w:noProof/>
                <w:color w:val="000000" w:themeColor="text1"/>
                <w:sz w:val="20"/>
                <w:szCs w:val="16"/>
                <w:lang w:bidi="ta-IN"/>
              </w:rPr>
            </w:pPr>
            <w:r w:rsidRPr="005C6A8E">
              <w:rPr>
                <w:noProof/>
                <w:color w:val="000000"/>
                <w:sz w:val="20"/>
                <w:szCs w:val="16"/>
              </w:rPr>
              <w:t>Kanabinoidų tyrimas neturi kryžminio reaktyvumo su ekgonino metilo esteriu, heroinu, MDMA, MDA, pseudoefedrinu iki 100</w:t>
            </w:r>
            <w:r>
              <w:rPr>
                <w:noProof/>
                <w:color w:val="000000"/>
                <w:sz w:val="20"/>
                <w:szCs w:val="16"/>
              </w:rPr>
              <w:t> </w:t>
            </w:r>
            <w:r w:rsidRPr="005C6A8E">
              <w:rPr>
                <w:noProof/>
                <w:color w:val="000000"/>
                <w:sz w:val="20"/>
                <w:szCs w:val="16"/>
              </w:rPr>
              <w:t>000 ng/mL</w:t>
            </w:r>
            <w:r>
              <w:rPr>
                <w:noProof/>
                <w:color w:val="000000"/>
                <w:sz w:val="20"/>
                <w:szCs w:val="16"/>
              </w:rPr>
              <w:t>.</w:t>
            </w:r>
          </w:p>
        </w:tc>
        <w:tc>
          <w:tcPr>
            <w:tcW w:w="1332" w:type="dxa"/>
          </w:tcPr>
          <w:p w14:paraId="2D372F2F" w14:textId="77777777" w:rsidR="002B4C4E" w:rsidRDefault="002B4C4E" w:rsidP="002B4C4E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</w:p>
        </w:tc>
        <w:tc>
          <w:tcPr>
            <w:tcW w:w="1806" w:type="dxa"/>
          </w:tcPr>
          <w:p w14:paraId="3919FAE9" w14:textId="77777777" w:rsidR="002B4C4E" w:rsidRPr="00E161D4" w:rsidRDefault="002B4C4E" w:rsidP="002B4C4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</w:p>
        </w:tc>
        <w:tc>
          <w:tcPr>
            <w:tcW w:w="1550" w:type="dxa"/>
          </w:tcPr>
          <w:p w14:paraId="34BB9882" w14:textId="2353BD33" w:rsidR="002B4C4E" w:rsidRDefault="002B4C4E" w:rsidP="002B4C4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1,6</w:t>
            </w:r>
          </w:p>
        </w:tc>
        <w:tc>
          <w:tcPr>
            <w:tcW w:w="4318" w:type="dxa"/>
          </w:tcPr>
          <w:p w14:paraId="0B27D9C0" w14:textId="77777777" w:rsidR="002B4C4E" w:rsidRPr="00E161D4" w:rsidRDefault="002B4C4E" w:rsidP="002B4C4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>
              <w:rPr>
                <w:rFonts w:eastAsia="Times New Roman"/>
                <w:iCs/>
                <w:sz w:val="20"/>
                <w:szCs w:val="18"/>
                <w:lang w:val="lt-LT"/>
              </w:rPr>
              <w:t>1,6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1BD6813B" w14:textId="12D95A98" w:rsidR="002B4C4E" w:rsidRPr="00E161D4" w:rsidRDefault="002B4C4E" w:rsidP="002B4C4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473FFF4A" w14:textId="77777777" w:rsidR="002B4C4E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0F286B49" w14:textId="7D31A46D" w:rsidR="002B4C4E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</w:t>
            </w:r>
            <w:r>
              <w:rPr>
                <w:b/>
                <w:sz w:val="20"/>
                <w:u w:val="single"/>
                <w:lang w:val="lt-LT" w:bidi="ta-IN"/>
              </w:rPr>
              <w:lastRenderedPageBreak/>
              <w:t xml:space="preserve">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2B4C4E" w:rsidRPr="00820914" w14:paraId="6AFFF5B7" w14:textId="77777777" w:rsidTr="005C6A8E">
        <w:trPr>
          <w:trHeight w:val="299"/>
        </w:trPr>
        <w:tc>
          <w:tcPr>
            <w:tcW w:w="1307" w:type="dxa"/>
          </w:tcPr>
          <w:p w14:paraId="26F15AD7" w14:textId="0B1FB462" w:rsidR="002B4C4E" w:rsidRDefault="002B4C4E" w:rsidP="002B4C4E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7D766C">
              <w:rPr>
                <w:bCs/>
                <w:sz w:val="20"/>
                <w:lang w:val="lt-LT" w:bidi="ta-IN"/>
              </w:rPr>
              <w:lastRenderedPageBreak/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14</w:t>
            </w:r>
          </w:p>
        </w:tc>
        <w:tc>
          <w:tcPr>
            <w:tcW w:w="2282" w:type="dxa"/>
          </w:tcPr>
          <w:p w14:paraId="1436B9AF" w14:textId="2DEADB30" w:rsidR="002B4C4E" w:rsidRPr="005C6A8E" w:rsidRDefault="002B4C4E" w:rsidP="002B4C4E">
            <w:pPr>
              <w:spacing w:before="60" w:after="60"/>
              <w:rPr>
                <w:bCs/>
                <w:noProof/>
                <w:color w:val="000000" w:themeColor="text1"/>
                <w:sz w:val="20"/>
                <w:szCs w:val="16"/>
                <w:lang w:bidi="ta-IN"/>
              </w:rPr>
            </w:pPr>
            <w:r w:rsidRPr="005C6A8E">
              <w:rPr>
                <w:noProof/>
                <w:color w:val="000000"/>
                <w:sz w:val="20"/>
                <w:szCs w:val="16"/>
              </w:rPr>
              <w:t>Kokaino tyrimas neturi kryžminio reaktyvumo su efedrinu, heroinu, MDMA, MDA, pseudoefedrinu iki 100</w:t>
            </w:r>
            <w:r>
              <w:rPr>
                <w:noProof/>
                <w:color w:val="000000"/>
                <w:sz w:val="20"/>
                <w:szCs w:val="16"/>
              </w:rPr>
              <w:t> </w:t>
            </w:r>
            <w:r w:rsidRPr="005C6A8E">
              <w:rPr>
                <w:noProof/>
                <w:color w:val="000000"/>
                <w:sz w:val="20"/>
                <w:szCs w:val="16"/>
              </w:rPr>
              <w:t>000 ng/mL</w:t>
            </w:r>
            <w:r>
              <w:rPr>
                <w:noProof/>
                <w:color w:val="000000"/>
                <w:sz w:val="20"/>
                <w:szCs w:val="16"/>
              </w:rPr>
              <w:t>.</w:t>
            </w:r>
          </w:p>
        </w:tc>
        <w:tc>
          <w:tcPr>
            <w:tcW w:w="1332" w:type="dxa"/>
          </w:tcPr>
          <w:p w14:paraId="127E1E4F" w14:textId="77777777" w:rsidR="002B4C4E" w:rsidRDefault="002B4C4E" w:rsidP="002B4C4E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</w:p>
        </w:tc>
        <w:tc>
          <w:tcPr>
            <w:tcW w:w="1806" w:type="dxa"/>
          </w:tcPr>
          <w:p w14:paraId="0B5D64DD" w14:textId="77777777" w:rsidR="002B4C4E" w:rsidRPr="00E161D4" w:rsidRDefault="002B4C4E" w:rsidP="002B4C4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</w:p>
        </w:tc>
        <w:tc>
          <w:tcPr>
            <w:tcW w:w="1550" w:type="dxa"/>
          </w:tcPr>
          <w:p w14:paraId="18F3338D" w14:textId="0EC5C34A" w:rsidR="002B4C4E" w:rsidRDefault="002B4C4E" w:rsidP="002B4C4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1,6</w:t>
            </w:r>
          </w:p>
        </w:tc>
        <w:tc>
          <w:tcPr>
            <w:tcW w:w="4318" w:type="dxa"/>
          </w:tcPr>
          <w:p w14:paraId="10266D0C" w14:textId="77777777" w:rsidR="002B4C4E" w:rsidRPr="00E161D4" w:rsidRDefault="002B4C4E" w:rsidP="002B4C4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>
              <w:rPr>
                <w:rFonts w:eastAsia="Times New Roman"/>
                <w:iCs/>
                <w:sz w:val="20"/>
                <w:szCs w:val="18"/>
                <w:lang w:val="lt-LT"/>
              </w:rPr>
              <w:t>1,6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450D63B7" w14:textId="2D3227D2" w:rsidR="002B4C4E" w:rsidRPr="00E161D4" w:rsidRDefault="002B4C4E" w:rsidP="002B4C4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50856360" w14:textId="77777777" w:rsidR="002B4C4E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2DB745DD" w14:textId="28423CC8" w:rsidR="002B4C4E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2B4C4E" w:rsidRPr="00820914" w14:paraId="1A8D97C8" w14:textId="77777777" w:rsidTr="005C6A8E">
        <w:trPr>
          <w:trHeight w:val="299"/>
        </w:trPr>
        <w:tc>
          <w:tcPr>
            <w:tcW w:w="1307" w:type="dxa"/>
          </w:tcPr>
          <w:p w14:paraId="58AB50BC" w14:textId="711728EA" w:rsidR="002B4C4E" w:rsidRDefault="002B4C4E" w:rsidP="002B4C4E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7D766C">
              <w:rPr>
                <w:bCs/>
                <w:sz w:val="20"/>
                <w:lang w:val="lt-LT" w:bidi="ta-IN"/>
              </w:rPr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15</w:t>
            </w:r>
          </w:p>
        </w:tc>
        <w:tc>
          <w:tcPr>
            <w:tcW w:w="2282" w:type="dxa"/>
          </w:tcPr>
          <w:p w14:paraId="3F451157" w14:textId="0BB24F27" w:rsidR="002B4C4E" w:rsidRPr="005C6A8E" w:rsidRDefault="002B4C4E" w:rsidP="002B4C4E">
            <w:pPr>
              <w:spacing w:before="60" w:after="60"/>
              <w:rPr>
                <w:bCs/>
                <w:noProof/>
                <w:color w:val="000000" w:themeColor="text1"/>
                <w:sz w:val="20"/>
                <w:szCs w:val="16"/>
                <w:lang w:bidi="ta-IN"/>
              </w:rPr>
            </w:pPr>
            <w:r w:rsidRPr="005C6A8E">
              <w:rPr>
                <w:noProof/>
                <w:color w:val="000000"/>
                <w:sz w:val="20"/>
                <w:szCs w:val="16"/>
              </w:rPr>
              <w:t>Benzodiazepinų tyrimas neturi kryžminio reaktyvumo su kokainu, ekgonino metilo esteriu, efedrinu, MDMA, MDA, pseudoefedrinu iki 100</w:t>
            </w:r>
            <w:r>
              <w:rPr>
                <w:noProof/>
                <w:color w:val="000000"/>
                <w:sz w:val="20"/>
                <w:szCs w:val="16"/>
              </w:rPr>
              <w:t> </w:t>
            </w:r>
            <w:r w:rsidRPr="005C6A8E">
              <w:rPr>
                <w:noProof/>
                <w:color w:val="000000"/>
                <w:sz w:val="20"/>
                <w:szCs w:val="16"/>
              </w:rPr>
              <w:t>000 ng/mL</w:t>
            </w:r>
            <w:r>
              <w:rPr>
                <w:noProof/>
                <w:color w:val="000000"/>
                <w:sz w:val="20"/>
                <w:szCs w:val="16"/>
              </w:rPr>
              <w:t>.</w:t>
            </w:r>
          </w:p>
        </w:tc>
        <w:tc>
          <w:tcPr>
            <w:tcW w:w="1332" w:type="dxa"/>
          </w:tcPr>
          <w:p w14:paraId="57B716AA" w14:textId="77777777" w:rsidR="002B4C4E" w:rsidRDefault="002B4C4E" w:rsidP="002B4C4E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</w:p>
        </w:tc>
        <w:tc>
          <w:tcPr>
            <w:tcW w:w="1806" w:type="dxa"/>
          </w:tcPr>
          <w:p w14:paraId="25ED4C5B" w14:textId="77777777" w:rsidR="002B4C4E" w:rsidRPr="00E161D4" w:rsidRDefault="002B4C4E" w:rsidP="002B4C4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</w:p>
        </w:tc>
        <w:tc>
          <w:tcPr>
            <w:tcW w:w="1550" w:type="dxa"/>
          </w:tcPr>
          <w:p w14:paraId="1B96F54F" w14:textId="6B27275F" w:rsidR="002B4C4E" w:rsidRDefault="002B4C4E" w:rsidP="002B4C4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1,6</w:t>
            </w:r>
          </w:p>
        </w:tc>
        <w:tc>
          <w:tcPr>
            <w:tcW w:w="4318" w:type="dxa"/>
          </w:tcPr>
          <w:p w14:paraId="1EA0AA22" w14:textId="77777777" w:rsidR="002B4C4E" w:rsidRPr="00E161D4" w:rsidRDefault="002B4C4E" w:rsidP="002B4C4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>
              <w:rPr>
                <w:rFonts w:eastAsia="Times New Roman"/>
                <w:iCs/>
                <w:sz w:val="20"/>
                <w:szCs w:val="18"/>
                <w:lang w:val="lt-LT"/>
              </w:rPr>
              <w:t>1,6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094D9EA9" w14:textId="14AB9C71" w:rsidR="002B4C4E" w:rsidRPr="00E161D4" w:rsidRDefault="002B4C4E" w:rsidP="002B4C4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1AC61EB6" w14:textId="77777777" w:rsidR="002B4C4E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 xml:space="preserve">Jeigu tiekėjo pasiūlymas neatitinka šio </w:t>
            </w:r>
            <w:r>
              <w:rPr>
                <w:bCs/>
                <w:sz w:val="20"/>
                <w:lang w:val="lt-LT" w:bidi="ta-IN"/>
              </w:rPr>
              <w:lastRenderedPageBreak/>
              <w:t>reikalavimo arba jį atitinka ne pilna apimtimi, tiekėjo pasiūlymui skiriama 0 balų.</w:t>
            </w:r>
          </w:p>
          <w:p w14:paraId="01CC6D66" w14:textId="3D94F3C0" w:rsidR="002B4C4E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2B4C4E" w:rsidRPr="00820914" w14:paraId="7E573112" w14:textId="77777777" w:rsidTr="005C6A8E">
        <w:trPr>
          <w:trHeight w:val="299"/>
        </w:trPr>
        <w:tc>
          <w:tcPr>
            <w:tcW w:w="1307" w:type="dxa"/>
          </w:tcPr>
          <w:p w14:paraId="6E945632" w14:textId="47F759B2" w:rsidR="002B4C4E" w:rsidRDefault="002B4C4E" w:rsidP="002B4C4E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7D766C">
              <w:rPr>
                <w:bCs/>
                <w:sz w:val="20"/>
                <w:lang w:val="lt-LT" w:bidi="ta-IN"/>
              </w:rPr>
              <w:lastRenderedPageBreak/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16</w:t>
            </w:r>
          </w:p>
        </w:tc>
        <w:tc>
          <w:tcPr>
            <w:tcW w:w="2282" w:type="dxa"/>
          </w:tcPr>
          <w:p w14:paraId="4BBBBDF1" w14:textId="52935426" w:rsidR="002B4C4E" w:rsidRPr="005C6A8E" w:rsidRDefault="002B4C4E" w:rsidP="002B4C4E">
            <w:pPr>
              <w:spacing w:before="60" w:after="60"/>
              <w:rPr>
                <w:bCs/>
                <w:noProof/>
                <w:color w:val="000000" w:themeColor="text1"/>
                <w:sz w:val="20"/>
                <w:szCs w:val="16"/>
                <w:lang w:bidi="ta-IN"/>
              </w:rPr>
            </w:pPr>
            <w:r w:rsidRPr="005C6A8E">
              <w:rPr>
                <w:noProof/>
                <w:color w:val="000000"/>
                <w:sz w:val="20"/>
                <w:szCs w:val="16"/>
              </w:rPr>
              <w:t>Metadono tyrimas neturi kryžminio reaktyvumo su kokainu, ekgonino metilo esteriu, efedrinu, MDMA, MDA, pseudoefedrinu, heroinu iki 100 000 ng/mL</w:t>
            </w:r>
            <w:r>
              <w:rPr>
                <w:noProof/>
                <w:color w:val="000000"/>
                <w:sz w:val="20"/>
                <w:szCs w:val="16"/>
              </w:rPr>
              <w:t>.</w:t>
            </w:r>
          </w:p>
        </w:tc>
        <w:tc>
          <w:tcPr>
            <w:tcW w:w="1332" w:type="dxa"/>
          </w:tcPr>
          <w:p w14:paraId="7C72911A" w14:textId="77777777" w:rsidR="002B4C4E" w:rsidRDefault="002B4C4E" w:rsidP="002B4C4E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</w:p>
        </w:tc>
        <w:tc>
          <w:tcPr>
            <w:tcW w:w="1806" w:type="dxa"/>
          </w:tcPr>
          <w:p w14:paraId="52358862" w14:textId="77777777" w:rsidR="002B4C4E" w:rsidRPr="00E161D4" w:rsidRDefault="002B4C4E" w:rsidP="002B4C4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</w:p>
        </w:tc>
        <w:tc>
          <w:tcPr>
            <w:tcW w:w="1550" w:type="dxa"/>
          </w:tcPr>
          <w:p w14:paraId="6ABDEDD7" w14:textId="3710E168" w:rsidR="002B4C4E" w:rsidRDefault="002B4C4E" w:rsidP="002B4C4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1,6</w:t>
            </w:r>
          </w:p>
        </w:tc>
        <w:tc>
          <w:tcPr>
            <w:tcW w:w="4318" w:type="dxa"/>
          </w:tcPr>
          <w:p w14:paraId="3AE3E8E1" w14:textId="77777777" w:rsidR="002B4C4E" w:rsidRPr="00E161D4" w:rsidRDefault="002B4C4E" w:rsidP="002B4C4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>
              <w:rPr>
                <w:rFonts w:eastAsia="Times New Roman"/>
                <w:iCs/>
                <w:sz w:val="20"/>
                <w:szCs w:val="18"/>
                <w:lang w:val="lt-LT"/>
              </w:rPr>
              <w:t>1,6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135A53EF" w14:textId="5469D00F" w:rsidR="002B4C4E" w:rsidRPr="00E161D4" w:rsidRDefault="002B4C4E" w:rsidP="002B4C4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t>NE = 0.</w:t>
            </w:r>
          </w:p>
        </w:tc>
        <w:tc>
          <w:tcPr>
            <w:tcW w:w="2790" w:type="dxa"/>
          </w:tcPr>
          <w:p w14:paraId="3A3CA01D" w14:textId="77777777" w:rsidR="002B4C4E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1. Jeigu tiekėjo pasiūlymas pilna apimtimi atitinka nurodytą 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0B52B0D9" w14:textId="42D7500D" w:rsidR="002B4C4E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tr w:rsidR="002B4C4E" w:rsidRPr="00820914" w14:paraId="703DAC3A" w14:textId="77777777" w:rsidTr="005C6A8E">
        <w:trPr>
          <w:trHeight w:val="299"/>
        </w:trPr>
        <w:tc>
          <w:tcPr>
            <w:tcW w:w="1307" w:type="dxa"/>
          </w:tcPr>
          <w:p w14:paraId="6744CF84" w14:textId="23ED6EF2" w:rsidR="002B4C4E" w:rsidRDefault="002B4C4E" w:rsidP="002B4C4E">
            <w:pPr>
              <w:spacing w:before="60" w:after="60"/>
              <w:jc w:val="center"/>
              <w:rPr>
                <w:bCs/>
                <w:sz w:val="20"/>
                <w:lang w:val="lt-LT" w:bidi="ta-IN"/>
              </w:rPr>
            </w:pPr>
            <w:r w:rsidRPr="007D766C">
              <w:rPr>
                <w:bCs/>
                <w:sz w:val="20"/>
                <w:lang w:val="lt-LT" w:bidi="ta-IN"/>
              </w:rPr>
              <w:t>T</w:t>
            </w:r>
            <w:r>
              <w:rPr>
                <w:bCs/>
                <w:sz w:val="20"/>
                <w:vertAlign w:val="subscript"/>
                <w:lang w:val="lt-LT" w:bidi="ta-IN"/>
              </w:rPr>
              <w:t>17</w:t>
            </w:r>
          </w:p>
        </w:tc>
        <w:tc>
          <w:tcPr>
            <w:tcW w:w="2282" w:type="dxa"/>
          </w:tcPr>
          <w:p w14:paraId="55D9E2F1" w14:textId="0C8B4705" w:rsidR="002B4C4E" w:rsidRPr="005C6A8E" w:rsidRDefault="002B4C4E" w:rsidP="002B4C4E">
            <w:pPr>
              <w:spacing w:before="60" w:after="60"/>
              <w:rPr>
                <w:bCs/>
                <w:noProof/>
                <w:color w:val="000000" w:themeColor="text1"/>
                <w:sz w:val="20"/>
                <w:szCs w:val="16"/>
                <w:lang w:bidi="ta-IN"/>
              </w:rPr>
            </w:pPr>
            <w:r w:rsidRPr="005C6A8E">
              <w:rPr>
                <w:noProof/>
                <w:color w:val="000000"/>
                <w:sz w:val="20"/>
                <w:szCs w:val="16"/>
              </w:rPr>
              <w:t xml:space="preserve">Barbitūratų tyrimas neturi kryžminio reaktyvumo su </w:t>
            </w:r>
            <w:r w:rsidRPr="005C6A8E">
              <w:rPr>
                <w:noProof/>
                <w:color w:val="000000"/>
                <w:sz w:val="20"/>
                <w:szCs w:val="16"/>
              </w:rPr>
              <w:lastRenderedPageBreak/>
              <w:t>kokainu, ekgonino metilo esteriu, amfetaminu, efedrinu, heroinu, MDMA, MDA, pseudoefedrinu iki 100</w:t>
            </w:r>
            <w:r>
              <w:rPr>
                <w:noProof/>
                <w:color w:val="000000"/>
                <w:sz w:val="20"/>
                <w:szCs w:val="16"/>
              </w:rPr>
              <w:t> </w:t>
            </w:r>
            <w:r w:rsidRPr="005C6A8E">
              <w:rPr>
                <w:noProof/>
                <w:color w:val="000000"/>
                <w:sz w:val="20"/>
                <w:szCs w:val="16"/>
              </w:rPr>
              <w:t>000 ng/mL</w:t>
            </w:r>
            <w:r>
              <w:rPr>
                <w:noProof/>
                <w:color w:val="000000"/>
                <w:sz w:val="20"/>
                <w:szCs w:val="16"/>
              </w:rPr>
              <w:t>.</w:t>
            </w:r>
          </w:p>
        </w:tc>
        <w:tc>
          <w:tcPr>
            <w:tcW w:w="1332" w:type="dxa"/>
          </w:tcPr>
          <w:p w14:paraId="22E42CF7" w14:textId="77777777" w:rsidR="002B4C4E" w:rsidRDefault="002B4C4E" w:rsidP="002B4C4E">
            <w:pPr>
              <w:spacing w:before="60" w:after="60"/>
              <w:jc w:val="center"/>
              <w:rPr>
                <w:sz w:val="20"/>
                <w:lang w:val="lt-LT" w:bidi="ta-IN"/>
              </w:rPr>
            </w:pPr>
          </w:p>
        </w:tc>
        <w:tc>
          <w:tcPr>
            <w:tcW w:w="1806" w:type="dxa"/>
          </w:tcPr>
          <w:p w14:paraId="269DCB69" w14:textId="77777777" w:rsidR="002B4C4E" w:rsidRPr="00E161D4" w:rsidRDefault="002B4C4E" w:rsidP="002B4C4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</w:p>
        </w:tc>
        <w:tc>
          <w:tcPr>
            <w:tcW w:w="1550" w:type="dxa"/>
          </w:tcPr>
          <w:p w14:paraId="0E914028" w14:textId="5F5BFFFD" w:rsidR="002B4C4E" w:rsidRDefault="002B4C4E" w:rsidP="002B4C4E">
            <w:pPr>
              <w:spacing w:before="60" w:after="60"/>
              <w:jc w:val="center"/>
              <w:rPr>
                <w:b/>
                <w:bCs/>
                <w:sz w:val="20"/>
                <w:lang w:val="lt-LT" w:bidi="ta-IN"/>
              </w:rPr>
            </w:pPr>
            <w:r>
              <w:rPr>
                <w:b/>
                <w:bCs/>
                <w:sz w:val="20"/>
                <w:lang w:val="lt-LT" w:bidi="ta-IN"/>
              </w:rPr>
              <w:t>1,6</w:t>
            </w:r>
          </w:p>
        </w:tc>
        <w:tc>
          <w:tcPr>
            <w:tcW w:w="4318" w:type="dxa"/>
          </w:tcPr>
          <w:p w14:paraId="151B369C" w14:textId="77777777" w:rsidR="002B4C4E" w:rsidRPr="00E161D4" w:rsidRDefault="002B4C4E" w:rsidP="002B4C4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 xml:space="preserve">TAIP = maksimalus balas, t. y. </w:t>
            </w:r>
            <w:r>
              <w:rPr>
                <w:rFonts w:eastAsia="Times New Roman"/>
                <w:iCs/>
                <w:sz w:val="20"/>
                <w:szCs w:val="18"/>
                <w:lang w:val="lt-LT"/>
              </w:rPr>
              <w:t>1,6</w:t>
            </w:r>
            <w:r w:rsidRPr="00E161D4">
              <w:rPr>
                <w:rFonts w:eastAsia="Times New Roman"/>
                <w:iCs/>
                <w:sz w:val="20"/>
                <w:szCs w:val="18"/>
                <w:lang w:val="lt-LT"/>
              </w:rPr>
              <w:t>;</w:t>
            </w:r>
          </w:p>
          <w:p w14:paraId="7556FD2B" w14:textId="500AB60B" w:rsidR="002B4C4E" w:rsidRPr="00E161D4" w:rsidRDefault="002B4C4E" w:rsidP="002B4C4E">
            <w:pPr>
              <w:spacing w:before="60" w:after="120"/>
              <w:rPr>
                <w:rFonts w:eastAsia="Times New Roman"/>
                <w:iCs/>
                <w:sz w:val="20"/>
                <w:szCs w:val="18"/>
                <w:lang w:val="lt-LT"/>
              </w:rPr>
            </w:pPr>
            <w:r w:rsidRPr="00E161D4">
              <w:rPr>
                <w:bCs/>
                <w:sz w:val="20"/>
                <w:lang w:val="lt-LT" w:bidi="ta-IN"/>
              </w:rPr>
              <w:lastRenderedPageBreak/>
              <w:t>NE = 0.</w:t>
            </w:r>
          </w:p>
        </w:tc>
        <w:tc>
          <w:tcPr>
            <w:tcW w:w="2790" w:type="dxa"/>
          </w:tcPr>
          <w:p w14:paraId="5B9F2130" w14:textId="77777777" w:rsidR="002B4C4E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lastRenderedPageBreak/>
              <w:t xml:space="preserve">1. Jeigu tiekėjo pasiūlymas pilna apimtimi atitinka nurodytą </w:t>
            </w:r>
            <w:r>
              <w:rPr>
                <w:bCs/>
                <w:sz w:val="20"/>
                <w:lang w:val="lt-LT" w:bidi="ta-IN"/>
              </w:rPr>
              <w:lastRenderedPageBreak/>
              <w:t>kokybės kriterijaus reikalavimą (techninį parametrą), jam skiriamas maksimalus nurodytas balas.</w:t>
            </w:r>
            <w:r w:rsidRPr="003E41B5">
              <w:rPr>
                <w:bCs/>
                <w:sz w:val="20"/>
                <w:lang w:val="lt-LT" w:bidi="ta-IN"/>
              </w:rPr>
              <w:t xml:space="preserve"> </w:t>
            </w:r>
            <w:r>
              <w:rPr>
                <w:bCs/>
                <w:sz w:val="20"/>
                <w:lang w:val="lt-LT" w:bidi="ta-IN"/>
              </w:rPr>
              <w:t>Jeigu tiekėjo pasiūlymas neatitinka šio reikalavimo arba jį atitinka ne pilna apimtimi, tiekėjo pasiūlymui skiriama 0 balų.</w:t>
            </w:r>
          </w:p>
          <w:p w14:paraId="253B5521" w14:textId="02C91AA3" w:rsidR="002B4C4E" w:rsidRDefault="002B4C4E" w:rsidP="002B4C4E">
            <w:pPr>
              <w:spacing w:before="60" w:after="60"/>
              <w:rPr>
                <w:bCs/>
                <w:sz w:val="20"/>
                <w:lang w:val="lt-LT" w:bidi="ta-IN"/>
              </w:rPr>
            </w:pPr>
            <w:r>
              <w:rPr>
                <w:bCs/>
                <w:sz w:val="20"/>
                <w:lang w:val="lt-LT" w:bidi="ta-IN"/>
              </w:rPr>
              <w:t>2.</w:t>
            </w:r>
            <w:r w:rsidRPr="000D34F2">
              <w:rPr>
                <w:bCs/>
                <w:sz w:val="20"/>
                <w:lang w:val="lt-LT" w:bidi="ta-IN"/>
              </w:rPr>
              <w:t xml:space="preserve"> 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Tiekėjas </w:t>
            </w:r>
            <w:r>
              <w:rPr>
                <w:b/>
                <w:sz w:val="20"/>
                <w:u w:val="single"/>
                <w:lang w:val="lt-LT" w:bidi="ta-IN"/>
              </w:rPr>
              <w:t>turi</w:t>
            </w:r>
            <w:r w:rsidRPr="000D34F2">
              <w:rPr>
                <w:b/>
                <w:sz w:val="20"/>
                <w:u w:val="single"/>
                <w:lang w:val="lt-LT" w:bidi="ta-IN"/>
              </w:rPr>
              <w:t xml:space="preserve"> 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užpildyti ir kartu su pasiūlymu konkrečiam pirkimui pateikti 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konkretaus pirkimo sąlygų 1</w:t>
            </w:r>
            <w:r>
              <w:rPr>
                <w:b/>
                <w:sz w:val="20"/>
                <w:u w:val="single"/>
                <w:lang w:val="lt-LT" w:bidi="ta-IN"/>
              </w:rPr>
              <w:t> </w:t>
            </w:r>
            <w:r w:rsidRPr="00616CA3">
              <w:rPr>
                <w:b/>
                <w:sz w:val="20"/>
                <w:u w:val="single"/>
                <w:lang w:val="lt-LT" w:bidi="ta-IN"/>
              </w:rPr>
              <w:t>priedo „Pasiūlymo forma ir techninė specifikacija“ pried</w:t>
            </w:r>
            <w:r>
              <w:rPr>
                <w:b/>
                <w:sz w:val="20"/>
                <w:u w:val="single"/>
                <w:lang w:val="lt-LT" w:bidi="ta-IN"/>
              </w:rPr>
              <w:t>ą</w:t>
            </w:r>
            <w:r w:rsidRPr="00616CA3">
              <w:rPr>
                <w:b/>
                <w:sz w:val="20"/>
                <w:u w:val="single"/>
                <w:lang w:val="lt-LT" w:bidi="ta-IN"/>
              </w:rPr>
              <w:t xml:space="preserve"> (Excel dokumentas)</w:t>
            </w:r>
            <w:r>
              <w:rPr>
                <w:b/>
                <w:sz w:val="20"/>
                <w:u w:val="single"/>
                <w:lang w:val="lt-LT" w:bidi="ta-IN"/>
              </w:rPr>
              <w:t xml:space="preserve"> ir pateikti jame reikalaujamus dokumentus.</w:t>
            </w:r>
          </w:p>
        </w:tc>
      </w:tr>
      <w:bookmarkEnd w:id="1"/>
    </w:tbl>
    <w:p w14:paraId="157C01C8" w14:textId="77777777" w:rsidR="009175F7" w:rsidRDefault="009175F7" w:rsidP="0032717B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ind w:left="720" w:firstLine="540"/>
        <w:jc w:val="center"/>
        <w:outlineLvl w:val="0"/>
        <w:rPr>
          <w:rFonts w:eastAsia="Arial Unicode MS" w:cs="Arial Unicode MS"/>
          <w:color w:val="000000"/>
          <w:sz w:val="22"/>
          <w:bdr w:val="nil"/>
          <w:lang w:val="lt-LT"/>
        </w:rPr>
      </w:pPr>
    </w:p>
    <w:p w14:paraId="79B86912" w14:textId="77777777" w:rsidR="009175F7" w:rsidRDefault="009175F7" w:rsidP="0032717B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ind w:left="720" w:firstLine="540"/>
        <w:jc w:val="center"/>
        <w:outlineLvl w:val="0"/>
        <w:rPr>
          <w:rFonts w:eastAsia="Arial Unicode MS" w:cs="Arial Unicode MS"/>
          <w:color w:val="000000"/>
          <w:sz w:val="22"/>
          <w:bdr w:val="nil"/>
          <w:lang w:val="lt-LT"/>
        </w:rPr>
      </w:pPr>
    </w:p>
    <w:p w14:paraId="0EEAAB59" w14:textId="515D0C94" w:rsidR="00C32B1E" w:rsidRPr="0032717B" w:rsidRDefault="00C92533" w:rsidP="0032717B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ind w:left="720" w:firstLine="540"/>
        <w:jc w:val="center"/>
        <w:outlineLvl w:val="0"/>
        <w:rPr>
          <w:rFonts w:eastAsia="Arial Unicode MS" w:cs="Arial Unicode MS"/>
          <w:color w:val="000000"/>
          <w:sz w:val="22"/>
          <w:bdr w:val="nil"/>
          <w:lang w:val="lt-LT"/>
        </w:rPr>
      </w:pPr>
      <w:r>
        <w:rPr>
          <w:rFonts w:eastAsia="Arial Unicode MS" w:cs="Arial Unicode MS"/>
          <w:color w:val="000000"/>
          <w:sz w:val="22"/>
          <w:bdr w:val="nil"/>
          <w:lang w:val="lt-LT"/>
        </w:rPr>
        <w:t>_______________________</w:t>
      </w:r>
    </w:p>
    <w:sectPr w:rsidR="00C32B1E" w:rsidRPr="0032717B" w:rsidSect="0081621C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6C"/>
    <w:rsid w:val="00012A5D"/>
    <w:rsid w:val="00031854"/>
    <w:rsid w:val="000542D4"/>
    <w:rsid w:val="00055259"/>
    <w:rsid w:val="00064855"/>
    <w:rsid w:val="00073AA3"/>
    <w:rsid w:val="000A4AE0"/>
    <w:rsid w:val="000B2DCD"/>
    <w:rsid w:val="000B51EC"/>
    <w:rsid w:val="000F1857"/>
    <w:rsid w:val="000F5DE0"/>
    <w:rsid w:val="000F7B24"/>
    <w:rsid w:val="00110330"/>
    <w:rsid w:val="00121BB0"/>
    <w:rsid w:val="001909F3"/>
    <w:rsid w:val="001A094E"/>
    <w:rsid w:val="001C07C3"/>
    <w:rsid w:val="001D3541"/>
    <w:rsid w:val="001D6E27"/>
    <w:rsid w:val="001E50BB"/>
    <w:rsid w:val="00214E3E"/>
    <w:rsid w:val="00223EE7"/>
    <w:rsid w:val="002260B4"/>
    <w:rsid w:val="00233788"/>
    <w:rsid w:val="0029280A"/>
    <w:rsid w:val="002A415D"/>
    <w:rsid w:val="002B4C4E"/>
    <w:rsid w:val="002E5EDA"/>
    <w:rsid w:val="00315805"/>
    <w:rsid w:val="0032717B"/>
    <w:rsid w:val="003415DA"/>
    <w:rsid w:val="00351990"/>
    <w:rsid w:val="0036255E"/>
    <w:rsid w:val="0038767D"/>
    <w:rsid w:val="003C127B"/>
    <w:rsid w:val="003D475B"/>
    <w:rsid w:val="003E7CCF"/>
    <w:rsid w:val="00421F90"/>
    <w:rsid w:val="004237EB"/>
    <w:rsid w:val="00450A8F"/>
    <w:rsid w:val="00467F53"/>
    <w:rsid w:val="004957D2"/>
    <w:rsid w:val="004963D0"/>
    <w:rsid w:val="004B04EB"/>
    <w:rsid w:val="004B2456"/>
    <w:rsid w:val="004B2DD8"/>
    <w:rsid w:val="004C5016"/>
    <w:rsid w:val="004D0490"/>
    <w:rsid w:val="004E6F4A"/>
    <w:rsid w:val="004F6043"/>
    <w:rsid w:val="00505F24"/>
    <w:rsid w:val="00550415"/>
    <w:rsid w:val="00565ADA"/>
    <w:rsid w:val="00573464"/>
    <w:rsid w:val="005C6A8E"/>
    <w:rsid w:val="00620097"/>
    <w:rsid w:val="00653632"/>
    <w:rsid w:val="00663F82"/>
    <w:rsid w:val="00684904"/>
    <w:rsid w:val="006A5455"/>
    <w:rsid w:val="006C6E5C"/>
    <w:rsid w:val="006E2466"/>
    <w:rsid w:val="006F303F"/>
    <w:rsid w:val="007108B9"/>
    <w:rsid w:val="00711636"/>
    <w:rsid w:val="00743D35"/>
    <w:rsid w:val="00760572"/>
    <w:rsid w:val="007661E2"/>
    <w:rsid w:val="00784DA9"/>
    <w:rsid w:val="00787D23"/>
    <w:rsid w:val="007A39D1"/>
    <w:rsid w:val="007B0BD2"/>
    <w:rsid w:val="007B6E56"/>
    <w:rsid w:val="007B74C8"/>
    <w:rsid w:val="007F55FA"/>
    <w:rsid w:val="0081621C"/>
    <w:rsid w:val="00871506"/>
    <w:rsid w:val="008923C1"/>
    <w:rsid w:val="008F63A8"/>
    <w:rsid w:val="009145E3"/>
    <w:rsid w:val="00915D3E"/>
    <w:rsid w:val="00917373"/>
    <w:rsid w:val="009175F7"/>
    <w:rsid w:val="00920AFE"/>
    <w:rsid w:val="00922D5A"/>
    <w:rsid w:val="009359AC"/>
    <w:rsid w:val="00935ADD"/>
    <w:rsid w:val="00943957"/>
    <w:rsid w:val="00954905"/>
    <w:rsid w:val="00961C93"/>
    <w:rsid w:val="00967862"/>
    <w:rsid w:val="00972EEF"/>
    <w:rsid w:val="009858FA"/>
    <w:rsid w:val="00987600"/>
    <w:rsid w:val="009A60DE"/>
    <w:rsid w:val="009C11A3"/>
    <w:rsid w:val="009D525B"/>
    <w:rsid w:val="009E02EE"/>
    <w:rsid w:val="009E2B0C"/>
    <w:rsid w:val="00A000D0"/>
    <w:rsid w:val="00A5381F"/>
    <w:rsid w:val="00A74365"/>
    <w:rsid w:val="00A96C59"/>
    <w:rsid w:val="00AA1D28"/>
    <w:rsid w:val="00AB744A"/>
    <w:rsid w:val="00AC2887"/>
    <w:rsid w:val="00AD4F21"/>
    <w:rsid w:val="00AE4496"/>
    <w:rsid w:val="00AE49CA"/>
    <w:rsid w:val="00B03B8B"/>
    <w:rsid w:val="00B62D12"/>
    <w:rsid w:val="00B71E2B"/>
    <w:rsid w:val="00B74F4B"/>
    <w:rsid w:val="00BB2E19"/>
    <w:rsid w:val="00BB564E"/>
    <w:rsid w:val="00BD2E33"/>
    <w:rsid w:val="00C057F4"/>
    <w:rsid w:val="00C07708"/>
    <w:rsid w:val="00C32B1E"/>
    <w:rsid w:val="00C37103"/>
    <w:rsid w:val="00C4143D"/>
    <w:rsid w:val="00C415CB"/>
    <w:rsid w:val="00C57389"/>
    <w:rsid w:val="00C92533"/>
    <w:rsid w:val="00CC656C"/>
    <w:rsid w:val="00CD3F48"/>
    <w:rsid w:val="00D0229B"/>
    <w:rsid w:val="00D16789"/>
    <w:rsid w:val="00D405C7"/>
    <w:rsid w:val="00D50715"/>
    <w:rsid w:val="00D55B65"/>
    <w:rsid w:val="00D6000F"/>
    <w:rsid w:val="00D66CF1"/>
    <w:rsid w:val="00D87B0B"/>
    <w:rsid w:val="00DC258A"/>
    <w:rsid w:val="00DD5DE0"/>
    <w:rsid w:val="00DE517A"/>
    <w:rsid w:val="00DF7139"/>
    <w:rsid w:val="00E04D84"/>
    <w:rsid w:val="00E161D4"/>
    <w:rsid w:val="00E270C9"/>
    <w:rsid w:val="00E30A80"/>
    <w:rsid w:val="00E770DB"/>
    <w:rsid w:val="00E7712A"/>
    <w:rsid w:val="00EA3A5A"/>
    <w:rsid w:val="00EC3880"/>
    <w:rsid w:val="00EE2641"/>
    <w:rsid w:val="00F15553"/>
    <w:rsid w:val="00F162E5"/>
    <w:rsid w:val="00F27860"/>
    <w:rsid w:val="00F41397"/>
    <w:rsid w:val="00F5013E"/>
    <w:rsid w:val="00F57736"/>
    <w:rsid w:val="00F94E11"/>
    <w:rsid w:val="00F95BF4"/>
    <w:rsid w:val="00FA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930E"/>
  <w15:chartTrackingRefBased/>
  <w15:docId w15:val="{F63D2E38-8241-4EBA-B1B8-6D845EBD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C4E"/>
    <w:pPr>
      <w:spacing w:after="20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,lp1"/>
    <w:basedOn w:val="Normal"/>
    <w:link w:val="ListParagraphChar"/>
    <w:uiPriority w:val="99"/>
    <w:qFormat/>
    <w:rsid w:val="00CC656C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CC656C"/>
    <w:rPr>
      <w:rFonts w:ascii="Times New Roman" w:hAnsi="Times New Roman"/>
      <w:kern w:val="0"/>
      <w:sz w:val="24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CC65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CC656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14:ligatures w14:val="none"/>
    </w:rPr>
  </w:style>
  <w:style w:type="table" w:styleId="TableGrid">
    <w:name w:val="Table Grid"/>
    <w:basedOn w:val="TableNormal"/>
    <w:uiPriority w:val="39"/>
    <w:rsid w:val="00CC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3B8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71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5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506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506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11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Akvilė Lodaitė</cp:lastModifiedBy>
  <cp:revision>170</cp:revision>
  <dcterms:created xsi:type="dcterms:W3CDTF">2024-04-23T14:45:00Z</dcterms:created>
  <dcterms:modified xsi:type="dcterms:W3CDTF">2025-08-07T10:37:00Z</dcterms:modified>
</cp:coreProperties>
</file>