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516ECBEB" w:rsidR="00340C43" w:rsidRPr="001F5624" w:rsidRDefault="00C2054C" w:rsidP="00340C43">
      <w:pPr>
        <w:widowControl w:val="0"/>
        <w:shd w:val="clear" w:color="auto" w:fill="FFFFFF"/>
        <w:jc w:val="center"/>
        <w:rPr>
          <w:b/>
        </w:rPr>
      </w:pPr>
      <w:r>
        <w:rPr>
          <w:rFonts w:cstheme="minorHAnsi"/>
          <w:b/>
          <w:bCs/>
          <w:color w:val="000000" w:themeColor="text1"/>
          <w:szCs w:val="24"/>
        </w:rPr>
        <w:t>„</w:t>
      </w:r>
      <w:r w:rsidR="004E7BE8">
        <w:rPr>
          <w:b/>
          <w:bCs/>
          <w:color w:val="000000" w:themeColor="text1"/>
          <w:sz w:val="22"/>
          <w:szCs w:val="22"/>
        </w:rPr>
        <w:t>DETAL</w:t>
      </w:r>
      <w:r w:rsidR="00A5508C">
        <w:rPr>
          <w:b/>
          <w:bCs/>
          <w:color w:val="000000" w:themeColor="text1"/>
          <w:sz w:val="22"/>
          <w:szCs w:val="22"/>
        </w:rPr>
        <w:t>AUS</w:t>
      </w:r>
      <w:r w:rsidR="004E7BE8">
        <w:rPr>
          <w:b/>
          <w:bCs/>
          <w:color w:val="000000" w:themeColor="text1"/>
          <w:sz w:val="22"/>
          <w:szCs w:val="22"/>
        </w:rPr>
        <w:t xml:space="preserve"> PLANO PARENGIMO</w:t>
      </w:r>
      <w:r w:rsidR="003245E2">
        <w:rPr>
          <w:b/>
          <w:bCs/>
          <w:color w:val="000000" w:themeColor="text1"/>
          <w:sz w:val="22"/>
          <w:szCs w:val="22"/>
        </w:rPr>
        <w:t xml:space="preserve"> PASLAUGOS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t xml:space="preserve">3. PASIŪLYMO KAINA </w:t>
      </w:r>
    </w:p>
    <w:p w14:paraId="7FF5952B" w14:textId="77777777" w:rsidR="00340C43" w:rsidRPr="00731A05" w:rsidRDefault="00340C43" w:rsidP="00340C43">
      <w:pPr>
        <w:spacing w:before="60" w:after="60"/>
        <w:jc w:val="both"/>
      </w:pPr>
      <w:r w:rsidRPr="00731A05">
        <w:lastRenderedPageBreak/>
        <w:t>3.1. Pasiūlymo kaina nurodoma užpildant pateiktą lentelę: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164"/>
        <w:gridCol w:w="739"/>
        <w:gridCol w:w="2666"/>
        <w:gridCol w:w="2550"/>
      </w:tblGrid>
      <w:tr w:rsidR="002B2073" w:rsidRPr="00731A05" w14:paraId="59DB13CC" w14:textId="77777777" w:rsidTr="002B2073">
        <w:trPr>
          <w:trHeight w:val="790"/>
        </w:trPr>
        <w:tc>
          <w:tcPr>
            <w:tcW w:w="627" w:type="dxa"/>
            <w:vAlign w:val="center"/>
          </w:tcPr>
          <w:p w14:paraId="0B6896F3" w14:textId="77777777" w:rsidR="002B2073" w:rsidRPr="00731A05" w:rsidRDefault="002B2073" w:rsidP="002B2073">
            <w:pPr>
              <w:jc w:val="center"/>
              <w:rPr>
                <w:b/>
                <w:sz w:val="20"/>
              </w:rPr>
            </w:pPr>
            <w:r w:rsidRPr="00731A05">
              <w:rPr>
                <w:b/>
                <w:sz w:val="20"/>
              </w:rPr>
              <w:t>Eil. Nr.</w:t>
            </w:r>
          </w:p>
        </w:tc>
        <w:tc>
          <w:tcPr>
            <w:tcW w:w="3164" w:type="dxa"/>
            <w:vAlign w:val="center"/>
          </w:tcPr>
          <w:p w14:paraId="4673935C" w14:textId="77777777" w:rsidR="002B2073" w:rsidRPr="00731A05" w:rsidRDefault="002B2073" w:rsidP="002B2073">
            <w:pPr>
              <w:jc w:val="center"/>
              <w:rPr>
                <w:sz w:val="20"/>
              </w:rPr>
            </w:pPr>
            <w:r w:rsidRPr="00731A05">
              <w:rPr>
                <w:b/>
                <w:bCs/>
                <w:sz w:val="20"/>
              </w:rPr>
              <w:t>Prekės pavadinimas</w:t>
            </w:r>
          </w:p>
        </w:tc>
        <w:tc>
          <w:tcPr>
            <w:tcW w:w="739" w:type="dxa"/>
            <w:vAlign w:val="center"/>
          </w:tcPr>
          <w:p w14:paraId="5AE91B45" w14:textId="77777777" w:rsidR="002B2073" w:rsidRPr="00731A05" w:rsidRDefault="002B2073" w:rsidP="002B2073">
            <w:pPr>
              <w:autoSpaceDE w:val="0"/>
              <w:autoSpaceDN w:val="0"/>
              <w:adjustRightInd w:val="0"/>
              <w:jc w:val="center"/>
              <w:rPr>
                <w:rFonts w:eastAsia="Calibri"/>
                <w:b/>
                <w:color w:val="000000"/>
                <w:sz w:val="20"/>
              </w:rPr>
            </w:pPr>
            <w:r w:rsidRPr="00731A05">
              <w:rPr>
                <w:rFonts w:eastAsia="Calibri"/>
                <w:b/>
                <w:color w:val="000000"/>
                <w:sz w:val="20"/>
              </w:rPr>
              <w:t>Mato</w:t>
            </w:r>
          </w:p>
          <w:p w14:paraId="3BC800A8" w14:textId="77777777" w:rsidR="002B2073" w:rsidRPr="00731A05" w:rsidRDefault="002B2073" w:rsidP="002B2073">
            <w:pPr>
              <w:jc w:val="center"/>
              <w:rPr>
                <w:sz w:val="20"/>
              </w:rPr>
            </w:pPr>
            <w:r w:rsidRPr="00731A05">
              <w:rPr>
                <w:b/>
                <w:sz w:val="20"/>
              </w:rPr>
              <w:t>vnt.</w:t>
            </w:r>
          </w:p>
        </w:tc>
        <w:tc>
          <w:tcPr>
            <w:tcW w:w="2666" w:type="dxa"/>
            <w:vAlign w:val="center"/>
          </w:tcPr>
          <w:p w14:paraId="02CDF7AA" w14:textId="77777777" w:rsidR="002B2073" w:rsidRPr="00731A05" w:rsidRDefault="002B2073" w:rsidP="002B2073">
            <w:pPr>
              <w:jc w:val="center"/>
              <w:rPr>
                <w:b/>
                <w:sz w:val="20"/>
              </w:rPr>
            </w:pPr>
            <w:r w:rsidRPr="00731A05">
              <w:rPr>
                <w:b/>
                <w:bCs/>
                <w:sz w:val="20"/>
              </w:rPr>
              <w:t>Kiekis</w:t>
            </w:r>
          </w:p>
        </w:tc>
        <w:tc>
          <w:tcPr>
            <w:tcW w:w="2550" w:type="dxa"/>
            <w:vAlign w:val="center"/>
          </w:tcPr>
          <w:p w14:paraId="2E359D2A" w14:textId="77B6AC07" w:rsidR="002B2073" w:rsidRPr="00731A05" w:rsidRDefault="002B2073" w:rsidP="002B2073">
            <w:pPr>
              <w:jc w:val="center"/>
              <w:rPr>
                <w:b/>
                <w:sz w:val="20"/>
              </w:rPr>
            </w:pPr>
            <w:r w:rsidRPr="00731A05">
              <w:rPr>
                <w:b/>
              </w:rPr>
              <w:t>Bendra pasiūlymo kaina be PVM, Eur</w:t>
            </w:r>
          </w:p>
        </w:tc>
      </w:tr>
      <w:tr w:rsidR="002B2073" w:rsidRPr="00731A05" w14:paraId="25386279" w14:textId="77777777" w:rsidTr="00862CA9">
        <w:tc>
          <w:tcPr>
            <w:tcW w:w="627" w:type="dxa"/>
            <w:vAlign w:val="center"/>
          </w:tcPr>
          <w:p w14:paraId="44935426" w14:textId="77777777" w:rsidR="002B2073" w:rsidRPr="00731A05" w:rsidRDefault="002B2073" w:rsidP="002B2073">
            <w:pPr>
              <w:jc w:val="center"/>
              <w:rPr>
                <w:sz w:val="20"/>
              </w:rPr>
            </w:pPr>
            <w:r w:rsidRPr="00731A05">
              <w:rPr>
                <w:sz w:val="20"/>
              </w:rPr>
              <w:t>1</w:t>
            </w:r>
          </w:p>
        </w:tc>
        <w:tc>
          <w:tcPr>
            <w:tcW w:w="3164" w:type="dxa"/>
          </w:tcPr>
          <w:p w14:paraId="631003E1" w14:textId="408FFED5" w:rsidR="002B2073" w:rsidRPr="00731A05" w:rsidRDefault="004E7BE8" w:rsidP="002B2073">
            <w:pPr>
              <w:rPr>
                <w:szCs w:val="24"/>
              </w:rPr>
            </w:pPr>
            <w:r>
              <w:rPr>
                <w:szCs w:val="24"/>
              </w:rPr>
              <w:t>Detaliojo plano</w:t>
            </w:r>
            <w:r w:rsidR="00617452" w:rsidRPr="00617452">
              <w:rPr>
                <w:szCs w:val="24"/>
              </w:rPr>
              <w:t xml:space="preserve"> parengimo paslaugos</w:t>
            </w:r>
          </w:p>
        </w:tc>
        <w:tc>
          <w:tcPr>
            <w:tcW w:w="739" w:type="dxa"/>
            <w:vAlign w:val="center"/>
          </w:tcPr>
          <w:p w14:paraId="7871B2EA" w14:textId="1B6EDC59" w:rsidR="002B2073" w:rsidRPr="00731A05" w:rsidRDefault="002B2073" w:rsidP="002B2073">
            <w:pPr>
              <w:jc w:val="center"/>
              <w:rPr>
                <w:szCs w:val="24"/>
              </w:rPr>
            </w:pPr>
            <w:r>
              <w:rPr>
                <w:szCs w:val="24"/>
              </w:rPr>
              <w:t>Kompl</w:t>
            </w:r>
            <w:r w:rsidRPr="00731A05">
              <w:rPr>
                <w:szCs w:val="24"/>
              </w:rPr>
              <w:t>.</w:t>
            </w:r>
          </w:p>
        </w:tc>
        <w:tc>
          <w:tcPr>
            <w:tcW w:w="2666" w:type="dxa"/>
            <w:vAlign w:val="center"/>
          </w:tcPr>
          <w:p w14:paraId="3CE9B597" w14:textId="77777777" w:rsidR="002B2073" w:rsidRPr="00731A05" w:rsidRDefault="002B2073" w:rsidP="002B2073">
            <w:pPr>
              <w:jc w:val="center"/>
              <w:rPr>
                <w:szCs w:val="24"/>
              </w:rPr>
            </w:pPr>
            <w:r w:rsidRPr="00731A05">
              <w:t>1</w:t>
            </w:r>
          </w:p>
        </w:tc>
        <w:tc>
          <w:tcPr>
            <w:tcW w:w="2550" w:type="dxa"/>
            <w:vAlign w:val="center"/>
          </w:tcPr>
          <w:p w14:paraId="6CE841FC" w14:textId="77777777" w:rsidR="002B2073" w:rsidRPr="00731A05" w:rsidRDefault="002B2073" w:rsidP="002B2073">
            <w:pPr>
              <w:jc w:val="both"/>
              <w:rPr>
                <w:szCs w:val="24"/>
              </w:rPr>
            </w:pPr>
          </w:p>
        </w:tc>
      </w:tr>
      <w:tr w:rsidR="002B2073" w:rsidRPr="00731A05" w14:paraId="06F2FBC6"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495A4515" w14:textId="77777777" w:rsidR="002B2073" w:rsidRPr="00731A05" w:rsidRDefault="002B2073" w:rsidP="002B2073">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27190C20" w14:textId="77777777" w:rsidR="002B2073" w:rsidRPr="00731A05" w:rsidRDefault="002B2073" w:rsidP="002B2073">
            <w:pPr>
              <w:jc w:val="both"/>
              <w:rPr>
                <w:szCs w:val="24"/>
              </w:rPr>
            </w:pPr>
          </w:p>
        </w:tc>
      </w:tr>
      <w:tr w:rsidR="002B2073" w:rsidRPr="00731A05" w14:paraId="207E6B84"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32B18DBB" w14:textId="77777777" w:rsidR="002B2073" w:rsidRPr="00731A05" w:rsidRDefault="002B2073" w:rsidP="002B2073">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60971E9E" w14:textId="77777777" w:rsidR="002B2073" w:rsidRPr="00731A05" w:rsidRDefault="002B2073" w:rsidP="002B2073">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2E861720" w:rsidR="00351C61" w:rsidRPr="00346B2E"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4E7BE8">
        <w:rPr>
          <w:b/>
          <w:color w:val="FF0000"/>
          <w:sz w:val="20"/>
        </w:rPr>
        <w:t>150</w:t>
      </w:r>
      <w:r w:rsidR="00443E58">
        <w:rPr>
          <w:b/>
          <w:color w:val="FF0000"/>
          <w:sz w:val="20"/>
        </w:rPr>
        <w:t>00</w:t>
      </w:r>
      <w:r w:rsidR="00351C61" w:rsidRPr="00346B2E">
        <w:rPr>
          <w:b/>
          <w:color w:val="FF0000"/>
          <w:sz w:val="20"/>
        </w:rPr>
        <w:t>,00 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Pr="00731A05" w:rsidRDefault="00340C43"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601527AF" w:rsidR="00340C43" w:rsidRPr="00731A05" w:rsidRDefault="00340C43" w:rsidP="00340C43">
      <w:pPr>
        <w:ind w:firstLine="720"/>
        <w:jc w:val="both"/>
        <w:rPr>
          <w:szCs w:val="24"/>
        </w:rPr>
      </w:pPr>
      <w:r w:rsidRPr="00731A05">
        <w:rPr>
          <w:szCs w:val="24"/>
        </w:rPr>
        <w:t xml:space="preserve">Pasiūlymas galioja </w:t>
      </w:r>
      <w:r w:rsidR="00E06744">
        <w:rPr>
          <w:szCs w:val="24"/>
        </w:rPr>
        <w:t>9</w:t>
      </w:r>
      <w:r w:rsidRPr="00731A05">
        <w:rPr>
          <w:szCs w:val="24"/>
        </w:rPr>
        <w:t>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D2D04"/>
    <w:rsid w:val="002B2073"/>
    <w:rsid w:val="003245E2"/>
    <w:rsid w:val="00340C43"/>
    <w:rsid w:val="00346B2E"/>
    <w:rsid w:val="00351C61"/>
    <w:rsid w:val="00395A5A"/>
    <w:rsid w:val="00443E58"/>
    <w:rsid w:val="004E7BE8"/>
    <w:rsid w:val="00617452"/>
    <w:rsid w:val="0072530E"/>
    <w:rsid w:val="0080244F"/>
    <w:rsid w:val="009176A6"/>
    <w:rsid w:val="00960ADB"/>
    <w:rsid w:val="00A5508C"/>
    <w:rsid w:val="00AD6380"/>
    <w:rsid w:val="00C06305"/>
    <w:rsid w:val="00C2054C"/>
    <w:rsid w:val="00CB355C"/>
    <w:rsid w:val="00E06744"/>
    <w:rsid w:val="00E60731"/>
    <w:rsid w:val="00F33DD8"/>
    <w:rsid w:val="00F5152E"/>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13</cp:revision>
  <dcterms:created xsi:type="dcterms:W3CDTF">2023-08-07T11:01:00Z</dcterms:created>
  <dcterms:modified xsi:type="dcterms:W3CDTF">2024-12-11T14:45:00Z</dcterms:modified>
</cp:coreProperties>
</file>