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15AF5" w14:textId="77777777" w:rsidR="00EE3617" w:rsidRPr="00F831DE" w:rsidRDefault="00EE3617" w:rsidP="00EE3617">
      <w:pPr>
        <w:pStyle w:val="Tvarkostekstas"/>
        <w:numPr>
          <w:ilvl w:val="0"/>
          <w:numId w:val="0"/>
        </w:numPr>
        <w:rPr>
          <w:bCs/>
        </w:rPr>
      </w:pPr>
    </w:p>
    <w:p w14:paraId="36C46E98" w14:textId="77777777" w:rsidR="00EE3617" w:rsidRPr="00F831DE" w:rsidRDefault="00EE3617" w:rsidP="00EE3617">
      <w:pPr>
        <w:pStyle w:val="Tvarkostekstas"/>
        <w:numPr>
          <w:ilvl w:val="0"/>
          <w:numId w:val="0"/>
        </w:numPr>
        <w:spacing w:after="120"/>
        <w:ind w:firstLine="567"/>
        <w:jc w:val="left"/>
        <w:rPr>
          <w:bCs/>
          <w:iCs/>
          <w:color w:val="FF0000"/>
        </w:rPr>
      </w:pPr>
    </w:p>
    <w:tbl>
      <w:tblPr>
        <w:tblpPr w:leftFromText="180" w:rightFromText="180" w:vertAnchor="text" w:tblpX="279" w:tblpY="1"/>
        <w:tblOverlap w:val="never"/>
        <w:tblW w:w="15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8"/>
        <w:gridCol w:w="1707"/>
        <w:gridCol w:w="6521"/>
        <w:gridCol w:w="6378"/>
      </w:tblGrid>
      <w:tr w:rsidR="00EE3617" w:rsidRPr="00F831DE" w14:paraId="155831C0" w14:textId="77777777" w:rsidTr="005E23B7">
        <w:trPr>
          <w:trHeight w:val="1833"/>
          <w:tblHeader/>
        </w:trPr>
        <w:tc>
          <w:tcPr>
            <w:tcW w:w="6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D39B2E" w14:textId="77777777" w:rsidR="00EE3617" w:rsidRPr="00F831DE" w:rsidRDefault="00EE3617" w:rsidP="00B0711C">
            <w:pPr>
              <w:jc w:val="center"/>
              <w:rPr>
                <w:sz w:val="22"/>
                <w:szCs w:val="22"/>
                <w:lang w:eastAsia="lt-LT"/>
              </w:rPr>
            </w:pPr>
            <w:r w:rsidRPr="00F831DE">
              <w:rPr>
                <w:b/>
                <w:bCs/>
                <w:color w:val="000000"/>
                <w:sz w:val="22"/>
                <w:szCs w:val="22"/>
                <w:lang w:eastAsia="lt-LT"/>
              </w:rPr>
              <w:t>Eil.</w:t>
            </w:r>
            <w:r w:rsidRPr="00F831DE">
              <w:rPr>
                <w:b/>
                <w:bCs/>
                <w:color w:val="000000"/>
                <w:sz w:val="22"/>
                <w:szCs w:val="22"/>
                <w:lang w:eastAsia="lt-LT"/>
              </w:rPr>
              <w:br/>
              <w:t>Nr.</w:t>
            </w:r>
          </w:p>
        </w:tc>
        <w:tc>
          <w:tcPr>
            <w:tcW w:w="170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8F50502" w14:textId="77777777" w:rsidR="00EE3617" w:rsidRPr="00F831DE" w:rsidRDefault="00EE3617" w:rsidP="00B0711C">
            <w:pPr>
              <w:jc w:val="center"/>
              <w:rPr>
                <w:sz w:val="22"/>
                <w:szCs w:val="22"/>
                <w:lang w:eastAsia="lt-LT"/>
              </w:rPr>
            </w:pPr>
            <w:r w:rsidRPr="00F831DE">
              <w:rPr>
                <w:b/>
                <w:bCs/>
                <w:color w:val="000000"/>
                <w:sz w:val="22"/>
                <w:szCs w:val="22"/>
                <w:lang w:eastAsia="lt-LT"/>
              </w:rPr>
              <w:t>Parametro pavadinimas</w:t>
            </w:r>
          </w:p>
        </w:tc>
        <w:tc>
          <w:tcPr>
            <w:tcW w:w="652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ACDFAA3" w14:textId="77777777" w:rsidR="00EE3617" w:rsidRPr="00F831DE" w:rsidRDefault="00EE3617" w:rsidP="00B0711C">
            <w:pPr>
              <w:jc w:val="center"/>
              <w:rPr>
                <w:sz w:val="22"/>
                <w:szCs w:val="22"/>
                <w:lang w:eastAsia="lt-LT"/>
              </w:rPr>
            </w:pPr>
            <w:r w:rsidRPr="00F831DE">
              <w:rPr>
                <w:b/>
                <w:bCs/>
                <w:color w:val="000000"/>
                <w:sz w:val="22"/>
                <w:szCs w:val="22"/>
                <w:lang w:eastAsia="lt-LT"/>
              </w:rPr>
              <w:t>Reikalaujamos parametrų reikšmės</w:t>
            </w:r>
          </w:p>
        </w:tc>
        <w:tc>
          <w:tcPr>
            <w:tcW w:w="63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15220B" w14:textId="77777777" w:rsidR="00EE3617" w:rsidRPr="00F831DE" w:rsidRDefault="00EE3617" w:rsidP="00EE3617">
            <w:pPr>
              <w:jc w:val="center"/>
              <w:rPr>
                <w:b/>
                <w:sz w:val="22"/>
                <w:szCs w:val="22"/>
              </w:rPr>
            </w:pPr>
            <w:r w:rsidRPr="00F831DE">
              <w:rPr>
                <w:b/>
                <w:sz w:val="22"/>
                <w:szCs w:val="22"/>
              </w:rPr>
              <w:t>Tiekėjo siūlomų prekių techninės charakteristikos</w:t>
            </w:r>
          </w:p>
          <w:p w14:paraId="54C7F03D" w14:textId="77777777" w:rsidR="00EE3617" w:rsidRPr="00F831DE" w:rsidRDefault="00EE3617" w:rsidP="00EE3617">
            <w:pPr>
              <w:jc w:val="center"/>
              <w:rPr>
                <w:b/>
                <w:bCs/>
                <w:color w:val="000000"/>
                <w:sz w:val="22"/>
                <w:szCs w:val="22"/>
                <w:lang w:eastAsia="lt-LT"/>
              </w:rPr>
            </w:pPr>
            <w:r w:rsidRPr="00F831DE">
              <w:rPr>
                <w:b/>
                <w:sz w:val="22"/>
                <w:szCs w:val="22"/>
              </w:rPr>
              <w:t>(tiekėjas turi nurodyti tikslius dydžius, medžiagas, išmatavimus ir pan. – t. y. nepaliekant žodžių „ne mažiau“, ne daugiau“, „ne siauresnis“, „ne platesnis“ arba lygiavertis“ ,,+/-„ ar pan.)</w:t>
            </w:r>
          </w:p>
        </w:tc>
      </w:tr>
      <w:tr w:rsidR="00EE3617" w:rsidRPr="00F831DE" w14:paraId="5A295E2B" w14:textId="77777777" w:rsidTr="005E23B7">
        <w:trPr>
          <w:trHeight w:val="977"/>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794134" w14:textId="77777777" w:rsidR="00EE3617" w:rsidRPr="00F831DE" w:rsidRDefault="00EE3617" w:rsidP="00B0711C">
            <w:pPr>
              <w:pStyle w:val="prastasiniatinklio"/>
              <w:spacing w:after="0"/>
              <w:jc w:val="both"/>
              <w:rPr>
                <w:bCs/>
              </w:rPr>
            </w:pPr>
            <w:r w:rsidRPr="00F831DE">
              <w:rPr>
                <w:bCs/>
              </w:rPr>
              <w:t>1.</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75969" w14:textId="77777777" w:rsidR="00EE3617" w:rsidRPr="00F831DE" w:rsidRDefault="00F831DE" w:rsidP="00B0711C">
            <w:pPr>
              <w:jc w:val="center"/>
              <w:rPr>
                <w:b/>
                <w:bCs/>
              </w:rPr>
            </w:pPr>
            <w:r>
              <w:rPr>
                <w:b/>
                <w:bCs/>
              </w:rPr>
              <w:t>Stacionarus kompiuteris</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26F5A" w14:textId="77777777" w:rsidR="00AB5BF2" w:rsidRPr="00FD25CB" w:rsidRDefault="00AB5BF2" w:rsidP="00AB5BF2">
            <w:pPr>
              <w:spacing w:after="200"/>
            </w:pPr>
            <w:r w:rsidRPr="00FD25CB">
              <w:rPr>
                <w:bCs/>
              </w:rPr>
              <w:t xml:space="preserve">Prekės </w:t>
            </w:r>
            <w:r w:rsidRPr="00FD25CB">
              <w:rPr>
                <w:b/>
                <w:bCs/>
              </w:rPr>
              <w:t>gamintojas</w:t>
            </w:r>
            <w:r w:rsidRPr="00FD25CB">
              <w:t xml:space="preserve">: </w:t>
            </w:r>
            <w:r w:rsidRPr="007F2C9F">
              <w:rPr>
                <w:i/>
                <w:color w:val="FF0000"/>
              </w:rPr>
              <w:t>(nurodyti siūlomo stacionaraus kompiuterio gamintoją)</w:t>
            </w:r>
          </w:p>
          <w:p w14:paraId="4E76B4D9" w14:textId="77777777" w:rsidR="00AB5BF2" w:rsidRPr="00FD25CB" w:rsidRDefault="00AB5BF2" w:rsidP="00AB5BF2">
            <w:pPr>
              <w:suppressAutoHyphens w:val="0"/>
              <w:autoSpaceDN/>
              <w:spacing w:after="200"/>
            </w:pPr>
            <w:r w:rsidRPr="00FD25CB">
              <w:t>Prekės</w:t>
            </w:r>
            <w:r w:rsidRPr="00FD25CB">
              <w:rPr>
                <w:b/>
                <w:bCs/>
              </w:rPr>
              <w:t xml:space="preserve"> modelis</w:t>
            </w:r>
            <w:r w:rsidRPr="00FD25CB">
              <w:t xml:space="preserve">, </w:t>
            </w:r>
            <w:r w:rsidRPr="00FD25CB">
              <w:rPr>
                <w:b/>
                <w:bCs/>
              </w:rPr>
              <w:t>serija</w:t>
            </w:r>
            <w:r w:rsidRPr="00FD25CB">
              <w:t xml:space="preserve">, </w:t>
            </w:r>
            <w:r w:rsidRPr="00FD25CB">
              <w:rPr>
                <w:b/>
                <w:bCs/>
              </w:rPr>
              <w:t>kodas ar numeris</w:t>
            </w:r>
            <w:r w:rsidRPr="00FD25CB">
              <w:t xml:space="preserve"> </w:t>
            </w:r>
            <w:r w:rsidRPr="007F2C9F">
              <w:rPr>
                <w:i/>
                <w:iCs/>
                <w:color w:val="FF0000"/>
              </w:rPr>
              <w:t>(nurodyti siūlomo stacionaraus kompiuterio modelį, seriją, kodą ar numerį)</w:t>
            </w:r>
          </w:p>
          <w:p w14:paraId="3B04CAEA" w14:textId="77777777" w:rsidR="00AB5BF2" w:rsidRPr="007F2C9F" w:rsidRDefault="00AB5BF2" w:rsidP="00AB5BF2">
            <w:pPr>
              <w:suppressAutoHyphens w:val="0"/>
              <w:autoSpaceDN/>
              <w:spacing w:after="200"/>
              <w:rPr>
                <w:i/>
                <w:color w:val="FF0000"/>
              </w:rPr>
            </w:pPr>
            <w:r w:rsidRPr="00FD25CB">
              <w:rPr>
                <w:b/>
                <w:bCs/>
              </w:rPr>
              <w:t xml:space="preserve">Nuoroda į </w:t>
            </w:r>
            <w:r w:rsidRPr="00FD25CB">
              <w:rPr>
                <w:b/>
              </w:rPr>
              <w:t xml:space="preserve">oficialų prekės gamintojo (konkretaus modelio) internetinį tinklapį, </w:t>
            </w:r>
            <w:r w:rsidRPr="00FD25CB">
              <w:t xml:space="preserve">kuriame būtų galima patikrinti tiekėjo teikiamų duomenų autentiškumą apie prekės atitiktį techninės specifikacijos reikalavimams: </w:t>
            </w:r>
            <w:r w:rsidRPr="007F2C9F">
              <w:rPr>
                <w:i/>
                <w:color w:val="FF0000"/>
              </w:rPr>
              <w:t>(pateikti nuorodą į gamintojo puslapį)</w:t>
            </w:r>
          </w:p>
          <w:p w14:paraId="38060638" w14:textId="41E943EE" w:rsidR="00B1343C" w:rsidRPr="00F831DE" w:rsidRDefault="00AB5BF2" w:rsidP="00AB5BF2">
            <w:r w:rsidRPr="00FD25CB">
              <w:t xml:space="preserve">Reikalavimo atitiktį lentelės reikalavimams įrodantys dokumentai:  prekių gamintojo katalogai/ bukletai/ brošiūros, naudojimo instrukcijos, techniniai aprašai ir/arba kiti siūlomų prekių gamintojo parengti dokumentai,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yra/ jei prekė turi) bei visa informacija, pagrindžiančia prekės atitikimą reikalavimams,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w:t>
            </w:r>
            <w:r w:rsidRPr="007F2C9F">
              <w:rPr>
                <w:i/>
                <w:color w:val="FF0000"/>
              </w:rPr>
              <w:t>(pateikti su pasiūlymu)</w:t>
            </w:r>
          </w:p>
        </w:tc>
      </w:tr>
      <w:tr w:rsidR="00A36466" w:rsidRPr="00F831DE" w14:paraId="5771E9A0" w14:textId="77777777" w:rsidTr="005E23B7">
        <w:tc>
          <w:tcPr>
            <w:tcW w:w="698" w:type="dxa"/>
            <w:tcBorders>
              <w:top w:val="single" w:sz="4" w:space="0" w:color="auto"/>
              <w:left w:val="single" w:sz="4" w:space="0" w:color="auto"/>
              <w:bottom w:val="single" w:sz="4" w:space="0" w:color="auto"/>
              <w:right w:val="single" w:sz="4" w:space="0" w:color="auto"/>
            </w:tcBorders>
          </w:tcPr>
          <w:p w14:paraId="000E90EF" w14:textId="77777777" w:rsidR="00A36466" w:rsidRPr="00F831DE" w:rsidRDefault="00A36466" w:rsidP="00B0711C">
            <w:pPr>
              <w:rPr>
                <w:color w:val="000000"/>
                <w:lang w:eastAsia="lt-LT"/>
              </w:rPr>
            </w:pPr>
            <w:r>
              <w:rPr>
                <w:color w:val="000000"/>
                <w:lang w:eastAsia="lt-LT"/>
              </w:rPr>
              <w:t>1.1</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9DAD739" w14:textId="77777777" w:rsidR="00A36466" w:rsidRPr="00F831DE" w:rsidRDefault="00A36466" w:rsidP="00B0711C">
            <w:r>
              <w:t>Korpusas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B7F7A9A" w14:textId="77777777" w:rsidR="00A36466" w:rsidRPr="00F831DE" w:rsidRDefault="00A36466" w:rsidP="00B0711C">
            <w:pPr>
              <w:jc w:val="both"/>
            </w:pPr>
            <w:r>
              <w:t xml:space="preserve">Korpuso tipas </w:t>
            </w:r>
            <w:r w:rsidR="00D65414">
              <w:t xml:space="preserve">ne didesnis nei SFF </w:t>
            </w:r>
            <w:r w:rsidR="00D65414">
              <w:rPr>
                <w:i/>
              </w:rPr>
              <w:t>(SlimForm</w:t>
            </w:r>
            <w:r w:rsidR="00D65414" w:rsidRPr="00D65414">
              <w:rPr>
                <w:i/>
              </w:rPr>
              <w:t>Factory)</w:t>
            </w:r>
          </w:p>
        </w:tc>
        <w:tc>
          <w:tcPr>
            <w:tcW w:w="6378" w:type="dxa"/>
            <w:tcBorders>
              <w:top w:val="single" w:sz="4" w:space="0" w:color="auto"/>
              <w:left w:val="single" w:sz="4" w:space="0" w:color="auto"/>
              <w:bottom w:val="single" w:sz="4" w:space="0" w:color="auto"/>
              <w:right w:val="single" w:sz="4" w:space="0" w:color="auto"/>
            </w:tcBorders>
          </w:tcPr>
          <w:p w14:paraId="148F45B5" w14:textId="77777777" w:rsidR="00A36466" w:rsidRPr="00F831DE" w:rsidRDefault="00A36466" w:rsidP="00B0711C">
            <w:pPr>
              <w:rPr>
                <w:sz w:val="22"/>
                <w:szCs w:val="22"/>
              </w:rPr>
            </w:pPr>
          </w:p>
        </w:tc>
      </w:tr>
      <w:tr w:rsidR="00EE3617" w:rsidRPr="00F831DE" w14:paraId="7E09AA91" w14:textId="77777777" w:rsidTr="005E23B7">
        <w:tc>
          <w:tcPr>
            <w:tcW w:w="698" w:type="dxa"/>
            <w:tcBorders>
              <w:top w:val="single" w:sz="4" w:space="0" w:color="auto"/>
              <w:left w:val="single" w:sz="4" w:space="0" w:color="auto"/>
              <w:bottom w:val="single" w:sz="4" w:space="0" w:color="auto"/>
              <w:right w:val="single" w:sz="4" w:space="0" w:color="auto"/>
            </w:tcBorders>
            <w:hideMark/>
          </w:tcPr>
          <w:p w14:paraId="481C73CB" w14:textId="77777777" w:rsidR="00EE3617" w:rsidRPr="00F831DE" w:rsidRDefault="00AB5C0E" w:rsidP="00B0711C">
            <w:pPr>
              <w:rPr>
                <w:lang w:eastAsia="lt-LT"/>
              </w:rPr>
            </w:pPr>
            <w:r w:rsidRPr="00F831DE">
              <w:rPr>
                <w:color w:val="000000"/>
                <w:lang w:eastAsia="lt-LT"/>
              </w:rPr>
              <w:t>1.1</w:t>
            </w:r>
            <w:r w:rsidR="00EE3617"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06931654" w14:textId="77777777" w:rsidR="00EE3617" w:rsidRPr="00F831DE" w:rsidRDefault="00EE3617" w:rsidP="00B0711C">
            <w:pPr>
              <w:rPr>
                <w:sz w:val="22"/>
                <w:szCs w:val="22"/>
                <w:lang w:eastAsia="lt-LT"/>
              </w:rPr>
            </w:pPr>
            <w:r w:rsidRPr="00F831DE">
              <w:t>Procesoriaus našumas</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53CC575A" w14:textId="0C24A1E6" w:rsidR="00EE3617" w:rsidRPr="00F831DE" w:rsidRDefault="00EE3617" w:rsidP="00B0711C">
            <w:pPr>
              <w:jc w:val="both"/>
            </w:pPr>
            <w:r w:rsidRPr="00F831DE">
              <w:t>Proces</w:t>
            </w:r>
            <w:r w:rsidR="00A36466">
              <w:t>orius turi būti ne mažiau kaip 1</w:t>
            </w:r>
            <w:r w:rsidR="005E23B7">
              <w:t>0</w:t>
            </w:r>
            <w:r w:rsidRPr="00F831DE">
              <w:t xml:space="preserve"> branduolių</w:t>
            </w:r>
            <w:r w:rsidR="005E23B7">
              <w:t xml:space="preserve"> (Cores)</w:t>
            </w:r>
          </w:p>
          <w:p w14:paraId="613FF26F" w14:textId="33BD5412" w:rsidR="00EE3617" w:rsidRPr="00F831DE" w:rsidRDefault="00EE3617" w:rsidP="00B0711C">
            <w:pPr>
              <w:jc w:val="both"/>
            </w:pPr>
            <w:r w:rsidRPr="00F831DE">
              <w:t xml:space="preserve">Kompiuterio procesoriaus našumas pagal viešai publikuojamus Passmark performance CPU mark procesorių įvertinimo rezultatus, pateikiamus </w:t>
            </w:r>
            <w:hyperlink r:id="rId5" w:history="1">
              <w:r w:rsidRPr="00F831DE">
                <w:rPr>
                  <w:rStyle w:val="Hipersaitas"/>
                </w:rPr>
                <w:t>http://www.cpubenchmark.net/cpu_list.php</w:t>
              </w:r>
            </w:hyperlink>
            <w:r w:rsidRPr="00F831DE">
              <w:t xml:space="preserve"> ne mažiau nei </w:t>
            </w:r>
            <w:r w:rsidR="005E23B7">
              <w:t>25</w:t>
            </w:r>
            <w:r w:rsidRPr="00F831DE">
              <w:t xml:space="preserve">000. </w:t>
            </w:r>
          </w:p>
          <w:p w14:paraId="6D4464E3" w14:textId="77777777" w:rsidR="002707D4" w:rsidRDefault="00EE3617" w:rsidP="00B0711C">
            <w:pPr>
              <w:jc w:val="both"/>
            </w:pPr>
            <w:r w:rsidRPr="00F831DE">
              <w:t xml:space="preserve">Procesoriaus našumo parametras Passmark Rating  yra gaunamas kompiuterį testuojant „PerformanceTest“  programine įranga, kuri nemokamai ir viešai prieinama </w:t>
            </w:r>
            <w:hyperlink r:id="rId6" w:history="1">
              <w:r w:rsidRPr="00F831DE">
                <w:rPr>
                  <w:rStyle w:val="Hipersaitas"/>
                </w:rPr>
                <w:t>http://www.passmark.com</w:t>
              </w:r>
            </w:hyperlink>
            <w:r w:rsidRPr="00F831DE">
              <w:t xml:space="preserve">. </w:t>
            </w:r>
          </w:p>
          <w:p w14:paraId="73DF4D20" w14:textId="31260A91" w:rsidR="002707D4" w:rsidRDefault="002707D4" w:rsidP="00B0711C">
            <w:pPr>
              <w:jc w:val="both"/>
            </w:pPr>
            <w:r>
              <w:lastRenderedPageBreak/>
              <w:t xml:space="preserve">Procesoriaus išleidimo į rinką data ne </w:t>
            </w:r>
            <w:r w:rsidR="00A7290A">
              <w:t>vėliau</w:t>
            </w:r>
            <w:r>
              <w:t xml:space="preserve"> nei 2023 metų </w:t>
            </w:r>
            <w:r w:rsidR="00A7290A">
              <w:t>I</w:t>
            </w:r>
            <w:r>
              <w:t xml:space="preserve"> ketvirtis (202</w:t>
            </w:r>
            <w:r w:rsidR="005E23B7">
              <w:t>4</w:t>
            </w:r>
            <w:r>
              <w:t xml:space="preserve"> Q1)</w:t>
            </w:r>
          </w:p>
          <w:p w14:paraId="589EBDC8" w14:textId="77777777" w:rsidR="00EE3617" w:rsidRPr="00F831DE" w:rsidRDefault="00EE3617" w:rsidP="00B0711C">
            <w:pPr>
              <w:jc w:val="both"/>
            </w:pPr>
            <w:r w:rsidRPr="00F831DE">
              <w:t>Procesoriaus sparta negali būti dirbtinai padidinta.</w:t>
            </w:r>
          </w:p>
          <w:p w14:paraId="5CE396EB" w14:textId="77777777" w:rsidR="00EE3617" w:rsidRPr="00F831DE" w:rsidRDefault="00EE3617" w:rsidP="00B0711C">
            <w:pPr>
              <w:jc w:val="both"/>
              <w:rPr>
                <w:sz w:val="22"/>
                <w:szCs w:val="22"/>
                <w:lang w:eastAsia="lt-LT"/>
              </w:rPr>
            </w:pPr>
            <w:r w:rsidRPr="00F831DE">
              <w:t>Pasiūlyme turi būti nurodomas procesoriaus modelis.</w:t>
            </w:r>
          </w:p>
        </w:tc>
        <w:tc>
          <w:tcPr>
            <w:tcW w:w="6378" w:type="dxa"/>
            <w:tcBorders>
              <w:top w:val="single" w:sz="4" w:space="0" w:color="auto"/>
              <w:left w:val="single" w:sz="4" w:space="0" w:color="auto"/>
              <w:bottom w:val="single" w:sz="4" w:space="0" w:color="auto"/>
              <w:right w:val="single" w:sz="4" w:space="0" w:color="auto"/>
            </w:tcBorders>
          </w:tcPr>
          <w:p w14:paraId="2221997A" w14:textId="77777777" w:rsidR="00EE3617" w:rsidRPr="00F831DE" w:rsidRDefault="00EE3617" w:rsidP="00B0711C">
            <w:pPr>
              <w:rPr>
                <w:sz w:val="22"/>
                <w:szCs w:val="22"/>
              </w:rPr>
            </w:pPr>
          </w:p>
        </w:tc>
      </w:tr>
      <w:tr w:rsidR="00EE3617" w:rsidRPr="00F831DE" w14:paraId="19375A16" w14:textId="77777777" w:rsidTr="005E23B7">
        <w:trPr>
          <w:trHeight w:val="826"/>
        </w:trPr>
        <w:tc>
          <w:tcPr>
            <w:tcW w:w="698" w:type="dxa"/>
            <w:tcBorders>
              <w:top w:val="single" w:sz="4" w:space="0" w:color="auto"/>
              <w:left w:val="single" w:sz="4" w:space="0" w:color="auto"/>
              <w:bottom w:val="single" w:sz="4" w:space="0" w:color="auto"/>
              <w:right w:val="single" w:sz="4" w:space="0" w:color="auto"/>
            </w:tcBorders>
            <w:hideMark/>
          </w:tcPr>
          <w:p w14:paraId="53E1874B" w14:textId="77777777" w:rsidR="00EE3617" w:rsidRPr="00F831DE" w:rsidRDefault="00AB5C0E" w:rsidP="00B0711C">
            <w:pPr>
              <w:rPr>
                <w:lang w:eastAsia="lt-LT"/>
              </w:rPr>
            </w:pPr>
            <w:r w:rsidRPr="00F831DE">
              <w:rPr>
                <w:color w:val="000000"/>
                <w:lang w:eastAsia="lt-LT"/>
              </w:rPr>
              <w:t>1.2</w:t>
            </w:r>
            <w:r w:rsidR="00EE3617"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0E102396" w14:textId="77777777" w:rsidR="00EE3617" w:rsidRPr="00F831DE" w:rsidRDefault="00EE3617" w:rsidP="00B0711C">
            <w:pPr>
              <w:rPr>
                <w:sz w:val="22"/>
                <w:szCs w:val="22"/>
                <w:lang w:eastAsia="lt-LT"/>
              </w:rPr>
            </w:pPr>
            <w:r w:rsidRPr="00F831DE">
              <w:t>Procesoriaus technologija</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1C31F514" w14:textId="77777777" w:rsidR="00EE3617" w:rsidRPr="00F831DE" w:rsidRDefault="00EE3617" w:rsidP="00B0711C">
            <w:pPr>
              <w:jc w:val="both"/>
              <w:rPr>
                <w:sz w:val="22"/>
                <w:szCs w:val="22"/>
                <w:lang w:eastAsia="lt-LT"/>
              </w:rPr>
            </w:pPr>
            <w:r w:rsidRPr="00F831DE">
              <w:t>x64, turi palaikyti 32 ir 64 bitų operacines sistemas ir taikomąsias programas.</w:t>
            </w:r>
          </w:p>
        </w:tc>
        <w:tc>
          <w:tcPr>
            <w:tcW w:w="6378" w:type="dxa"/>
            <w:tcBorders>
              <w:top w:val="single" w:sz="4" w:space="0" w:color="auto"/>
              <w:left w:val="single" w:sz="4" w:space="0" w:color="auto"/>
              <w:bottom w:val="single" w:sz="4" w:space="0" w:color="auto"/>
              <w:right w:val="single" w:sz="4" w:space="0" w:color="auto"/>
            </w:tcBorders>
          </w:tcPr>
          <w:p w14:paraId="4393D3F6" w14:textId="77777777" w:rsidR="00EE3617" w:rsidRPr="00F831DE" w:rsidRDefault="00EE3617" w:rsidP="00B0711C">
            <w:pPr>
              <w:rPr>
                <w:sz w:val="22"/>
                <w:szCs w:val="22"/>
                <w:lang w:eastAsia="lt-LT"/>
              </w:rPr>
            </w:pPr>
          </w:p>
        </w:tc>
      </w:tr>
      <w:tr w:rsidR="00A36466" w:rsidRPr="00F831DE" w14:paraId="2A678C01" w14:textId="77777777" w:rsidTr="005E23B7">
        <w:tc>
          <w:tcPr>
            <w:tcW w:w="698" w:type="dxa"/>
            <w:tcBorders>
              <w:top w:val="single" w:sz="4" w:space="0" w:color="auto"/>
              <w:left w:val="single" w:sz="4" w:space="0" w:color="auto"/>
              <w:bottom w:val="single" w:sz="4" w:space="0" w:color="auto"/>
              <w:right w:val="single" w:sz="4" w:space="0" w:color="auto"/>
            </w:tcBorders>
            <w:hideMark/>
          </w:tcPr>
          <w:p w14:paraId="7B87D009" w14:textId="77777777" w:rsidR="00A36466" w:rsidRPr="00F831DE" w:rsidRDefault="00A36466" w:rsidP="00A36466">
            <w:pPr>
              <w:rPr>
                <w:lang w:eastAsia="lt-LT"/>
              </w:rPr>
            </w:pPr>
            <w:r w:rsidRPr="00F831DE">
              <w:rPr>
                <w:color w:val="000000"/>
                <w:lang w:eastAsia="lt-LT"/>
              </w:rPr>
              <w:t>1.</w:t>
            </w:r>
            <w:r>
              <w:rPr>
                <w:color w:val="000000"/>
                <w:lang w:eastAsia="lt-LT"/>
              </w:rPr>
              <w:t>3</w:t>
            </w:r>
            <w:r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2444E581" w14:textId="77777777" w:rsidR="00A36466" w:rsidRPr="00F831DE" w:rsidRDefault="00A36466" w:rsidP="00A36466">
            <w:pPr>
              <w:rPr>
                <w:sz w:val="22"/>
                <w:szCs w:val="22"/>
                <w:lang w:eastAsia="lt-LT"/>
              </w:rPr>
            </w:pPr>
            <w:r w:rsidRPr="00F831DE">
              <w:t>Atmintinė (RAM)</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02253FA3" w14:textId="331AEABE" w:rsidR="00A36466" w:rsidRPr="00A36466" w:rsidRDefault="007F2C9F" w:rsidP="00A36466">
            <w:pPr>
              <w:jc w:val="both"/>
              <w:rPr>
                <w:sz w:val="22"/>
                <w:szCs w:val="22"/>
                <w:highlight w:val="yellow"/>
                <w:lang w:eastAsia="lt-LT"/>
              </w:rPr>
            </w:pPr>
            <w:r>
              <w:t>Ne mažiau kaip 8</w:t>
            </w:r>
            <w:r w:rsidR="00A36466" w:rsidRPr="00D65414">
              <w:t xml:space="preserve"> GB su galimybe praplėsti iki 32GB, DDR</w:t>
            </w:r>
            <w:r w:rsidR="005E23B7">
              <w:t>5</w:t>
            </w:r>
            <w:r w:rsidR="00A36466" w:rsidRPr="00D65414">
              <w:t xml:space="preserve"> </w:t>
            </w:r>
            <w:r w:rsidR="005E23B7">
              <w:t>4</w:t>
            </w:r>
            <w:r w:rsidR="00E740F5">
              <w:t>4</w:t>
            </w:r>
            <w:r w:rsidR="00A36466" w:rsidRPr="00D65414">
              <w:t>00Mhz</w:t>
            </w:r>
          </w:p>
        </w:tc>
        <w:tc>
          <w:tcPr>
            <w:tcW w:w="6378" w:type="dxa"/>
            <w:tcBorders>
              <w:top w:val="single" w:sz="4" w:space="0" w:color="auto"/>
              <w:left w:val="single" w:sz="4" w:space="0" w:color="auto"/>
              <w:bottom w:val="single" w:sz="4" w:space="0" w:color="auto"/>
              <w:right w:val="single" w:sz="4" w:space="0" w:color="auto"/>
            </w:tcBorders>
          </w:tcPr>
          <w:p w14:paraId="6A070569" w14:textId="77777777" w:rsidR="00A36466" w:rsidRPr="00F831DE" w:rsidRDefault="00A36466" w:rsidP="00A36466">
            <w:pPr>
              <w:rPr>
                <w:color w:val="000000"/>
                <w:sz w:val="22"/>
                <w:szCs w:val="22"/>
                <w:lang w:eastAsia="lt-LT"/>
              </w:rPr>
            </w:pPr>
          </w:p>
        </w:tc>
      </w:tr>
      <w:tr w:rsidR="00EE3617" w:rsidRPr="00F831DE" w14:paraId="3236BE5E" w14:textId="77777777" w:rsidTr="005E23B7">
        <w:tc>
          <w:tcPr>
            <w:tcW w:w="698" w:type="dxa"/>
            <w:tcBorders>
              <w:top w:val="single" w:sz="4" w:space="0" w:color="auto"/>
              <w:left w:val="single" w:sz="4" w:space="0" w:color="auto"/>
              <w:bottom w:val="single" w:sz="4" w:space="0" w:color="auto"/>
              <w:right w:val="single" w:sz="4" w:space="0" w:color="auto"/>
            </w:tcBorders>
            <w:hideMark/>
          </w:tcPr>
          <w:p w14:paraId="6172BA55" w14:textId="77777777" w:rsidR="00EE3617" w:rsidRPr="00F831DE" w:rsidRDefault="00A36466" w:rsidP="00B0711C">
            <w:pPr>
              <w:rPr>
                <w:lang w:eastAsia="lt-LT"/>
              </w:rPr>
            </w:pPr>
            <w:r>
              <w:rPr>
                <w:color w:val="000000"/>
                <w:lang w:eastAsia="lt-LT"/>
              </w:rPr>
              <w:t>1.4</w:t>
            </w:r>
            <w:r w:rsidR="00EE3617"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09634305" w14:textId="77777777" w:rsidR="00EE3617" w:rsidRPr="00F831DE" w:rsidRDefault="00EE3617" w:rsidP="00B0711C">
            <w:pPr>
              <w:rPr>
                <w:sz w:val="22"/>
                <w:szCs w:val="22"/>
                <w:lang w:eastAsia="lt-LT"/>
              </w:rPr>
            </w:pPr>
            <w:r w:rsidRPr="00F831DE">
              <w:t>Kietų diskų posistemė</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400EDF1F" w14:textId="148722CC" w:rsidR="00EE3617" w:rsidRPr="00A36466" w:rsidRDefault="00D65414" w:rsidP="00D65414">
            <w:pPr>
              <w:jc w:val="both"/>
              <w:rPr>
                <w:sz w:val="22"/>
                <w:szCs w:val="22"/>
                <w:highlight w:val="yellow"/>
                <w:lang w:eastAsia="lt-LT"/>
              </w:rPr>
            </w:pPr>
            <w:r w:rsidRPr="00D65414">
              <w:t>Ne mažiau nei 5</w:t>
            </w:r>
            <w:r w:rsidR="005E23B7">
              <w:t>12</w:t>
            </w:r>
            <w:r w:rsidR="00EE3617" w:rsidRPr="00D65414">
              <w:t xml:space="preserve"> GB talpos SSD (PCI</w:t>
            </w:r>
            <w:r w:rsidR="00A70A46" w:rsidRPr="00D65414">
              <w:t xml:space="preserve">e NVMe tipo). </w:t>
            </w:r>
          </w:p>
        </w:tc>
        <w:tc>
          <w:tcPr>
            <w:tcW w:w="6378" w:type="dxa"/>
            <w:tcBorders>
              <w:top w:val="single" w:sz="4" w:space="0" w:color="auto"/>
              <w:left w:val="single" w:sz="4" w:space="0" w:color="auto"/>
              <w:bottom w:val="single" w:sz="4" w:space="0" w:color="auto"/>
              <w:right w:val="single" w:sz="4" w:space="0" w:color="auto"/>
            </w:tcBorders>
          </w:tcPr>
          <w:p w14:paraId="15928CF8" w14:textId="77777777" w:rsidR="00EE3617" w:rsidRPr="00F831DE" w:rsidRDefault="00EE3617" w:rsidP="00B0711C">
            <w:pPr>
              <w:jc w:val="center"/>
              <w:rPr>
                <w:color w:val="000000"/>
                <w:lang w:eastAsia="lt-LT"/>
              </w:rPr>
            </w:pPr>
          </w:p>
        </w:tc>
      </w:tr>
      <w:tr w:rsidR="00EE3617" w:rsidRPr="00F831DE" w14:paraId="45601D12" w14:textId="77777777" w:rsidTr="005E23B7">
        <w:tc>
          <w:tcPr>
            <w:tcW w:w="698" w:type="dxa"/>
            <w:tcBorders>
              <w:top w:val="single" w:sz="4" w:space="0" w:color="auto"/>
              <w:left w:val="single" w:sz="4" w:space="0" w:color="auto"/>
              <w:bottom w:val="single" w:sz="4" w:space="0" w:color="auto"/>
              <w:right w:val="single" w:sz="4" w:space="0" w:color="auto"/>
            </w:tcBorders>
            <w:hideMark/>
          </w:tcPr>
          <w:p w14:paraId="7931DF6E" w14:textId="77777777" w:rsidR="00EE3617" w:rsidRPr="00F831DE" w:rsidRDefault="00A36466" w:rsidP="00B0711C">
            <w:pPr>
              <w:rPr>
                <w:lang w:eastAsia="lt-LT"/>
              </w:rPr>
            </w:pPr>
            <w:r>
              <w:rPr>
                <w:color w:val="000000"/>
                <w:lang w:eastAsia="lt-LT"/>
              </w:rPr>
              <w:t>1.5</w:t>
            </w:r>
            <w:r w:rsidR="00EE3617"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09558383" w14:textId="77777777" w:rsidR="00EE3617" w:rsidRPr="00F831DE" w:rsidRDefault="00EE3617" w:rsidP="00B0711C">
            <w:pPr>
              <w:rPr>
                <w:sz w:val="22"/>
                <w:szCs w:val="22"/>
                <w:lang w:eastAsia="lt-LT"/>
              </w:rPr>
            </w:pPr>
            <w:r w:rsidRPr="00F831DE">
              <w:t>Vaizdo posistemė</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30A2F881" w14:textId="2982E666" w:rsidR="00EE3617" w:rsidRPr="00A36466" w:rsidRDefault="00E51FAF" w:rsidP="00E51FAF">
            <w:pPr>
              <w:jc w:val="both"/>
              <w:rPr>
                <w:sz w:val="22"/>
                <w:szCs w:val="22"/>
                <w:highlight w:val="yellow"/>
                <w:lang w:eastAsia="lt-LT"/>
              </w:rPr>
            </w:pPr>
            <w:r>
              <w:t>Palaikomi ne mažiau kaip 2</w:t>
            </w:r>
            <w:r w:rsidR="00A70A46" w:rsidRPr="00D65414">
              <w:t xml:space="preserve"> </w:t>
            </w:r>
            <w:r>
              <w:t>ekranai</w:t>
            </w:r>
            <w:r w:rsidR="00A70A46" w:rsidRPr="00D65414">
              <w:t>. Vaizdo posistemės našumas pagal Passmark GPU Mark testą (</w:t>
            </w:r>
            <w:hyperlink r:id="rId7" w:history="1">
              <w:r w:rsidR="00A70A46" w:rsidRPr="00D65414">
                <w:rPr>
                  <w:rStyle w:val="Hipersaitas"/>
                </w:rPr>
                <w:t>https://www.videocardbenchmark.net/</w:t>
              </w:r>
            </w:hyperlink>
            <w:r w:rsidR="00D65414" w:rsidRPr="00D65414">
              <w:t>) turi būti ne mažesnis kaip 1</w:t>
            </w:r>
            <w:r w:rsidR="005E23B7">
              <w:t>50</w:t>
            </w:r>
            <w:r w:rsidR="00A70A46" w:rsidRPr="00D65414">
              <w:t>0 taškų. Neprasčiau nei DirectX 12 palaikymas</w:t>
            </w:r>
          </w:p>
        </w:tc>
        <w:tc>
          <w:tcPr>
            <w:tcW w:w="6378" w:type="dxa"/>
            <w:tcBorders>
              <w:top w:val="single" w:sz="4" w:space="0" w:color="auto"/>
              <w:left w:val="single" w:sz="4" w:space="0" w:color="auto"/>
              <w:bottom w:val="single" w:sz="4" w:space="0" w:color="auto"/>
              <w:right w:val="single" w:sz="4" w:space="0" w:color="auto"/>
            </w:tcBorders>
          </w:tcPr>
          <w:p w14:paraId="77244460" w14:textId="77777777" w:rsidR="00EE3617" w:rsidRPr="00F831DE" w:rsidRDefault="00EE3617" w:rsidP="00B0711C">
            <w:pPr>
              <w:rPr>
                <w:iCs/>
              </w:rPr>
            </w:pPr>
          </w:p>
        </w:tc>
      </w:tr>
      <w:tr w:rsidR="00EE3617" w:rsidRPr="00F831DE" w14:paraId="1271C268" w14:textId="77777777" w:rsidTr="005E23B7">
        <w:tc>
          <w:tcPr>
            <w:tcW w:w="698" w:type="dxa"/>
            <w:tcBorders>
              <w:top w:val="single" w:sz="4" w:space="0" w:color="auto"/>
              <w:left w:val="single" w:sz="4" w:space="0" w:color="auto"/>
              <w:bottom w:val="single" w:sz="4" w:space="0" w:color="auto"/>
              <w:right w:val="single" w:sz="4" w:space="0" w:color="auto"/>
            </w:tcBorders>
            <w:hideMark/>
          </w:tcPr>
          <w:p w14:paraId="134821AB" w14:textId="77777777" w:rsidR="00EE3617" w:rsidRPr="00F831DE" w:rsidRDefault="00D65414" w:rsidP="00B0711C">
            <w:pPr>
              <w:rPr>
                <w:lang w:eastAsia="lt-LT"/>
              </w:rPr>
            </w:pPr>
            <w:r>
              <w:rPr>
                <w:color w:val="000000"/>
                <w:lang w:eastAsia="lt-LT"/>
              </w:rPr>
              <w:t>1.6</w:t>
            </w:r>
            <w:r w:rsidR="00EE3617"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514066B3" w14:textId="77777777" w:rsidR="00EE3617" w:rsidRPr="00F831DE" w:rsidRDefault="00EE3617" w:rsidP="00B0711C">
            <w:pPr>
              <w:rPr>
                <w:sz w:val="22"/>
                <w:szCs w:val="22"/>
                <w:lang w:eastAsia="lt-LT"/>
              </w:rPr>
            </w:pPr>
            <w:r w:rsidRPr="00F831DE">
              <w:t>Bevielio ryšio įranga</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2EB0C91B" w14:textId="77777777" w:rsidR="00EE3617" w:rsidRPr="00A36466" w:rsidRDefault="00EE3617" w:rsidP="00915D46">
            <w:pPr>
              <w:jc w:val="both"/>
              <w:rPr>
                <w:sz w:val="22"/>
                <w:szCs w:val="22"/>
                <w:highlight w:val="yellow"/>
                <w:lang w:eastAsia="lt-LT"/>
              </w:rPr>
            </w:pPr>
            <w:r w:rsidRPr="00D65414">
              <w:t>Integruotas ne prast</w:t>
            </w:r>
            <w:r w:rsidR="00D8110A">
              <w:t>esnis nei IEEE 802.11a/b/g/n/ax</w:t>
            </w:r>
            <w:r w:rsidR="002707D4">
              <w:t xml:space="preserve"> (WiFi 6)</w:t>
            </w:r>
            <w:r w:rsidR="00915D46" w:rsidRPr="00D65414">
              <w:t xml:space="preserve"> </w:t>
            </w:r>
            <w:r w:rsidRPr="00D65414">
              <w:t>standarto bevielio tinklo modulis. Integruot</w:t>
            </w:r>
            <w:r w:rsidR="00D65414" w:rsidRPr="00D65414">
              <w:t>as Bluetooth ne žemesnės nei 5.2</w:t>
            </w:r>
            <w:r w:rsidRPr="00D65414">
              <w:t xml:space="preserve"> versijos modulis. </w:t>
            </w:r>
          </w:p>
        </w:tc>
        <w:tc>
          <w:tcPr>
            <w:tcW w:w="6378" w:type="dxa"/>
            <w:tcBorders>
              <w:top w:val="single" w:sz="4" w:space="0" w:color="auto"/>
              <w:left w:val="single" w:sz="4" w:space="0" w:color="auto"/>
              <w:bottom w:val="single" w:sz="4" w:space="0" w:color="auto"/>
              <w:right w:val="single" w:sz="4" w:space="0" w:color="auto"/>
            </w:tcBorders>
          </w:tcPr>
          <w:p w14:paraId="4F1FCFBF" w14:textId="77777777" w:rsidR="00EE3617" w:rsidRPr="00F831DE" w:rsidRDefault="00EE3617" w:rsidP="00B0711C">
            <w:pPr>
              <w:rPr>
                <w:color w:val="000000"/>
                <w:sz w:val="22"/>
                <w:szCs w:val="22"/>
                <w:lang w:eastAsia="lt-LT"/>
              </w:rPr>
            </w:pPr>
          </w:p>
        </w:tc>
      </w:tr>
      <w:tr w:rsidR="00EE3617" w:rsidRPr="00F831DE" w14:paraId="36862BCD" w14:textId="77777777" w:rsidTr="005E23B7">
        <w:tc>
          <w:tcPr>
            <w:tcW w:w="698" w:type="dxa"/>
            <w:tcBorders>
              <w:top w:val="single" w:sz="4" w:space="0" w:color="auto"/>
              <w:left w:val="single" w:sz="4" w:space="0" w:color="auto"/>
              <w:bottom w:val="single" w:sz="4" w:space="0" w:color="auto"/>
              <w:right w:val="single" w:sz="4" w:space="0" w:color="auto"/>
            </w:tcBorders>
            <w:hideMark/>
          </w:tcPr>
          <w:p w14:paraId="313BD877" w14:textId="77777777" w:rsidR="00EE3617" w:rsidRPr="00F831DE" w:rsidRDefault="00D65414" w:rsidP="00AB5C0E">
            <w:pPr>
              <w:rPr>
                <w:lang w:eastAsia="lt-LT"/>
              </w:rPr>
            </w:pPr>
            <w:r>
              <w:rPr>
                <w:color w:val="000000"/>
                <w:lang w:eastAsia="lt-LT"/>
              </w:rPr>
              <w:t>1.7</w:t>
            </w:r>
            <w:r w:rsidR="00EE3617" w:rsidRPr="00F831DE">
              <w:rPr>
                <w:color w:val="000000"/>
                <w:lang w:eastAsia="lt-LT"/>
              </w:rPr>
              <w:t xml:space="preserve">. </w:t>
            </w:r>
          </w:p>
        </w:tc>
        <w:tc>
          <w:tcPr>
            <w:tcW w:w="1707" w:type="dxa"/>
            <w:tcBorders>
              <w:top w:val="single" w:sz="4" w:space="0" w:color="auto"/>
              <w:left w:val="single" w:sz="4" w:space="0" w:color="auto"/>
              <w:bottom w:val="single" w:sz="4" w:space="0" w:color="auto"/>
              <w:right w:val="single" w:sz="4" w:space="0" w:color="auto"/>
            </w:tcBorders>
            <w:shd w:val="clear" w:color="auto" w:fill="auto"/>
            <w:hideMark/>
          </w:tcPr>
          <w:p w14:paraId="5FEC080C" w14:textId="77777777" w:rsidR="00EE3617" w:rsidRPr="00F831DE" w:rsidRDefault="00EE3617" w:rsidP="00B0711C">
            <w:pPr>
              <w:rPr>
                <w:sz w:val="22"/>
                <w:szCs w:val="22"/>
                <w:lang w:eastAsia="lt-LT"/>
              </w:rPr>
            </w:pPr>
            <w:r w:rsidRPr="00F831DE">
              <w:t>Integruoti prievadai</w:t>
            </w:r>
          </w:p>
        </w:tc>
        <w:tc>
          <w:tcPr>
            <w:tcW w:w="6521" w:type="dxa"/>
            <w:tcBorders>
              <w:top w:val="single" w:sz="4" w:space="0" w:color="auto"/>
              <w:left w:val="single" w:sz="4" w:space="0" w:color="auto"/>
              <w:bottom w:val="single" w:sz="4" w:space="0" w:color="auto"/>
              <w:right w:val="single" w:sz="4" w:space="0" w:color="auto"/>
            </w:tcBorders>
            <w:shd w:val="clear" w:color="auto" w:fill="auto"/>
            <w:hideMark/>
          </w:tcPr>
          <w:p w14:paraId="7CFDA4C0" w14:textId="77777777" w:rsidR="00EE3617" w:rsidRPr="006E11BC" w:rsidRDefault="00EE3617" w:rsidP="00B0711C">
            <w:pPr>
              <w:jc w:val="both"/>
            </w:pPr>
            <w:r w:rsidRPr="006E11BC">
              <w:t xml:space="preserve">Integruoti į kompiuterio korpusą ne mažiau kaip: </w:t>
            </w:r>
          </w:p>
          <w:p w14:paraId="29A64546" w14:textId="38725572" w:rsidR="002707D4" w:rsidRPr="006E11BC" w:rsidRDefault="005E23B7" w:rsidP="00B0711C">
            <w:pPr>
              <w:jc w:val="both"/>
            </w:pPr>
            <w:r>
              <w:t>7</w:t>
            </w:r>
            <w:r w:rsidR="002707D4">
              <w:t xml:space="preserve"> vnt. USB-A (iš kurių ne mažiau nei </w:t>
            </w:r>
            <w:r>
              <w:t>3</w:t>
            </w:r>
            <w:r w:rsidR="002707D4">
              <w:t xml:space="preserve"> vnt. USB-A 3.2 ir ne mažiau nei </w:t>
            </w:r>
            <w:r>
              <w:t>3</w:t>
            </w:r>
            <w:r w:rsidR="002707D4">
              <w:t xml:space="preserve"> vnt. integruoti korpuso priekinėje dalyje</w:t>
            </w:r>
            <w:r>
              <w:t xml:space="preserve"> ir ne mažiau nei 1vnt USB Type C</w:t>
            </w:r>
            <w:r w:rsidR="002707D4">
              <w:t>)</w:t>
            </w:r>
          </w:p>
          <w:p w14:paraId="6ABC5B14" w14:textId="77777777" w:rsidR="00EE3617" w:rsidRPr="006E11BC" w:rsidRDefault="00EE3617" w:rsidP="00B0711C">
            <w:pPr>
              <w:jc w:val="both"/>
            </w:pPr>
            <w:r w:rsidRPr="006E11BC">
              <w:t xml:space="preserve">1 </w:t>
            </w:r>
            <w:r w:rsidR="006E11BC" w:rsidRPr="006E11BC">
              <w:t>vnt. HDMI;</w:t>
            </w:r>
          </w:p>
          <w:p w14:paraId="56FF0780" w14:textId="39FD2588" w:rsidR="006E11BC" w:rsidRPr="006E11BC" w:rsidRDefault="006E11BC" w:rsidP="00B0711C">
            <w:pPr>
              <w:jc w:val="both"/>
            </w:pPr>
            <w:r w:rsidRPr="006E11BC">
              <w:t xml:space="preserve">1 vnt. </w:t>
            </w:r>
            <w:r w:rsidR="005E23B7">
              <w:t>Display Port</w:t>
            </w:r>
            <w:r w:rsidRPr="006E11BC">
              <w:t>;</w:t>
            </w:r>
          </w:p>
          <w:p w14:paraId="10CF8F4C" w14:textId="77777777" w:rsidR="00EE3617" w:rsidRPr="006E11BC" w:rsidRDefault="00EE3617" w:rsidP="00B0711C">
            <w:pPr>
              <w:jc w:val="both"/>
            </w:pPr>
            <w:r w:rsidRPr="006E11BC">
              <w:t>1 vnt. kombinuota ausinių ir mikrofono jungtis</w:t>
            </w:r>
            <w:r w:rsidR="002707D4">
              <w:t xml:space="preserve"> (integruota priekinėje korpuso dalyje)</w:t>
            </w:r>
            <w:r w:rsidRPr="006E11BC">
              <w:t>;</w:t>
            </w:r>
          </w:p>
          <w:p w14:paraId="05B90944" w14:textId="77777777" w:rsidR="00EE3617" w:rsidRPr="006E11BC" w:rsidRDefault="00EE3617" w:rsidP="00B0711C">
            <w:pPr>
              <w:jc w:val="both"/>
            </w:pPr>
            <w:r w:rsidRPr="006E11BC">
              <w:t>1 vnt. RJ-45;</w:t>
            </w:r>
          </w:p>
          <w:p w14:paraId="26A52117" w14:textId="77777777" w:rsidR="00EE3617" w:rsidRPr="00A36466" w:rsidRDefault="00EE3617" w:rsidP="00B0711C">
            <w:pPr>
              <w:jc w:val="both"/>
              <w:rPr>
                <w:sz w:val="22"/>
                <w:szCs w:val="22"/>
                <w:highlight w:val="yellow"/>
                <w:lang w:eastAsia="lt-LT"/>
              </w:rPr>
            </w:pPr>
            <w:r w:rsidRPr="006E11BC">
              <w:t>Šių punktų įgyvendinimui negali būti naudojami adapteriai.</w:t>
            </w:r>
          </w:p>
        </w:tc>
        <w:tc>
          <w:tcPr>
            <w:tcW w:w="6378" w:type="dxa"/>
            <w:tcBorders>
              <w:top w:val="single" w:sz="4" w:space="0" w:color="auto"/>
              <w:left w:val="single" w:sz="4" w:space="0" w:color="auto"/>
              <w:bottom w:val="single" w:sz="4" w:space="0" w:color="auto"/>
              <w:right w:val="single" w:sz="4" w:space="0" w:color="auto"/>
            </w:tcBorders>
          </w:tcPr>
          <w:p w14:paraId="27F3295A" w14:textId="77777777" w:rsidR="00EE3617" w:rsidRPr="00F831DE" w:rsidRDefault="00EE3617" w:rsidP="00B0711C">
            <w:pPr>
              <w:rPr>
                <w:color w:val="000000"/>
                <w:sz w:val="22"/>
                <w:szCs w:val="22"/>
                <w:lang w:eastAsia="lt-LT"/>
              </w:rPr>
            </w:pPr>
          </w:p>
        </w:tc>
      </w:tr>
      <w:tr w:rsidR="00EE3617" w:rsidRPr="00F831DE" w14:paraId="32758831" w14:textId="77777777" w:rsidTr="005E23B7">
        <w:tc>
          <w:tcPr>
            <w:tcW w:w="698" w:type="dxa"/>
            <w:tcBorders>
              <w:top w:val="single" w:sz="4" w:space="0" w:color="auto"/>
              <w:left w:val="single" w:sz="4" w:space="0" w:color="auto"/>
              <w:bottom w:val="single" w:sz="4" w:space="0" w:color="auto"/>
              <w:right w:val="single" w:sz="4" w:space="0" w:color="auto"/>
            </w:tcBorders>
          </w:tcPr>
          <w:p w14:paraId="544B2399" w14:textId="77777777" w:rsidR="00EE3617" w:rsidRPr="00F831DE" w:rsidRDefault="00D65414" w:rsidP="00B0711C">
            <w:pPr>
              <w:rPr>
                <w:color w:val="000000"/>
                <w:lang w:eastAsia="lt-LT"/>
              </w:rPr>
            </w:pPr>
            <w:r>
              <w:rPr>
                <w:color w:val="000000"/>
                <w:lang w:eastAsia="lt-LT"/>
              </w:rPr>
              <w:t>1.8</w:t>
            </w:r>
            <w:r w:rsidR="00EE3617"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1A19366" w14:textId="77777777" w:rsidR="00EE3617" w:rsidRPr="00F831DE" w:rsidRDefault="00EE3617" w:rsidP="00B0711C">
            <w:r w:rsidRPr="00F831DE">
              <w:t>Klaviatūra</w:t>
            </w:r>
            <w:r w:rsidR="00A36466">
              <w:t xml:space="preserve"> ir pelė</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EA0A2B3" w14:textId="1B8241F8" w:rsidR="00EE3617" w:rsidRPr="006E11BC" w:rsidRDefault="006E11BC" w:rsidP="006E11BC">
            <w:pPr>
              <w:jc w:val="both"/>
            </w:pPr>
            <w:r w:rsidRPr="006E11BC">
              <w:t xml:space="preserve">Klaviatūra – Lotyniška, pilno US išdėstymo, pajungiama </w:t>
            </w:r>
            <w:r w:rsidR="00DF12A3">
              <w:t>USB laidu</w:t>
            </w:r>
            <w:r w:rsidR="005E23B7">
              <w:t>, t</w:t>
            </w:r>
            <w:r w:rsidR="00DF12A3">
              <w:t>o paties gamintojo kaip ir kompiuteris.</w:t>
            </w:r>
          </w:p>
          <w:p w14:paraId="438E5D0E" w14:textId="2D9E9887" w:rsidR="006E11BC" w:rsidRPr="00A36466" w:rsidRDefault="006E11BC" w:rsidP="006E11BC">
            <w:pPr>
              <w:jc w:val="both"/>
              <w:rPr>
                <w:highlight w:val="yellow"/>
              </w:rPr>
            </w:pPr>
            <w:r w:rsidRPr="006E11BC">
              <w:t>Pelė - Trijų klavišų su ratuku, optinė. Jungiama USB laidu</w:t>
            </w:r>
            <w:r w:rsidR="00A7290A">
              <w:t>,</w:t>
            </w:r>
            <w:r w:rsidR="005E23B7">
              <w:t xml:space="preserve"> t</w:t>
            </w:r>
            <w:r w:rsidR="00DF12A3">
              <w:t>o paties gamintojo kaip ir kompiuteris.</w:t>
            </w:r>
          </w:p>
        </w:tc>
        <w:tc>
          <w:tcPr>
            <w:tcW w:w="6378" w:type="dxa"/>
            <w:tcBorders>
              <w:top w:val="single" w:sz="4" w:space="0" w:color="auto"/>
              <w:left w:val="single" w:sz="4" w:space="0" w:color="auto"/>
              <w:bottom w:val="single" w:sz="4" w:space="0" w:color="auto"/>
              <w:right w:val="single" w:sz="4" w:space="0" w:color="auto"/>
            </w:tcBorders>
          </w:tcPr>
          <w:p w14:paraId="4794CC7C" w14:textId="77777777" w:rsidR="00EE3617" w:rsidRPr="00F831DE" w:rsidRDefault="00EE3617" w:rsidP="00B0711C">
            <w:pPr>
              <w:jc w:val="center"/>
              <w:rPr>
                <w:iCs/>
                <w:sz w:val="22"/>
                <w:szCs w:val="22"/>
              </w:rPr>
            </w:pPr>
          </w:p>
        </w:tc>
      </w:tr>
      <w:tr w:rsidR="005E23B7" w:rsidRPr="00F831DE" w14:paraId="4114D486" w14:textId="77777777" w:rsidTr="005E23B7">
        <w:tc>
          <w:tcPr>
            <w:tcW w:w="698" w:type="dxa"/>
            <w:tcBorders>
              <w:top w:val="single" w:sz="4" w:space="0" w:color="auto"/>
              <w:left w:val="single" w:sz="4" w:space="0" w:color="auto"/>
              <w:bottom w:val="single" w:sz="4" w:space="0" w:color="auto"/>
              <w:right w:val="single" w:sz="4" w:space="0" w:color="auto"/>
            </w:tcBorders>
          </w:tcPr>
          <w:p w14:paraId="61F67CCA" w14:textId="71056460" w:rsidR="005E23B7" w:rsidRPr="00F831DE" w:rsidRDefault="005E23B7" w:rsidP="00B0711C">
            <w:pPr>
              <w:rPr>
                <w:color w:val="000000"/>
                <w:lang w:eastAsia="lt-LT"/>
              </w:rPr>
            </w:pPr>
            <w:r w:rsidRPr="00F831DE">
              <w:rPr>
                <w:color w:val="000000"/>
                <w:lang w:eastAsia="lt-LT"/>
              </w:rPr>
              <w:t>1.</w:t>
            </w:r>
            <w:r>
              <w:rPr>
                <w:color w:val="000000"/>
                <w:lang w:eastAsia="lt-LT"/>
              </w:rPr>
              <w:t>9</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81E4C0A" w14:textId="5F9E67D5" w:rsidR="005E23B7" w:rsidRPr="00F831DE" w:rsidRDefault="005E23B7" w:rsidP="00B0711C">
            <w:r w:rsidRPr="00F831DE">
              <w:t>Apsaugos galimybės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DC72899" w14:textId="77777777" w:rsidR="005E23B7" w:rsidRPr="006E11BC" w:rsidRDefault="005E23B7" w:rsidP="00B0711C">
            <w:pPr>
              <w:jc w:val="both"/>
            </w:pPr>
            <w:r w:rsidRPr="006E11BC">
              <w:t xml:space="preserve">Integruotas gamintojo sprendimas apsaugantis BIOS nuo išorinių atakų. </w:t>
            </w:r>
          </w:p>
          <w:p w14:paraId="4D5802BC" w14:textId="5C6D7B07" w:rsidR="005E23B7" w:rsidRPr="00A36466" w:rsidRDefault="005E23B7" w:rsidP="006E11BC">
            <w:pPr>
              <w:jc w:val="both"/>
              <w:rPr>
                <w:highlight w:val="yellow"/>
              </w:rPr>
            </w:pPr>
            <w:r w:rsidRPr="006E11BC">
              <w:lastRenderedPageBreak/>
              <w:t>Integruota TPM ne žemesnė nei 2.0 versija duomenų apsaugos mikroschema arba lygiavertė.</w:t>
            </w:r>
          </w:p>
        </w:tc>
        <w:tc>
          <w:tcPr>
            <w:tcW w:w="6378" w:type="dxa"/>
            <w:tcBorders>
              <w:top w:val="single" w:sz="4" w:space="0" w:color="auto"/>
              <w:left w:val="single" w:sz="4" w:space="0" w:color="auto"/>
              <w:bottom w:val="single" w:sz="4" w:space="0" w:color="auto"/>
              <w:right w:val="single" w:sz="4" w:space="0" w:color="auto"/>
            </w:tcBorders>
          </w:tcPr>
          <w:p w14:paraId="446DBDBD" w14:textId="77777777" w:rsidR="005E23B7" w:rsidRPr="00F831DE" w:rsidRDefault="005E23B7" w:rsidP="00B0711C">
            <w:pPr>
              <w:jc w:val="center"/>
              <w:rPr>
                <w:iCs/>
                <w:sz w:val="22"/>
                <w:szCs w:val="22"/>
              </w:rPr>
            </w:pPr>
          </w:p>
        </w:tc>
      </w:tr>
      <w:tr w:rsidR="005E23B7" w:rsidRPr="00F831DE" w14:paraId="23389809" w14:textId="77777777" w:rsidTr="005E23B7">
        <w:tc>
          <w:tcPr>
            <w:tcW w:w="698" w:type="dxa"/>
            <w:tcBorders>
              <w:top w:val="single" w:sz="4" w:space="0" w:color="auto"/>
              <w:left w:val="single" w:sz="4" w:space="0" w:color="auto"/>
              <w:bottom w:val="single" w:sz="4" w:space="0" w:color="auto"/>
              <w:right w:val="single" w:sz="4" w:space="0" w:color="auto"/>
            </w:tcBorders>
          </w:tcPr>
          <w:p w14:paraId="572A02DA" w14:textId="55603311" w:rsidR="005E23B7" w:rsidRPr="00F831DE" w:rsidRDefault="005E23B7" w:rsidP="00B0711C">
            <w:pPr>
              <w:rPr>
                <w:color w:val="000000"/>
                <w:lang w:eastAsia="lt-LT"/>
              </w:rPr>
            </w:pPr>
            <w:r>
              <w:rPr>
                <w:color w:val="000000"/>
                <w:lang w:eastAsia="lt-LT"/>
              </w:rPr>
              <w:t>1.10</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1BC4DCD" w14:textId="68FC8AD3" w:rsidR="005E23B7" w:rsidRPr="00F831DE" w:rsidRDefault="005E23B7" w:rsidP="00B0711C">
            <w:r w:rsidRPr="00F831DE">
              <w:t>Apsaugos ypatybės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E122C67" w14:textId="6FBC6655" w:rsidR="005E23B7" w:rsidRPr="00A36466" w:rsidRDefault="005E23B7" w:rsidP="00B0711C">
            <w:pPr>
              <w:jc w:val="both"/>
              <w:rPr>
                <w:highlight w:val="yellow"/>
              </w:rPr>
            </w:pPr>
            <w:r w:rsidRPr="006E11BC">
              <w:rPr>
                <w:spacing w:val="-1"/>
              </w:rPr>
              <w:t xml:space="preserve">Gamintojo numatyta galimybė užrakinti ir </w:t>
            </w:r>
            <w:r w:rsidRPr="006E11BC">
              <w:t xml:space="preserve">prirakinti korpusą </w:t>
            </w:r>
            <w:r w:rsidRPr="006E11BC">
              <w:rPr>
                <w:i/>
                <w:iCs/>
              </w:rPr>
              <w:t xml:space="preserve">Kesington Lock </w:t>
            </w:r>
            <w:r w:rsidRPr="006E11BC">
              <w:t>arba lygiaverčio</w:t>
            </w:r>
            <w:r w:rsidRPr="006E11BC">
              <w:rPr>
                <w:i/>
                <w:iCs/>
              </w:rPr>
              <w:t xml:space="preserve"> </w:t>
            </w:r>
            <w:r w:rsidRPr="006E11BC">
              <w:t>tipo užraktu.</w:t>
            </w:r>
          </w:p>
        </w:tc>
        <w:tc>
          <w:tcPr>
            <w:tcW w:w="6378" w:type="dxa"/>
            <w:tcBorders>
              <w:top w:val="single" w:sz="4" w:space="0" w:color="auto"/>
              <w:left w:val="single" w:sz="4" w:space="0" w:color="auto"/>
              <w:bottom w:val="single" w:sz="4" w:space="0" w:color="auto"/>
              <w:right w:val="single" w:sz="4" w:space="0" w:color="auto"/>
            </w:tcBorders>
          </w:tcPr>
          <w:p w14:paraId="5A3E4DB9" w14:textId="77777777" w:rsidR="005E23B7" w:rsidRPr="00F831DE" w:rsidRDefault="005E23B7" w:rsidP="00B0711C">
            <w:pPr>
              <w:rPr>
                <w:iCs/>
              </w:rPr>
            </w:pPr>
          </w:p>
        </w:tc>
      </w:tr>
      <w:tr w:rsidR="005E23B7" w:rsidRPr="00F831DE" w14:paraId="7BA03D24" w14:textId="77777777" w:rsidTr="005E23B7">
        <w:tc>
          <w:tcPr>
            <w:tcW w:w="698" w:type="dxa"/>
            <w:tcBorders>
              <w:top w:val="single" w:sz="4" w:space="0" w:color="auto"/>
              <w:left w:val="single" w:sz="4" w:space="0" w:color="auto"/>
              <w:bottom w:val="single" w:sz="4" w:space="0" w:color="auto"/>
              <w:right w:val="single" w:sz="4" w:space="0" w:color="auto"/>
            </w:tcBorders>
          </w:tcPr>
          <w:p w14:paraId="4D2D6557" w14:textId="577F1B84" w:rsidR="005E23B7" w:rsidRPr="00F831DE" w:rsidRDefault="005E23B7" w:rsidP="00B0711C">
            <w:pPr>
              <w:rPr>
                <w:color w:val="000000"/>
                <w:lang w:eastAsia="lt-LT"/>
              </w:rPr>
            </w:pPr>
            <w:r w:rsidRPr="00F831DE">
              <w:rPr>
                <w:color w:val="000000"/>
                <w:lang w:eastAsia="lt-LT"/>
              </w:rPr>
              <w:t>1.1</w:t>
            </w:r>
            <w:r>
              <w:rPr>
                <w:color w:val="000000"/>
                <w:lang w:eastAsia="lt-LT"/>
              </w:rPr>
              <w:t>1</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1958CCD" w14:textId="25A777E4" w:rsidR="005E23B7" w:rsidRPr="00F831DE" w:rsidRDefault="005E23B7" w:rsidP="00B0711C">
            <w:r w:rsidRPr="00F831DE">
              <w:t>Operacinė sistema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1477847" w14:textId="6C8A3595" w:rsidR="005E23B7" w:rsidRPr="00A36466" w:rsidRDefault="005E23B7" w:rsidP="00B0711C">
            <w:pPr>
              <w:jc w:val="both"/>
              <w:rPr>
                <w:highlight w:val="yellow"/>
              </w:rPr>
            </w:pPr>
            <w:r w:rsidRPr="006E11BC">
              <w:t>Microsoft Windows 11 Pro arba lygiavertė</w:t>
            </w:r>
          </w:p>
        </w:tc>
        <w:tc>
          <w:tcPr>
            <w:tcW w:w="6378" w:type="dxa"/>
            <w:tcBorders>
              <w:top w:val="single" w:sz="4" w:space="0" w:color="auto"/>
              <w:left w:val="single" w:sz="4" w:space="0" w:color="auto"/>
              <w:bottom w:val="single" w:sz="4" w:space="0" w:color="auto"/>
              <w:right w:val="single" w:sz="4" w:space="0" w:color="auto"/>
            </w:tcBorders>
          </w:tcPr>
          <w:p w14:paraId="6DDE1388" w14:textId="77777777" w:rsidR="005E23B7" w:rsidRPr="00F831DE" w:rsidRDefault="005E23B7" w:rsidP="00B0711C">
            <w:pPr>
              <w:rPr>
                <w:iCs/>
              </w:rPr>
            </w:pPr>
          </w:p>
        </w:tc>
      </w:tr>
      <w:tr w:rsidR="005E23B7" w:rsidRPr="00F831DE" w14:paraId="4789BFAF" w14:textId="77777777" w:rsidTr="005E23B7">
        <w:tc>
          <w:tcPr>
            <w:tcW w:w="698" w:type="dxa"/>
            <w:tcBorders>
              <w:top w:val="single" w:sz="4" w:space="0" w:color="auto"/>
              <w:left w:val="single" w:sz="4" w:space="0" w:color="auto"/>
              <w:bottom w:val="single" w:sz="4" w:space="0" w:color="auto"/>
              <w:right w:val="single" w:sz="4" w:space="0" w:color="auto"/>
            </w:tcBorders>
          </w:tcPr>
          <w:p w14:paraId="4D568E48" w14:textId="7E225C58" w:rsidR="005E23B7" w:rsidRPr="00F831DE" w:rsidRDefault="005E23B7" w:rsidP="00B0711C">
            <w:pPr>
              <w:rPr>
                <w:color w:val="000000"/>
                <w:lang w:eastAsia="lt-LT"/>
              </w:rPr>
            </w:pPr>
            <w:r>
              <w:rPr>
                <w:color w:val="000000"/>
                <w:lang w:eastAsia="lt-LT"/>
              </w:rPr>
              <w:t>1.12</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0C9D31E8" w14:textId="07748A31" w:rsidR="005E23B7" w:rsidRPr="00F831DE" w:rsidRDefault="005E23B7" w:rsidP="00B0711C">
            <w:r w:rsidRPr="00F831DE">
              <w:t>Reikalavimai tvarkyklėms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5904B48" w14:textId="45864CEA" w:rsidR="005E23B7" w:rsidRPr="00A36466" w:rsidRDefault="005E23B7" w:rsidP="00B0711C">
            <w:pPr>
              <w:jc w:val="both"/>
              <w:rPr>
                <w:highlight w:val="yellow"/>
              </w:rPr>
            </w:pPr>
            <w:r w:rsidRPr="006E11BC">
              <w:rPr>
                <w:bCs/>
                <w:spacing w:val="2"/>
                <w:shd w:val="clear" w:color="auto" w:fill="FFFFFF"/>
              </w:rPr>
              <w:t>Visos tvarkyklės turi būti tiesiogiai prieinamos kompiuterio gamintojo tinklapyje, paieška turi būti vykdoma pagal produkto kodą. Tvarkyklės turi būti pilnai suderintos su Microsoft Windows 11 Pro arba lygiaverte operacine sistema.</w:t>
            </w:r>
          </w:p>
        </w:tc>
        <w:tc>
          <w:tcPr>
            <w:tcW w:w="6378" w:type="dxa"/>
            <w:tcBorders>
              <w:top w:val="single" w:sz="4" w:space="0" w:color="auto"/>
              <w:left w:val="single" w:sz="4" w:space="0" w:color="auto"/>
              <w:bottom w:val="single" w:sz="4" w:space="0" w:color="auto"/>
              <w:right w:val="single" w:sz="4" w:space="0" w:color="auto"/>
            </w:tcBorders>
          </w:tcPr>
          <w:p w14:paraId="0BA4ACE7" w14:textId="77777777" w:rsidR="005E23B7" w:rsidRPr="00F831DE" w:rsidRDefault="005E23B7" w:rsidP="00B0711C">
            <w:pPr>
              <w:rPr>
                <w:iCs/>
              </w:rPr>
            </w:pPr>
          </w:p>
        </w:tc>
      </w:tr>
      <w:tr w:rsidR="005E23B7" w:rsidRPr="00F831DE" w14:paraId="495173A1" w14:textId="77777777" w:rsidTr="005E23B7">
        <w:tc>
          <w:tcPr>
            <w:tcW w:w="698" w:type="dxa"/>
            <w:tcBorders>
              <w:top w:val="single" w:sz="4" w:space="0" w:color="auto"/>
              <w:left w:val="single" w:sz="4" w:space="0" w:color="auto"/>
              <w:bottom w:val="single" w:sz="4" w:space="0" w:color="auto"/>
              <w:right w:val="single" w:sz="4" w:space="0" w:color="auto"/>
            </w:tcBorders>
          </w:tcPr>
          <w:p w14:paraId="0A8B6509" w14:textId="60836267" w:rsidR="005E23B7" w:rsidRPr="00F831DE" w:rsidRDefault="005E23B7" w:rsidP="00B0711C">
            <w:pPr>
              <w:rPr>
                <w:color w:val="000000"/>
                <w:lang w:eastAsia="lt-LT"/>
              </w:rPr>
            </w:pPr>
            <w:r>
              <w:rPr>
                <w:color w:val="000000"/>
                <w:lang w:eastAsia="lt-LT"/>
              </w:rPr>
              <w:t>1.13</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0AFB02F" w14:textId="59C1269C" w:rsidR="005E23B7" w:rsidRPr="00F831DE" w:rsidRDefault="005E23B7" w:rsidP="00B0711C">
            <w:r w:rsidRPr="00F831DE">
              <w:t>Aplinkosauginiai reikalavimai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806E84F" w14:textId="77777777" w:rsidR="005E23B7" w:rsidRPr="006E11BC" w:rsidRDefault="005E23B7" w:rsidP="00023E6E">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6E11BC">
              <w:rPr>
                <w:bCs/>
                <w:spacing w:val="2"/>
                <w:shd w:val="clear" w:color="auto" w:fill="FFFFFF"/>
              </w:rPr>
              <w:t>Kompiuteris turi atitikti</w:t>
            </w:r>
            <w:r w:rsidRPr="006E11BC">
              <w:rPr>
                <w:b/>
                <w:spacing w:val="2"/>
                <w:shd w:val="clear" w:color="auto" w:fill="FFFFFF"/>
              </w:rPr>
              <w:t xml:space="preserve"> minimalius aplinkos apsaugos kriterijus</w:t>
            </w:r>
            <w:r w:rsidRPr="006E11BC">
              <w:rPr>
                <w:bCs/>
                <w:spacing w:val="2"/>
                <w:shd w:val="clear" w:color="auto" w:fill="FFFFFF"/>
              </w:rPr>
              <w:t xml:space="preserve"> (pagal </w:t>
            </w:r>
            <w:r w:rsidRPr="006E11BC">
              <w:t>Lietuvos Respublikos aplinkos ministro 2011 m. birželio 28 d. įsakymu Nr. D1-508 patvirtinto Aplinkos apsaugos kriterijų taikymo, vykdant žaliuosius pirkimus, tvarkos aprašo (aktuali redakcija</w:t>
            </w:r>
            <w:r w:rsidRPr="006E11BC">
              <w:rPr>
                <w:color w:val="000000" w:themeColor="text1"/>
                <w:lang w:eastAsia="lt-LT"/>
              </w:rPr>
              <w:t xml:space="preserve">) </w:t>
            </w:r>
            <w:r w:rsidRPr="006E11BC">
              <w:t>(toliau – Aprašas)</w:t>
            </w:r>
            <w:r w:rsidRPr="006E11BC">
              <w:rPr>
                <w:color w:val="000000" w:themeColor="text1"/>
                <w:lang w:eastAsia="lt-LT"/>
              </w:rPr>
              <w:t xml:space="preserve"> 2 priedo 4 skyriaus „Kompiuteriai ir planšetės“ reikalavimus:</w:t>
            </w:r>
          </w:p>
          <w:p w14:paraId="4C0AEBA6" w14:textId="77777777" w:rsidR="005E23B7" w:rsidRPr="006E11BC" w:rsidRDefault="005E23B7" w:rsidP="00023E6E">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9FF2E0C" w14:textId="77777777" w:rsidR="005E23B7" w:rsidRPr="006E11BC" w:rsidRDefault="005E23B7" w:rsidP="00023E6E">
            <w:pPr>
              <w:widowControl w:val="0"/>
              <w:shd w:val="clear" w:color="auto" w:fill="FFFFFF" w:themeFill="background1"/>
              <w:tabs>
                <w:tab w:val="left" w:pos="851"/>
              </w:tabs>
              <w:autoSpaceDE w:val="0"/>
              <w:autoSpaceDN/>
              <w:adjustRightInd w:val="0"/>
              <w:jc w:val="both"/>
              <w:textAlignment w:val="auto"/>
              <w:rPr>
                <w:b/>
                <w:bCs/>
              </w:rPr>
            </w:pPr>
            <w:r w:rsidRPr="006E11BC">
              <w:rPr>
                <w:b/>
                <w:bCs/>
                <w:color w:val="000000" w:themeColor="text1"/>
                <w:lang w:eastAsia="lt-LT"/>
              </w:rPr>
              <w:t>1)</w:t>
            </w:r>
            <w:r w:rsidRPr="006E11BC">
              <w:rPr>
                <w:color w:val="000000" w:themeColor="text1"/>
                <w:lang w:eastAsia="lt-LT"/>
              </w:rPr>
              <w:t xml:space="preserve"> </w:t>
            </w:r>
            <w:r w:rsidRPr="006E11BC">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w:t>
            </w:r>
            <w:r w:rsidRPr="006E11BC">
              <w:rPr>
                <w:b/>
                <w:bCs/>
              </w:rPr>
              <w:t>Jeigu minėti reikalavimai prekėms netaikomi, prekės turi atitikti Europos Komisijos reglamentuose dėl gaminių ekologinio projektavimo nustatytus efektyvaus energijos vartojimo kriterijus;</w:t>
            </w:r>
          </w:p>
          <w:p w14:paraId="0F06D178" w14:textId="61F32608" w:rsidR="005E23B7" w:rsidRPr="00A36466" w:rsidRDefault="005E23B7" w:rsidP="00023E6E">
            <w:pPr>
              <w:widowControl w:val="0"/>
              <w:shd w:val="clear" w:color="auto" w:fill="FFFFFF" w:themeFill="background1"/>
              <w:tabs>
                <w:tab w:val="left" w:pos="851"/>
              </w:tabs>
              <w:autoSpaceDE w:val="0"/>
              <w:autoSpaceDN/>
              <w:adjustRightInd w:val="0"/>
              <w:jc w:val="both"/>
              <w:textAlignment w:val="auto"/>
              <w:rPr>
                <w:bCs/>
                <w:spacing w:val="2"/>
                <w:highlight w:val="yellow"/>
                <w:shd w:val="clear" w:color="auto" w:fill="FFFFFF"/>
              </w:rPr>
            </w:pPr>
          </w:p>
        </w:tc>
        <w:tc>
          <w:tcPr>
            <w:tcW w:w="6378" w:type="dxa"/>
            <w:tcBorders>
              <w:top w:val="single" w:sz="4" w:space="0" w:color="auto"/>
              <w:left w:val="single" w:sz="4" w:space="0" w:color="auto"/>
              <w:bottom w:val="single" w:sz="4" w:space="0" w:color="auto"/>
              <w:right w:val="single" w:sz="4" w:space="0" w:color="auto"/>
            </w:tcBorders>
          </w:tcPr>
          <w:p w14:paraId="2D966E08" w14:textId="77777777" w:rsidR="005E23B7" w:rsidRPr="00F831DE" w:rsidRDefault="005E23B7" w:rsidP="00023E6E">
            <w:pPr>
              <w:jc w:val="both"/>
              <w:rPr>
                <w:b/>
                <w:bCs/>
              </w:rPr>
            </w:pPr>
            <w:r w:rsidRPr="00F831DE">
              <w:rPr>
                <w:b/>
                <w:bCs/>
              </w:rPr>
              <w:t>1)</w:t>
            </w:r>
            <w:r w:rsidRPr="00F831DE">
              <w:t xml:space="preserve"> Prekė atitinka </w:t>
            </w:r>
            <w:hyperlink r:id="rId8" w:history="1">
              <w:r w:rsidRPr="00F831DE">
                <w:rPr>
                  <w:rStyle w:val="Hipersaitas"/>
                </w:rPr>
                <w:t>2013 m. birželio 26 d. Europos Komisijos reglamente (ES) Nr. 617/2013</w:t>
              </w:r>
            </w:hyperlink>
            <w:r w:rsidRPr="00F831DE">
              <w:rPr>
                <w:color w:val="0462C1"/>
              </w:rPr>
              <w:t xml:space="preserve"> </w:t>
            </w:r>
            <w:r w:rsidRPr="00F831DE">
              <w:t>dėl gaminių ekologinio projektavimo nustatytus efektyvaus energijos vartojimo kriterijus:</w:t>
            </w:r>
            <w:r w:rsidRPr="00F831DE">
              <w:rPr>
                <w:b/>
                <w:bCs/>
              </w:rPr>
              <w:t xml:space="preserve"> </w:t>
            </w:r>
            <w:r w:rsidRPr="00F831DE">
              <w:rPr>
                <w:bCs/>
                <w:i/>
                <w:color w:val="FF0000"/>
              </w:rPr>
              <w:t>(įrašyti Taip/Ne)</w:t>
            </w:r>
          </w:p>
          <w:p w14:paraId="7F08036B" w14:textId="77777777" w:rsidR="005E23B7" w:rsidRPr="00F831DE" w:rsidRDefault="005E23B7" w:rsidP="00023E6E">
            <w:pPr>
              <w:jc w:val="both"/>
              <w:rPr>
                <w:b/>
                <w:bCs/>
              </w:rPr>
            </w:pPr>
            <w:r w:rsidRPr="00F831DE">
              <w:rPr>
                <w:b/>
                <w:bCs/>
              </w:rPr>
              <w:t>pateikiami tai pagrindžiantys dokumentai:</w:t>
            </w:r>
          </w:p>
          <w:p w14:paraId="717809E4" w14:textId="77777777" w:rsidR="005E23B7" w:rsidRPr="00F831DE" w:rsidRDefault="005E23B7" w:rsidP="00023E6E">
            <w:pPr>
              <w:jc w:val="both"/>
              <w:rPr>
                <w:b/>
                <w:bCs/>
              </w:rPr>
            </w:pPr>
            <w:r w:rsidRPr="00F831DE">
              <w:rPr>
                <w:b/>
                <w:bCs/>
              </w:rPr>
              <w:t xml:space="preserve">a) </w:t>
            </w:r>
            <w:r w:rsidRPr="00F831DE">
              <w:t xml:space="preserve">gamintojo atitikties deklaracija, patvirtinanti, kad prekės atitinka Europos Komisijos reglamentuose dėl gaminių ekologinio projektavimo nurodytus reikalavimus, arba </w:t>
            </w:r>
          </w:p>
          <w:p w14:paraId="252070EE" w14:textId="77777777" w:rsidR="005E23B7" w:rsidRPr="00F831DE" w:rsidRDefault="005E23B7" w:rsidP="00023E6E">
            <w:pPr>
              <w:pStyle w:val="Default"/>
              <w:numPr>
                <w:ilvl w:val="0"/>
                <w:numId w:val="2"/>
              </w:numPr>
              <w:suppressAutoHyphens w:val="0"/>
              <w:adjustRightInd w:val="0"/>
              <w:textAlignment w:val="auto"/>
              <w:rPr>
                <w:lang w:val="lt-LT"/>
              </w:rPr>
            </w:pPr>
            <w:r w:rsidRPr="00F831DE">
              <w:rPr>
                <w:b/>
                <w:bCs/>
                <w:lang w:val="lt-LT"/>
              </w:rPr>
              <w:t>b)</w:t>
            </w:r>
            <w:r w:rsidRPr="00F831DE">
              <w:rPr>
                <w:lang w:val="lt-LT"/>
              </w:rPr>
              <w:t xml:space="preserve"> gamintojo techniniai dokumentai, arba </w:t>
            </w:r>
          </w:p>
          <w:p w14:paraId="68993319" w14:textId="77777777" w:rsidR="005E23B7" w:rsidRPr="00F831DE" w:rsidRDefault="005E23B7" w:rsidP="00023E6E">
            <w:pPr>
              <w:pStyle w:val="Default"/>
              <w:numPr>
                <w:ilvl w:val="0"/>
                <w:numId w:val="2"/>
              </w:numPr>
              <w:suppressAutoHyphens w:val="0"/>
              <w:adjustRightInd w:val="0"/>
              <w:textAlignment w:val="auto"/>
              <w:rPr>
                <w:lang w:val="lt-LT"/>
              </w:rPr>
            </w:pPr>
            <w:r w:rsidRPr="00F831DE">
              <w:rPr>
                <w:b/>
                <w:bCs/>
                <w:lang w:val="lt-LT"/>
              </w:rPr>
              <w:t>c)</w:t>
            </w:r>
            <w:r w:rsidRPr="00F831DE">
              <w:rPr>
                <w:lang w:val="lt-LT"/>
              </w:rPr>
              <w:t xml:space="preserve"> kiti lygiaverčiai įrodymai. </w:t>
            </w:r>
          </w:p>
          <w:p w14:paraId="584A41B6" w14:textId="77777777" w:rsidR="005E23B7" w:rsidRPr="00F831DE" w:rsidRDefault="005E23B7" w:rsidP="00023E6E">
            <w:pPr>
              <w:jc w:val="both"/>
              <w:rPr>
                <w:iCs/>
              </w:rPr>
            </w:pPr>
          </w:p>
          <w:p w14:paraId="33C7D815" w14:textId="77777777" w:rsidR="005E23B7" w:rsidRPr="00F831DE" w:rsidRDefault="005E23B7" w:rsidP="00023E6E">
            <w:pPr>
              <w:jc w:val="both"/>
              <w:rPr>
                <w:i/>
                <w:iCs/>
                <w:color w:val="FF0000"/>
              </w:rPr>
            </w:pPr>
            <w:r w:rsidRPr="00F831DE">
              <w:rPr>
                <w:i/>
                <w:iCs/>
                <w:color w:val="FF0000"/>
              </w:rPr>
              <w:t>(pateikti atitiktį įrodančius dokumentus ir nurodyti, kurį punktą jie atitinka)</w:t>
            </w:r>
          </w:p>
          <w:p w14:paraId="14B965DD" w14:textId="77777777" w:rsidR="005E23B7" w:rsidRPr="00F831DE" w:rsidRDefault="005E23B7" w:rsidP="00023E6E">
            <w:pPr>
              <w:jc w:val="both"/>
              <w:rPr>
                <w:iCs/>
              </w:rPr>
            </w:pPr>
          </w:p>
          <w:p w14:paraId="278586A9" w14:textId="77777777" w:rsidR="005E23B7" w:rsidRPr="00F831DE" w:rsidRDefault="005E23B7" w:rsidP="00023E6E">
            <w:pPr>
              <w:rPr>
                <w:b/>
                <w:bCs/>
                <w:iCs/>
              </w:rPr>
            </w:pPr>
          </w:p>
          <w:p w14:paraId="139EACA2" w14:textId="77777777" w:rsidR="005E23B7" w:rsidRPr="00F831DE" w:rsidRDefault="005E23B7" w:rsidP="00B0711C">
            <w:pPr>
              <w:jc w:val="both"/>
            </w:pPr>
          </w:p>
        </w:tc>
      </w:tr>
      <w:tr w:rsidR="005E23B7" w:rsidRPr="00F831DE" w14:paraId="0BF6110B" w14:textId="77777777" w:rsidTr="005E23B7">
        <w:tc>
          <w:tcPr>
            <w:tcW w:w="698" w:type="dxa"/>
            <w:tcBorders>
              <w:top w:val="single" w:sz="4" w:space="0" w:color="auto"/>
              <w:left w:val="single" w:sz="4" w:space="0" w:color="auto"/>
              <w:bottom w:val="single" w:sz="4" w:space="0" w:color="auto"/>
              <w:right w:val="single" w:sz="4" w:space="0" w:color="auto"/>
            </w:tcBorders>
            <w:vAlign w:val="center"/>
          </w:tcPr>
          <w:p w14:paraId="54CDCAD8" w14:textId="33FCB14B" w:rsidR="005E23B7" w:rsidRPr="00F831DE" w:rsidRDefault="005E23B7" w:rsidP="00B0711C">
            <w:pPr>
              <w:rPr>
                <w:color w:val="000000"/>
                <w:lang w:eastAsia="lt-LT"/>
              </w:rPr>
            </w:pPr>
            <w:r>
              <w:rPr>
                <w:bCs/>
              </w:rPr>
              <w:t>1.14.</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5EB94C3" w14:textId="767C4415" w:rsidR="005E23B7" w:rsidRPr="00F831DE" w:rsidRDefault="005E23B7" w:rsidP="00B0711C">
            <w:r>
              <w:t>Kokybės standartai</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FA4D0E4" w14:textId="184CCEAC" w:rsidR="005E23B7" w:rsidRPr="00A36466" w:rsidRDefault="005E23B7" w:rsidP="00867E8B">
            <w:pPr>
              <w:widowControl w:val="0"/>
              <w:shd w:val="clear" w:color="auto" w:fill="FFFFFF" w:themeFill="background1"/>
              <w:tabs>
                <w:tab w:val="left" w:pos="851"/>
              </w:tabs>
              <w:autoSpaceDE w:val="0"/>
              <w:autoSpaceDN/>
              <w:adjustRightInd w:val="0"/>
              <w:jc w:val="both"/>
              <w:textAlignment w:val="auto"/>
              <w:rPr>
                <w:b/>
                <w:highlight w:val="yellow"/>
              </w:rPr>
            </w:pPr>
            <w:r>
              <w:t>Siūlomos prekės gamintojas</w:t>
            </w:r>
            <w:r w:rsidRPr="00A7290A">
              <w:t xml:space="preserve"> turi būti įsidiegęs informacijos saugumo valdymo sistemą, atitinkančią ISO 27001 arba lygiaverčio standarto reikalavimus</w:t>
            </w:r>
          </w:p>
        </w:tc>
        <w:tc>
          <w:tcPr>
            <w:tcW w:w="6378" w:type="dxa"/>
            <w:tcBorders>
              <w:top w:val="single" w:sz="4" w:space="0" w:color="auto"/>
              <w:left w:val="single" w:sz="4" w:space="0" w:color="auto"/>
              <w:bottom w:val="single" w:sz="4" w:space="0" w:color="auto"/>
              <w:right w:val="single" w:sz="4" w:space="0" w:color="auto"/>
            </w:tcBorders>
          </w:tcPr>
          <w:p w14:paraId="7206DA6A" w14:textId="77777777" w:rsidR="005E23B7" w:rsidRPr="00F831DE" w:rsidRDefault="005E23B7" w:rsidP="00D65414">
            <w:pPr>
              <w:jc w:val="both"/>
            </w:pPr>
          </w:p>
        </w:tc>
      </w:tr>
      <w:tr w:rsidR="005E23B7" w:rsidRPr="00F831DE" w14:paraId="7F527D99" w14:textId="77777777" w:rsidTr="005E23B7">
        <w:tc>
          <w:tcPr>
            <w:tcW w:w="698" w:type="dxa"/>
            <w:tcBorders>
              <w:top w:val="single" w:sz="4" w:space="0" w:color="auto"/>
              <w:left w:val="single" w:sz="4" w:space="0" w:color="auto"/>
              <w:bottom w:val="single" w:sz="4" w:space="0" w:color="auto"/>
              <w:right w:val="single" w:sz="4" w:space="0" w:color="auto"/>
            </w:tcBorders>
          </w:tcPr>
          <w:p w14:paraId="79F88246" w14:textId="29151B93" w:rsidR="005E23B7" w:rsidRDefault="005E23B7" w:rsidP="00A7290A">
            <w:pPr>
              <w:jc w:val="center"/>
              <w:rPr>
                <w:bCs/>
              </w:rPr>
            </w:pPr>
            <w:r>
              <w:rPr>
                <w:color w:val="000000"/>
                <w:lang w:eastAsia="lt-LT"/>
              </w:rPr>
              <w:lastRenderedPageBreak/>
              <w:t>1.15</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4DAAA8DF" w14:textId="1D75A58C" w:rsidR="005E23B7" w:rsidRDefault="005E23B7" w:rsidP="00A7290A">
            <w:r w:rsidRPr="00F831DE">
              <w:t>Garantija</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71D4D27" w14:textId="0D98B512" w:rsidR="005E23B7" w:rsidRDefault="005E23B7" w:rsidP="00A7290A">
            <w:r w:rsidRPr="00F831DE">
              <w:t>Turi būti ne trumpesnė kaip 3 metų gamintojo suteikiama garantija visoms ko</w:t>
            </w:r>
            <w:r>
              <w:t xml:space="preserve">mpiuterio sudedamosioms dalims. </w:t>
            </w:r>
            <w:r w:rsidRPr="00F831DE">
              <w:t>Sugedus SSD diskui, pirkėjas pasilieka sau teisę negrąžinti SSD disko. Garantinės priežiūros laikotarpiu gamintojas turi užtikrinti nemokamą dalių tiekimą ir nemokamus remonto darbus.</w:t>
            </w:r>
          </w:p>
        </w:tc>
        <w:tc>
          <w:tcPr>
            <w:tcW w:w="6378" w:type="dxa"/>
            <w:tcBorders>
              <w:top w:val="single" w:sz="4" w:space="0" w:color="auto"/>
              <w:left w:val="single" w:sz="4" w:space="0" w:color="auto"/>
              <w:bottom w:val="single" w:sz="4" w:space="0" w:color="auto"/>
              <w:right w:val="single" w:sz="4" w:space="0" w:color="auto"/>
            </w:tcBorders>
          </w:tcPr>
          <w:p w14:paraId="2A25985A" w14:textId="77777777" w:rsidR="005E23B7" w:rsidRPr="00F831DE" w:rsidRDefault="005E23B7" w:rsidP="00A7290A">
            <w:pPr>
              <w:rPr>
                <w:iCs/>
                <w:sz w:val="22"/>
                <w:szCs w:val="22"/>
              </w:rPr>
            </w:pPr>
          </w:p>
        </w:tc>
      </w:tr>
      <w:tr w:rsidR="005E23B7" w:rsidRPr="00F831DE" w14:paraId="1D5334BA" w14:textId="77777777" w:rsidTr="005E23B7">
        <w:tc>
          <w:tcPr>
            <w:tcW w:w="698" w:type="dxa"/>
            <w:tcBorders>
              <w:top w:val="single" w:sz="4" w:space="0" w:color="auto"/>
              <w:left w:val="single" w:sz="4" w:space="0" w:color="auto"/>
              <w:bottom w:val="single" w:sz="4" w:space="0" w:color="auto"/>
              <w:right w:val="single" w:sz="4" w:space="0" w:color="auto"/>
            </w:tcBorders>
          </w:tcPr>
          <w:p w14:paraId="1AA94CAC" w14:textId="31E86CBE" w:rsidR="005E23B7" w:rsidRPr="00F831DE" w:rsidRDefault="005E23B7" w:rsidP="00A7290A">
            <w:pPr>
              <w:rPr>
                <w:color w:val="000000"/>
                <w:lang w:eastAsia="lt-LT"/>
              </w:rPr>
            </w:pPr>
            <w:r>
              <w:rPr>
                <w:color w:val="000000"/>
                <w:lang w:eastAsia="lt-LT"/>
              </w:rPr>
              <w:t>1.16</w:t>
            </w:r>
            <w:r w:rsidRPr="00F831DE">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6BEF2026" w14:textId="745C5F90" w:rsidR="005E23B7" w:rsidRPr="00F831DE" w:rsidRDefault="005E23B7" w:rsidP="00A7290A">
            <w:r w:rsidRPr="00F831DE">
              <w:t>Įrangos būklė</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FB13E73" w14:textId="040DA5D9" w:rsidR="005E23B7" w:rsidRPr="00F831DE" w:rsidRDefault="005E23B7" w:rsidP="00A7290A">
            <w:pPr>
              <w:jc w:val="both"/>
            </w:pPr>
            <w:r w:rsidRPr="00F831DE">
              <w:t>Visa siūloma įranga turi būti nauja, negalima siūlyti naudotos arba atnaujintos („Remarketing“/„Refurbished“) įrangos.</w:t>
            </w:r>
          </w:p>
        </w:tc>
        <w:tc>
          <w:tcPr>
            <w:tcW w:w="6378" w:type="dxa"/>
            <w:tcBorders>
              <w:top w:val="single" w:sz="4" w:space="0" w:color="auto"/>
              <w:left w:val="single" w:sz="4" w:space="0" w:color="auto"/>
              <w:bottom w:val="single" w:sz="4" w:space="0" w:color="auto"/>
              <w:right w:val="single" w:sz="4" w:space="0" w:color="auto"/>
            </w:tcBorders>
          </w:tcPr>
          <w:p w14:paraId="5DB5AA4D" w14:textId="77777777" w:rsidR="005E23B7" w:rsidRPr="00F831DE" w:rsidRDefault="005E23B7" w:rsidP="00A7290A">
            <w:pPr>
              <w:rPr>
                <w:iCs/>
                <w:sz w:val="22"/>
                <w:szCs w:val="22"/>
              </w:rPr>
            </w:pPr>
          </w:p>
        </w:tc>
      </w:tr>
      <w:tr w:rsidR="005E23B7" w:rsidRPr="00F831DE" w14:paraId="5DF8B8F3" w14:textId="77777777" w:rsidTr="005E23B7">
        <w:tc>
          <w:tcPr>
            <w:tcW w:w="698" w:type="dxa"/>
            <w:tcBorders>
              <w:top w:val="single" w:sz="4" w:space="0" w:color="auto"/>
              <w:left w:val="single" w:sz="4" w:space="0" w:color="auto"/>
              <w:bottom w:val="single" w:sz="4" w:space="0" w:color="auto"/>
              <w:right w:val="single" w:sz="4" w:space="0" w:color="auto"/>
            </w:tcBorders>
          </w:tcPr>
          <w:p w14:paraId="1C1A7480" w14:textId="4A84F946" w:rsidR="005E23B7" w:rsidRPr="00F831DE" w:rsidRDefault="005E23B7" w:rsidP="00A7290A">
            <w:pPr>
              <w:rPr>
                <w:color w:val="000000"/>
                <w:lang w:eastAsia="lt-LT"/>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DF41D6E" w14:textId="5D7AC92F" w:rsidR="005E23B7" w:rsidRPr="00F831DE" w:rsidRDefault="005E23B7" w:rsidP="00A7290A"/>
        </w:tc>
        <w:tc>
          <w:tcPr>
            <w:tcW w:w="6521" w:type="dxa"/>
            <w:tcBorders>
              <w:top w:val="single" w:sz="4" w:space="0" w:color="auto"/>
              <w:left w:val="single" w:sz="4" w:space="0" w:color="auto"/>
              <w:bottom w:val="single" w:sz="4" w:space="0" w:color="auto"/>
              <w:right w:val="single" w:sz="4" w:space="0" w:color="auto"/>
            </w:tcBorders>
            <w:shd w:val="clear" w:color="auto" w:fill="auto"/>
          </w:tcPr>
          <w:p w14:paraId="5919D103" w14:textId="009E8C58" w:rsidR="005E23B7" w:rsidRPr="00F831DE" w:rsidRDefault="005E23B7" w:rsidP="00A7290A">
            <w:pPr>
              <w:jc w:val="both"/>
            </w:pPr>
          </w:p>
        </w:tc>
        <w:tc>
          <w:tcPr>
            <w:tcW w:w="6378" w:type="dxa"/>
            <w:tcBorders>
              <w:top w:val="single" w:sz="4" w:space="0" w:color="auto"/>
              <w:left w:val="single" w:sz="4" w:space="0" w:color="auto"/>
              <w:bottom w:val="single" w:sz="4" w:space="0" w:color="auto"/>
              <w:right w:val="single" w:sz="4" w:space="0" w:color="auto"/>
            </w:tcBorders>
          </w:tcPr>
          <w:p w14:paraId="4E7447F1" w14:textId="77777777" w:rsidR="005E23B7" w:rsidRPr="00F831DE" w:rsidRDefault="005E23B7" w:rsidP="00A7290A">
            <w:pPr>
              <w:rPr>
                <w:iCs/>
                <w:sz w:val="22"/>
                <w:szCs w:val="22"/>
              </w:rPr>
            </w:pPr>
          </w:p>
        </w:tc>
      </w:tr>
    </w:tbl>
    <w:p w14:paraId="29DC184C" w14:textId="77777777" w:rsidR="00D65414" w:rsidRDefault="00D65414" w:rsidP="00F831DE">
      <w:pPr>
        <w:pStyle w:val="Tvarkostekstas"/>
        <w:numPr>
          <w:ilvl w:val="0"/>
          <w:numId w:val="0"/>
        </w:numPr>
        <w:jc w:val="left"/>
        <w:rPr>
          <w:b/>
        </w:rPr>
      </w:pPr>
      <w:bookmarkStart w:id="0" w:name="_GoBack"/>
      <w:bookmarkEnd w:id="0"/>
    </w:p>
    <w:sectPr w:rsidR="00D65414" w:rsidSect="00EE361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0AE22F0"/>
    <w:multiLevelType w:val="hybridMultilevel"/>
    <w:tmpl w:val="A51A8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E4E"/>
    <w:rsid w:val="00023E6E"/>
    <w:rsid w:val="000F088F"/>
    <w:rsid w:val="000F7F8D"/>
    <w:rsid w:val="001359DF"/>
    <w:rsid w:val="00154261"/>
    <w:rsid w:val="001F038B"/>
    <w:rsid w:val="001F1992"/>
    <w:rsid w:val="002707D4"/>
    <w:rsid w:val="002906CE"/>
    <w:rsid w:val="002E5F13"/>
    <w:rsid w:val="003025F0"/>
    <w:rsid w:val="00342D02"/>
    <w:rsid w:val="00380C37"/>
    <w:rsid w:val="00504CFA"/>
    <w:rsid w:val="005A0E72"/>
    <w:rsid w:val="005C3800"/>
    <w:rsid w:val="005E23B7"/>
    <w:rsid w:val="006362BC"/>
    <w:rsid w:val="00675238"/>
    <w:rsid w:val="006C106C"/>
    <w:rsid w:val="006E11BC"/>
    <w:rsid w:val="007015AD"/>
    <w:rsid w:val="00725905"/>
    <w:rsid w:val="007F2C9F"/>
    <w:rsid w:val="00867E8B"/>
    <w:rsid w:val="008D209D"/>
    <w:rsid w:val="00915D46"/>
    <w:rsid w:val="009378A2"/>
    <w:rsid w:val="00A36466"/>
    <w:rsid w:val="00A70A46"/>
    <w:rsid w:val="00A7290A"/>
    <w:rsid w:val="00AB5BF2"/>
    <w:rsid w:val="00AB5C0E"/>
    <w:rsid w:val="00AF5BE9"/>
    <w:rsid w:val="00B1343C"/>
    <w:rsid w:val="00B80E96"/>
    <w:rsid w:val="00D5729D"/>
    <w:rsid w:val="00D65414"/>
    <w:rsid w:val="00D8110A"/>
    <w:rsid w:val="00DC3E4E"/>
    <w:rsid w:val="00DF06D8"/>
    <w:rsid w:val="00DF12A3"/>
    <w:rsid w:val="00E01D29"/>
    <w:rsid w:val="00E02BCB"/>
    <w:rsid w:val="00E51FAF"/>
    <w:rsid w:val="00E740F5"/>
    <w:rsid w:val="00EE3617"/>
    <w:rsid w:val="00F61BB7"/>
    <w:rsid w:val="00F831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A41F"/>
  <w15:docId w15:val="{946B6C62-D62F-4BAB-ACC4-1C90F2B4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DF12A3"/>
    <w:pPr>
      <w:suppressAutoHyphens/>
      <w:autoSpaceDN w:val="0"/>
      <w:spacing w:after="0" w:line="240" w:lineRule="auto"/>
      <w:textAlignment w:val="baseline"/>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E3617"/>
    <w:rPr>
      <w:color w:val="0000FF"/>
      <w:u w:val="single"/>
    </w:rPr>
  </w:style>
  <w:style w:type="paragraph" w:customStyle="1" w:styleId="Default">
    <w:name w:val="Default"/>
    <w:rsid w:val="00EE3617"/>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tekstas">
    <w:name w:val="Tvarkos tekstas"/>
    <w:basedOn w:val="prastasis"/>
    <w:rsid w:val="00EE3617"/>
    <w:pPr>
      <w:numPr>
        <w:numId w:val="1"/>
      </w:numPr>
      <w:jc w:val="both"/>
    </w:pPr>
    <w:rPr>
      <w:lang w:eastAsia="lt-LT"/>
    </w:rPr>
  </w:style>
  <w:style w:type="numbering" w:customStyle="1" w:styleId="LFO2">
    <w:name w:val="LFO2"/>
    <w:basedOn w:val="Sraonra"/>
    <w:rsid w:val="00EE3617"/>
    <w:pPr>
      <w:numPr>
        <w:numId w:val="5"/>
      </w:numPr>
    </w:pPr>
  </w:style>
  <w:style w:type="paragraph" w:styleId="prastasiniatinklio">
    <w:name w:val="Normal (Web)"/>
    <w:basedOn w:val="prastasis"/>
    <w:uiPriority w:val="99"/>
    <w:unhideWhenUsed/>
    <w:rsid w:val="00EE3617"/>
    <w:pPr>
      <w:suppressAutoHyphens w:val="0"/>
      <w:autoSpaceDN/>
      <w:spacing w:before="100" w:beforeAutospacing="1" w:after="173"/>
      <w:textAlignment w:val="auto"/>
    </w:pPr>
    <w:rPr>
      <w:lang w:eastAsia="lt-LT"/>
    </w:rPr>
  </w:style>
  <w:style w:type="paragraph" w:styleId="Sraopastraipa">
    <w:name w:val="List Paragraph"/>
    <w:basedOn w:val="prastasis"/>
    <w:uiPriority w:val="34"/>
    <w:qFormat/>
    <w:rsid w:val="00AF5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23640">
      <w:bodyDiv w:val="1"/>
      <w:marLeft w:val="0"/>
      <w:marRight w:val="0"/>
      <w:marTop w:val="0"/>
      <w:marBottom w:val="0"/>
      <w:divBdr>
        <w:top w:val="none" w:sz="0" w:space="0" w:color="auto"/>
        <w:left w:val="none" w:sz="0" w:space="0" w:color="auto"/>
        <w:bottom w:val="none" w:sz="0" w:space="0" w:color="auto"/>
        <w:right w:val="none" w:sz="0" w:space="0" w:color="auto"/>
      </w:divBdr>
    </w:div>
    <w:div w:id="1300382252">
      <w:bodyDiv w:val="1"/>
      <w:marLeft w:val="0"/>
      <w:marRight w:val="0"/>
      <w:marTop w:val="0"/>
      <w:marBottom w:val="0"/>
      <w:divBdr>
        <w:top w:val="none" w:sz="0" w:space="0" w:color="auto"/>
        <w:left w:val="none" w:sz="0" w:space="0" w:color="auto"/>
        <w:bottom w:val="none" w:sz="0" w:space="0" w:color="auto"/>
        <w:right w:val="none" w:sz="0" w:space="0" w:color="auto"/>
      </w:divBdr>
    </w:div>
    <w:div w:id="1366252750">
      <w:bodyDiv w:val="1"/>
      <w:marLeft w:val="0"/>
      <w:marRight w:val="0"/>
      <w:marTop w:val="0"/>
      <w:marBottom w:val="0"/>
      <w:divBdr>
        <w:top w:val="none" w:sz="0" w:space="0" w:color="auto"/>
        <w:left w:val="none" w:sz="0" w:space="0" w:color="auto"/>
        <w:bottom w:val="none" w:sz="0" w:space="0" w:color="auto"/>
        <w:right w:val="none" w:sz="0" w:space="0" w:color="auto"/>
      </w:divBdr>
    </w:div>
    <w:div w:id="1594820092">
      <w:bodyDiv w:val="1"/>
      <w:marLeft w:val="0"/>
      <w:marRight w:val="0"/>
      <w:marTop w:val="0"/>
      <w:marBottom w:val="0"/>
      <w:divBdr>
        <w:top w:val="none" w:sz="0" w:space="0" w:color="auto"/>
        <w:left w:val="none" w:sz="0" w:space="0" w:color="auto"/>
        <w:bottom w:val="none" w:sz="0" w:space="0" w:color="auto"/>
        <w:right w:val="none" w:sz="0" w:space="0" w:color="auto"/>
      </w:divBdr>
    </w:div>
    <w:div w:id="1600211977">
      <w:bodyDiv w:val="1"/>
      <w:marLeft w:val="0"/>
      <w:marRight w:val="0"/>
      <w:marTop w:val="0"/>
      <w:marBottom w:val="0"/>
      <w:divBdr>
        <w:top w:val="none" w:sz="0" w:space="0" w:color="auto"/>
        <w:left w:val="none" w:sz="0" w:space="0" w:color="auto"/>
        <w:bottom w:val="none" w:sz="0" w:space="0" w:color="auto"/>
        <w:right w:val="none" w:sz="0" w:space="0" w:color="auto"/>
      </w:divBdr>
    </w:div>
    <w:div w:id="186544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3/617/oj" TargetMode="External"/><Relationship Id="rId3" Type="http://schemas.openxmlformats.org/officeDocument/2006/relationships/settings" Target="settings.xml"/><Relationship Id="rId7" Type="http://schemas.openxmlformats.org/officeDocument/2006/relationships/hyperlink" Target="https://www.videocard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smark.com" TargetMode="External"/><Relationship Id="rId5" Type="http://schemas.openxmlformats.org/officeDocument/2006/relationships/hyperlink" Target="http://www.cpubenchmark.net/cpu_list.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4615</Words>
  <Characters>2631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dc:creator>
  <cp:lastModifiedBy>Mokslas</cp:lastModifiedBy>
  <cp:revision>2</cp:revision>
  <dcterms:created xsi:type="dcterms:W3CDTF">2024-12-11T15:30:00Z</dcterms:created>
  <dcterms:modified xsi:type="dcterms:W3CDTF">2024-12-11T15:30:00Z</dcterms:modified>
</cp:coreProperties>
</file>