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ATSAKYMO Į KLAUSIMĄ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„Mokym</w:t>
      </w:r>
      <w:r>
        <w:rPr>
          <w:rFonts w:cs="Times New Roman" w:ascii="Times New Roman" w:hAnsi="Times New Roman"/>
          <w:lang w:val="lt-LT"/>
        </w:rPr>
        <w:t>ai ,,Racionalus antimikrobinių vaistinių preparatų skyrimas ir vartojimas“ organizavimo paslaugos</w:t>
      </w:r>
      <w:r>
        <w:rPr>
          <w:rFonts w:cs="Times New Roman" w:ascii="Times New Roman" w:hAnsi="Times New Roman"/>
          <w:lang w:val="lt-LT"/>
        </w:rPr>
        <w:t xml:space="preserve">“ pirkimą (ID. </w:t>
      </w:r>
      <w:r>
        <w:rPr>
          <w:rFonts w:cs="Times New Roman" w:ascii="Times New Roman" w:hAnsi="Times New Roman"/>
          <w:lang w:val="lt-LT"/>
        </w:rPr>
        <w:t>4028390</w:t>
      </w:r>
      <w:r>
        <w:rPr>
          <w:rFonts w:cs="Times New Roman" w:ascii="Times New Roman" w:hAnsi="Times New Roman"/>
          <w:lang w:val="en-US"/>
        </w:rPr>
        <w:t xml:space="preserve"> </w:t>
      </w:r>
      <w:r>
        <w:rPr>
          <w:rFonts w:cs="Times New Roman" w:ascii="Times New Roman" w:hAnsi="Times New Roman"/>
          <w:lang w:val="lt-LT"/>
        </w:rPr>
        <w:t>) gavo klausimą iš tiekėjo. Higienos instituto viešojo pirkimo komisija išnagrinėjo gautą klausimą ir pateikia atsakymą: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lang w:val="lt-LT"/>
        </w:rPr>
        <w:t>Techninės specifikacijos 4.4. punktas: „Mokymo dalyviams turi būti išduoti mokymų baigimo pažymėjimai, atitinkantys Sveikatos apsaugos ministro 2022 m kovo 18 d. įsakymo Nr.132 „Dėl sveikatos priežiūros ir farmacijos specialistų profesinės kvalifikacijos tobulinimo ir jo finansavimo tvarkos aprašo patvirtinimo“ 15 punkto reikalavimus, ir suderinti su Paslaugos pirkėju. Pažymėjimus, kaip mokymų organizatoriai, turi pasirašyti Higienos instituto direktorius ir mokymų organizatoriaus vadovas.“</w:t>
        <w:br/>
        <w:t>Nuo 2025 m. sausio 1 d. pažymėjimai medikams įkeliami į Kompetencijų platformą, kad jie galėtų ateityje jais pagrįsti savo kvalifikacijos kėlimą. Nuo šios datos Valstybinei akreditavimo sveikatos priežiūros veiklai tarnybai popierinių pažymėjimų licencijos pratęsimui pateikti nebereikia. Pažymėjimus įkelti į Kompetencijų platformą gali tik mokymų programos rengėjas, šiuo atveju Higienos institutas. Tam, kad įkelti pažymėjimą į Kompetencijų platformą reikia šios informacijos: dalyvio vardas ir pavardė, asmens kodas.</w:t>
        <w:br/>
        <w:t>Klausimas:</w:t>
        <w:br/>
        <w:t xml:space="preserve">Ar Paslaugos pirkėjas įkėlinės dalyvių pažymėjimus į Kompetencijų platformą, o paslaugos teikėjui reikės tik išduoti dalyviams popierinius HI direktoriaus ir mokymų organizatoriaus vadovo pasirašytus pažymėjimus? </w:t>
      </w:r>
      <w:r>
        <w:rPr>
          <w:lang w:val="lt-LT"/>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ind w:left="709"/>
        <w:jc w:val="both"/>
        <w:rPr>
          <w:rFonts w:ascii="Times New Roman" w:hAnsi="Times New Roman"/>
        </w:rPr>
      </w:pPr>
      <w:r>
        <w:rPr>
          <w:rFonts w:ascii="Times New Roman" w:hAnsi="Times New Roman"/>
          <w:lang w:val="lt-LT"/>
        </w:rPr>
        <w:t>K</w:t>
      </w:r>
      <w:r>
        <w:rPr>
          <w:rFonts w:ascii="Times New Roman" w:hAnsi="Times New Roman"/>
          <w:lang w:val="lt-LT"/>
        </w:rPr>
        <w:t xml:space="preserve">valifikacijos kėlimo pažymėjai bus keliami tik į kompetencijų platformą. Instituto direktoriaus parašo ir mokymų rengėjo pasirašytų pažymėjimų išduoti nereikės. </w:t>
      </w:r>
      <w:r>
        <w:rPr>
          <w:rFonts w:ascii="Times New Roman" w:hAnsi="Times New Roman"/>
        </w:rPr>
        <w:t>Paslaugų tiekėjui, reikės tik surinkti dalyvių vardus, pavardes ir asmens kodus, kad Higienos institutas galėtų įkelti pažymėjimus į kompetencijų platformą.</w:t>
      </w:r>
    </w:p>
    <w:p>
      <w:pPr>
        <w:pStyle w:val="BodyText"/>
        <w:spacing w:lineRule="auto" w:line="360" w:before="0" w:after="140"/>
        <w:ind w:left="709"/>
        <w:jc w:val="both"/>
        <w:rPr>
          <w:rFonts w:ascii="Times New Roman" w:hAnsi="Times New Roman"/>
          <w:lang w:val="lt-LT"/>
        </w:rPr>
      </w:pPr>
      <w:r>
        <w:rPr>
          <w:rFonts w:ascii="Times New Roman" w:hAnsi="Times New Roman"/>
          <w:lang w:val="lt-LT"/>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LibreOffice/7.6.4.1$Windows_X86_64 LibreOffice_project/e19e193f88cd6c0525a17fb7a176ed8e6a3e2aa1</Application>
  <AppVersion>15.0000</AppVersion>
  <Pages>1</Pages>
  <Words>235</Words>
  <Characters>1687</Characters>
  <CharactersWithSpaces>1915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2025-08-13T23:44:32Z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