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09C1" w14:textId="2DCDA684" w:rsidR="00EE3830" w:rsidRPr="00AC0F92" w:rsidRDefault="00881F62" w:rsidP="00AC0F92">
      <w:pPr>
        <w:jc w:val="right"/>
        <w:rPr>
          <w:rFonts w:cstheme="minorHAnsi"/>
          <w:sz w:val="24"/>
          <w:szCs w:val="24"/>
        </w:rPr>
      </w:pPr>
      <w:r w:rsidRPr="00AC0F92">
        <w:rPr>
          <w:rFonts w:cstheme="minorHAnsi"/>
          <w:sz w:val="24"/>
          <w:szCs w:val="24"/>
        </w:rPr>
        <w:tab/>
      </w:r>
      <w:r w:rsidRPr="00AC0F92">
        <w:rPr>
          <w:rFonts w:cstheme="minorHAnsi"/>
          <w:sz w:val="24"/>
          <w:szCs w:val="24"/>
        </w:rPr>
        <w:tab/>
      </w:r>
      <w:r w:rsidRPr="00AC0F92">
        <w:rPr>
          <w:rFonts w:cstheme="minorHAnsi"/>
          <w:sz w:val="24"/>
          <w:szCs w:val="24"/>
        </w:rPr>
        <w:tab/>
      </w:r>
      <w:r w:rsidRPr="00AC0F92">
        <w:rPr>
          <w:rFonts w:cstheme="minorHAnsi"/>
          <w:sz w:val="24"/>
          <w:szCs w:val="24"/>
        </w:rPr>
        <w:tab/>
      </w:r>
      <w:r w:rsidRPr="00AC0F92">
        <w:rPr>
          <w:rFonts w:cstheme="minorHAnsi"/>
          <w:sz w:val="24"/>
          <w:szCs w:val="24"/>
        </w:rPr>
        <w:tab/>
      </w:r>
      <w:r w:rsidRPr="00AC0F92">
        <w:rPr>
          <w:rFonts w:cstheme="minorHAnsi"/>
          <w:sz w:val="24"/>
          <w:szCs w:val="24"/>
        </w:rPr>
        <w:tab/>
      </w:r>
      <w:r w:rsidR="00A657B6" w:rsidRPr="00AC0F92">
        <w:rPr>
          <w:rFonts w:cstheme="minorHAnsi"/>
          <w:sz w:val="24"/>
          <w:szCs w:val="24"/>
        </w:rPr>
        <w:t>2025-08-14</w:t>
      </w:r>
    </w:p>
    <w:p w14:paraId="5A1B54EC" w14:textId="77777777" w:rsidR="00881F62" w:rsidRPr="00AC0F92" w:rsidRDefault="00881F62">
      <w:pPr>
        <w:rPr>
          <w:rFonts w:cstheme="minorHAnsi"/>
          <w:sz w:val="24"/>
          <w:szCs w:val="24"/>
        </w:rPr>
      </w:pPr>
    </w:p>
    <w:p w14:paraId="409C7649" w14:textId="07CDEBD0" w:rsidR="00881F62" w:rsidRPr="00AC0F92" w:rsidRDefault="00881F62">
      <w:pPr>
        <w:rPr>
          <w:rFonts w:cstheme="minorHAnsi"/>
          <w:b/>
          <w:bCs/>
          <w:sz w:val="24"/>
          <w:szCs w:val="24"/>
        </w:rPr>
      </w:pPr>
      <w:r w:rsidRPr="00AC0F92">
        <w:rPr>
          <w:rFonts w:cstheme="minorHAnsi"/>
          <w:b/>
          <w:bCs/>
          <w:sz w:val="24"/>
          <w:szCs w:val="24"/>
        </w:rPr>
        <w:t xml:space="preserve">DĖL </w:t>
      </w:r>
      <w:r w:rsidR="00CD46DC" w:rsidRPr="00AC0F92">
        <w:rPr>
          <w:rFonts w:cstheme="minorHAnsi"/>
          <w:b/>
          <w:bCs/>
          <w:sz w:val="24"/>
          <w:szCs w:val="24"/>
        </w:rPr>
        <w:t>PIRKIMO SĄLYGŲ PAAIŠKINIMO</w:t>
      </w:r>
      <w:r w:rsidR="00A657B6" w:rsidRPr="00AC0F92">
        <w:rPr>
          <w:rFonts w:cstheme="minorHAnsi"/>
          <w:b/>
          <w:bCs/>
          <w:sz w:val="24"/>
          <w:szCs w:val="24"/>
        </w:rPr>
        <w:t xml:space="preserve"> IR PASIŪLYMŲ PATEIKIMO TERMINO PRATĘSIMO</w:t>
      </w:r>
    </w:p>
    <w:p w14:paraId="5F22D45A" w14:textId="5EB99C55" w:rsidR="00A657B6" w:rsidRPr="00AC0F92" w:rsidRDefault="00CD46DC" w:rsidP="00772E25">
      <w:pPr>
        <w:tabs>
          <w:tab w:val="right" w:leader="underscore" w:pos="8505"/>
        </w:tabs>
        <w:spacing w:after="0" w:line="240" w:lineRule="auto"/>
        <w:ind w:firstLine="567"/>
        <w:jc w:val="both"/>
        <w:rPr>
          <w:rFonts w:cstheme="minorHAnsi"/>
          <w:sz w:val="24"/>
          <w:szCs w:val="24"/>
        </w:rPr>
      </w:pPr>
      <w:r w:rsidRPr="00AC0F92">
        <w:rPr>
          <w:rStyle w:val="Stilius2"/>
          <w:rFonts w:asciiTheme="minorHAnsi" w:hAnsiTheme="minorHAnsi" w:cstheme="minorHAnsi"/>
          <w:szCs w:val="24"/>
        </w:rPr>
        <w:t xml:space="preserve">Informuojame, </w:t>
      </w:r>
      <w:r w:rsidR="00A657B6" w:rsidRPr="00AC0F92">
        <w:rPr>
          <w:rStyle w:val="Stilius2"/>
          <w:rFonts w:asciiTheme="minorHAnsi" w:hAnsiTheme="minorHAnsi" w:cstheme="minorHAnsi"/>
          <w:szCs w:val="24"/>
        </w:rPr>
        <w:t>kad</w:t>
      </w:r>
      <w:r w:rsidRPr="00AC0F92">
        <w:rPr>
          <w:rStyle w:val="Stilius2"/>
          <w:rFonts w:asciiTheme="minorHAnsi" w:hAnsiTheme="minorHAnsi" w:cstheme="minorHAnsi"/>
          <w:szCs w:val="24"/>
        </w:rPr>
        <w:t xml:space="preserve"> </w:t>
      </w:r>
      <w:r w:rsidRPr="00AC0F92">
        <w:rPr>
          <w:rFonts w:cstheme="minorHAnsi"/>
          <w:sz w:val="24"/>
          <w:szCs w:val="24"/>
        </w:rPr>
        <w:t>Centrinėje viešųjų pirkimų informacinėje sistemoje susirašinėjimo priemonėmis gaut</w:t>
      </w:r>
      <w:r w:rsidR="005D2C68">
        <w:rPr>
          <w:rFonts w:cstheme="minorHAnsi"/>
          <w:sz w:val="24"/>
          <w:szCs w:val="24"/>
        </w:rPr>
        <w:t>i klausimai prašant</w:t>
      </w:r>
      <w:r w:rsidRPr="00AC0F92">
        <w:rPr>
          <w:rFonts w:cstheme="minorHAnsi"/>
          <w:sz w:val="24"/>
          <w:szCs w:val="24"/>
        </w:rPr>
        <w:t xml:space="preserve"> paaiškinti</w:t>
      </w:r>
      <w:r w:rsidR="00A657B6" w:rsidRPr="00AC0F92">
        <w:rPr>
          <w:rFonts w:cstheme="minorHAnsi"/>
          <w:sz w:val="24"/>
          <w:szCs w:val="24"/>
        </w:rPr>
        <w:t xml:space="preserve">/patikslinti </w:t>
      </w:r>
      <w:r w:rsidR="00A657B6" w:rsidRPr="00AC0F92">
        <w:rPr>
          <w:rFonts w:cstheme="minorHAnsi"/>
          <w:sz w:val="24"/>
          <w:szCs w:val="24"/>
        </w:rPr>
        <w:t xml:space="preserve">vykdomo viešojo pirkimo </w:t>
      </w:r>
      <w:sdt>
        <w:sdtPr>
          <w:rPr>
            <w:rStyle w:val="Stilius1"/>
            <w:rFonts w:asciiTheme="minorHAnsi" w:hAnsiTheme="minorHAnsi" w:cstheme="minorHAnsi"/>
            <w:szCs w:val="24"/>
          </w:rPr>
          <w:alias w:val="Įrašyti pirkimo pavadinimą"/>
          <w:tag w:val="Įrašyti pirkimo pavadinimą"/>
          <w:id w:val="-1161463462"/>
          <w:placeholder>
            <w:docPart w:val="3560ED991F0F4AAEA070CD6E9E673E30"/>
          </w:placeholder>
          <w:text/>
        </w:sdtPr>
        <w:sdtContent>
          <w:r w:rsidR="00A657B6" w:rsidRPr="00AC0F92">
            <w:rPr>
              <w:rStyle w:val="Stilius1"/>
              <w:rFonts w:asciiTheme="minorHAnsi" w:hAnsiTheme="minorHAnsi" w:cstheme="minorHAnsi"/>
              <w:szCs w:val="24"/>
            </w:rPr>
            <w:t>(PU-13738/25) Stacionarių alkotesterių nuoma (Atviras konkursas)</w:t>
          </w:r>
        </w:sdtContent>
      </w:sdt>
      <w:r w:rsidR="00A657B6" w:rsidRPr="00AC0F92">
        <w:rPr>
          <w:rFonts w:cstheme="minorHAnsi"/>
          <w:sz w:val="24"/>
          <w:szCs w:val="24"/>
        </w:rPr>
        <w:t xml:space="preserve">  (toliau – Pirkimas) dokumentus.</w:t>
      </w:r>
    </w:p>
    <w:p w14:paraId="563977FB" w14:textId="11AF5394" w:rsidR="00A657B6" w:rsidRPr="00AC0F92" w:rsidRDefault="00A657B6" w:rsidP="00A657B6">
      <w:pPr>
        <w:tabs>
          <w:tab w:val="left" w:pos="630"/>
        </w:tabs>
        <w:spacing w:after="0" w:line="240" w:lineRule="auto"/>
        <w:ind w:firstLine="567"/>
        <w:jc w:val="both"/>
        <w:rPr>
          <w:rFonts w:cstheme="minorHAnsi"/>
          <w:sz w:val="24"/>
          <w:szCs w:val="24"/>
        </w:rPr>
      </w:pPr>
      <w:r w:rsidRPr="00AC0F92">
        <w:rPr>
          <w:rFonts w:cstheme="minorHAnsi"/>
          <w:sz w:val="24"/>
          <w:szCs w:val="24"/>
        </w:rPr>
        <w:t>Viešojo pirkimo komisija (toliau – Komisija), atsižvelgdama į tai, kad klausimai buvo pateikti nepraleidžiant specialiųjų konkurso sąlygų 1 priede nustatytų terminų, sprendžia atsakyti į juos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5"/>
        <w:gridCol w:w="4537"/>
        <w:gridCol w:w="4241"/>
      </w:tblGrid>
      <w:tr w:rsidR="00A657B6" w:rsidRPr="00AC0F92" w14:paraId="525B858D" w14:textId="77777777" w:rsidTr="00772E25">
        <w:trPr>
          <w:tblHeader/>
        </w:trPr>
        <w:tc>
          <w:tcPr>
            <w:tcW w:w="845" w:type="dxa"/>
            <w:shd w:val="clear" w:color="auto" w:fill="FFFFFF"/>
            <w:tcMar>
              <w:top w:w="60" w:type="dxa"/>
              <w:left w:w="75" w:type="dxa"/>
              <w:bottom w:w="60" w:type="dxa"/>
              <w:right w:w="75" w:type="dxa"/>
            </w:tcMar>
            <w:vAlign w:val="center"/>
            <w:hideMark/>
          </w:tcPr>
          <w:p w14:paraId="6D4706D7" w14:textId="77777777" w:rsidR="00A657B6" w:rsidRPr="00AC0F92" w:rsidRDefault="00A657B6" w:rsidP="00772E25">
            <w:pPr>
              <w:spacing w:after="0" w:line="240" w:lineRule="auto"/>
              <w:jc w:val="center"/>
              <w:rPr>
                <w:rFonts w:cstheme="minorHAnsi"/>
                <w:b/>
                <w:bCs/>
                <w:lang w:eastAsia="lt-LT"/>
              </w:rPr>
            </w:pPr>
            <w:r w:rsidRPr="00AC0F92">
              <w:rPr>
                <w:rFonts w:cstheme="minorHAnsi"/>
                <w:b/>
                <w:bCs/>
                <w:lang w:eastAsia="lt-LT"/>
              </w:rPr>
              <w:t xml:space="preserve">Eil. </w:t>
            </w:r>
          </w:p>
          <w:p w14:paraId="58DE6974" w14:textId="77777777" w:rsidR="00A657B6" w:rsidRPr="00AC0F92" w:rsidRDefault="00A657B6" w:rsidP="00772E25">
            <w:pPr>
              <w:spacing w:after="0" w:line="240" w:lineRule="auto"/>
              <w:jc w:val="center"/>
              <w:rPr>
                <w:rFonts w:cstheme="minorHAnsi"/>
                <w:lang w:eastAsia="lt-LT"/>
              </w:rPr>
            </w:pPr>
            <w:r w:rsidRPr="00AC0F92">
              <w:rPr>
                <w:rFonts w:cstheme="minorHAnsi"/>
                <w:b/>
                <w:bCs/>
                <w:lang w:eastAsia="lt-LT"/>
              </w:rPr>
              <w:t>Nr.</w:t>
            </w:r>
          </w:p>
        </w:tc>
        <w:tc>
          <w:tcPr>
            <w:tcW w:w="4537" w:type="dxa"/>
            <w:shd w:val="clear" w:color="auto" w:fill="FFFFFF"/>
            <w:tcMar>
              <w:top w:w="60" w:type="dxa"/>
              <w:left w:w="75" w:type="dxa"/>
              <w:bottom w:w="60" w:type="dxa"/>
              <w:right w:w="75" w:type="dxa"/>
            </w:tcMar>
            <w:vAlign w:val="center"/>
            <w:hideMark/>
          </w:tcPr>
          <w:p w14:paraId="67807103" w14:textId="77777777" w:rsidR="00A657B6" w:rsidRPr="00AC0F92" w:rsidRDefault="00A657B6" w:rsidP="00772E25">
            <w:pPr>
              <w:spacing w:after="0" w:line="240" w:lineRule="auto"/>
              <w:jc w:val="center"/>
              <w:rPr>
                <w:rFonts w:cstheme="minorHAnsi"/>
                <w:lang w:eastAsia="lt-LT"/>
              </w:rPr>
            </w:pPr>
            <w:r w:rsidRPr="00AC0F92">
              <w:rPr>
                <w:rFonts w:cstheme="minorHAnsi"/>
                <w:b/>
                <w:bCs/>
              </w:rPr>
              <w:t xml:space="preserve">Tiekėjo klausimas/prašymas </w:t>
            </w:r>
            <w:r w:rsidRPr="00AC0F92">
              <w:rPr>
                <w:rFonts w:cstheme="minorHAnsi"/>
              </w:rPr>
              <w:t>(kalba netaisyta)</w:t>
            </w:r>
            <w:r w:rsidRPr="00AC0F92">
              <w:rPr>
                <w:rFonts w:cstheme="minorHAnsi"/>
                <w:b/>
                <w:bCs/>
              </w:rPr>
              <w:t>:</w:t>
            </w:r>
          </w:p>
        </w:tc>
        <w:tc>
          <w:tcPr>
            <w:tcW w:w="4241" w:type="dxa"/>
            <w:shd w:val="clear" w:color="auto" w:fill="FFFFFF"/>
            <w:tcMar>
              <w:top w:w="60" w:type="dxa"/>
              <w:left w:w="75" w:type="dxa"/>
              <w:bottom w:w="60" w:type="dxa"/>
              <w:right w:w="75" w:type="dxa"/>
            </w:tcMar>
            <w:vAlign w:val="center"/>
            <w:hideMark/>
          </w:tcPr>
          <w:p w14:paraId="457C732E" w14:textId="77777777" w:rsidR="00A657B6" w:rsidRPr="00AC0F92" w:rsidRDefault="00A657B6" w:rsidP="00772E25">
            <w:pPr>
              <w:spacing w:after="0" w:line="240" w:lineRule="auto"/>
              <w:jc w:val="center"/>
              <w:rPr>
                <w:rFonts w:cstheme="minorHAnsi"/>
                <w:lang w:eastAsia="lt-LT"/>
              </w:rPr>
            </w:pPr>
            <w:r w:rsidRPr="00AC0F92">
              <w:rPr>
                <w:rFonts w:cstheme="minorHAnsi"/>
                <w:b/>
                <w:bCs/>
                <w:lang w:eastAsia="lt-LT"/>
              </w:rPr>
              <w:t>Atsakymas:</w:t>
            </w:r>
          </w:p>
        </w:tc>
      </w:tr>
      <w:tr w:rsidR="00A657B6" w:rsidRPr="00AC0F92" w14:paraId="5186A304" w14:textId="77777777" w:rsidTr="00772E25">
        <w:tc>
          <w:tcPr>
            <w:tcW w:w="845" w:type="dxa"/>
            <w:shd w:val="clear" w:color="auto" w:fill="FFFFFF"/>
            <w:tcMar>
              <w:top w:w="60" w:type="dxa"/>
              <w:left w:w="75" w:type="dxa"/>
              <w:bottom w:w="60" w:type="dxa"/>
              <w:right w:w="75" w:type="dxa"/>
            </w:tcMar>
            <w:hideMark/>
          </w:tcPr>
          <w:p w14:paraId="1C1F43E6"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w:t>
            </w:r>
          </w:p>
        </w:tc>
        <w:tc>
          <w:tcPr>
            <w:tcW w:w="4537" w:type="dxa"/>
            <w:shd w:val="clear" w:color="auto" w:fill="FFFFFF"/>
            <w:tcMar>
              <w:top w:w="60" w:type="dxa"/>
              <w:left w:w="75" w:type="dxa"/>
              <w:bottom w:w="60" w:type="dxa"/>
              <w:right w:w="75" w:type="dxa"/>
            </w:tcMar>
          </w:tcPr>
          <w:p w14:paraId="767C8194" w14:textId="77777777" w:rsidR="00A657B6" w:rsidRPr="00AC0F92" w:rsidRDefault="00A657B6" w:rsidP="00772E25">
            <w:pPr>
              <w:spacing w:after="0" w:line="240" w:lineRule="auto"/>
              <w:jc w:val="both"/>
              <w:rPr>
                <w:rFonts w:cstheme="minorHAnsi"/>
                <w:lang w:eastAsia="lt-LT"/>
              </w:rPr>
            </w:pPr>
            <w:r w:rsidRPr="00AC0F92">
              <w:rPr>
                <w:rFonts w:cstheme="minorHAnsi"/>
                <w:lang w:eastAsia="lt-LT"/>
              </w:rPr>
              <w:t>1. Tarptautinio viešojo pirkimo „(PU-13738/25) Stacionarių alkotesterių nuoma“ techninės specifikacijos 3.9 p. numatytas įsipareigojimas tiekėjui sudaryti atskirą (-</w:t>
            </w:r>
            <w:proofErr w:type="spellStart"/>
            <w:r w:rsidRPr="00AC0F92">
              <w:rPr>
                <w:rFonts w:cstheme="minorHAnsi"/>
                <w:lang w:eastAsia="lt-LT"/>
              </w:rPr>
              <w:t>us</w:t>
            </w:r>
            <w:proofErr w:type="spellEnd"/>
            <w:r w:rsidRPr="00AC0F92">
              <w:rPr>
                <w:rFonts w:cstheme="minorHAnsi"/>
                <w:lang w:eastAsia="lt-LT"/>
              </w:rPr>
              <w:t>) susitarimą (-</w:t>
            </w:r>
            <w:proofErr w:type="spellStart"/>
            <w:r w:rsidRPr="00AC0F92">
              <w:rPr>
                <w:rFonts w:cstheme="minorHAnsi"/>
                <w:lang w:eastAsia="lt-LT"/>
              </w:rPr>
              <w:t>us</w:t>
            </w:r>
            <w:proofErr w:type="spellEnd"/>
            <w:r w:rsidRPr="00AC0F92">
              <w:rPr>
                <w:rFonts w:cstheme="minorHAnsi"/>
                <w:lang w:eastAsia="lt-LT"/>
              </w:rPr>
              <w:t>) dėl techninių ir organizacinių priemonių, susijusių su kibernetinio saugumo užtikrinimu tiekimo grandinėje. Aptariamame punkte nurodoma, kad šių priemonių įgyvendinimas yra esminė Pirkimo sutarties sąlyga, būtina siekiant užtikrinti pirkėjo atitiktį nacionaliniams ir tarptautiniams kibernetinio saugumo reikalavimams. Tiekėjas įsipareigoja sudaryti</w:t>
            </w:r>
          </w:p>
          <w:p w14:paraId="2183FF5B" w14:textId="77777777" w:rsidR="00A657B6" w:rsidRPr="00AC0F92" w:rsidRDefault="00A657B6" w:rsidP="00772E25">
            <w:pPr>
              <w:spacing w:after="0" w:line="240" w:lineRule="auto"/>
              <w:jc w:val="both"/>
              <w:rPr>
                <w:rFonts w:cstheme="minorHAnsi"/>
                <w:lang w:eastAsia="lt-LT"/>
              </w:rPr>
            </w:pPr>
            <w:r w:rsidRPr="00AC0F92">
              <w:rPr>
                <w:rFonts w:cstheme="minorHAnsi"/>
                <w:lang w:eastAsia="lt-LT"/>
              </w:rPr>
              <w:t>atitinkamus susitarimus bei įgyvendinti šiuos reikalavimus laiku ir tinkamai.</w:t>
            </w:r>
          </w:p>
          <w:p w14:paraId="5FE811CF" w14:textId="77777777" w:rsidR="00A657B6" w:rsidRPr="00AC0F92" w:rsidRDefault="00A657B6" w:rsidP="00772E25">
            <w:pPr>
              <w:spacing w:after="0" w:line="240" w:lineRule="auto"/>
              <w:jc w:val="both"/>
              <w:rPr>
                <w:rFonts w:cstheme="minorHAnsi"/>
                <w:lang w:eastAsia="lt-LT"/>
              </w:rPr>
            </w:pPr>
            <w:r w:rsidRPr="00AC0F92">
              <w:rPr>
                <w:rFonts w:cstheme="minorHAnsi"/>
                <w:lang w:eastAsia="lt-LT"/>
              </w:rPr>
              <w:t>Atsižvelgiant į tai, prašome paaiškinti:</w:t>
            </w:r>
          </w:p>
        </w:tc>
        <w:tc>
          <w:tcPr>
            <w:tcW w:w="4241" w:type="dxa"/>
            <w:shd w:val="clear" w:color="auto" w:fill="FFFFFF"/>
            <w:tcMar>
              <w:top w:w="60" w:type="dxa"/>
              <w:left w:w="75" w:type="dxa"/>
              <w:bottom w:w="60" w:type="dxa"/>
              <w:right w:w="75" w:type="dxa"/>
            </w:tcMar>
          </w:tcPr>
          <w:p w14:paraId="6500248A" w14:textId="77777777" w:rsidR="00A657B6" w:rsidRPr="00AC0F92" w:rsidRDefault="00A657B6" w:rsidP="00772E25">
            <w:pPr>
              <w:spacing w:after="150" w:line="240" w:lineRule="auto"/>
              <w:jc w:val="both"/>
              <w:rPr>
                <w:rFonts w:cstheme="minorHAnsi"/>
                <w:lang w:eastAsia="lt-LT"/>
              </w:rPr>
            </w:pPr>
          </w:p>
        </w:tc>
      </w:tr>
      <w:tr w:rsidR="00A657B6" w:rsidRPr="00AC0F92" w14:paraId="1AA9E8D2" w14:textId="77777777" w:rsidTr="00772E25">
        <w:tc>
          <w:tcPr>
            <w:tcW w:w="845" w:type="dxa"/>
            <w:shd w:val="clear" w:color="auto" w:fill="FFFFFF"/>
            <w:tcMar>
              <w:top w:w="60" w:type="dxa"/>
              <w:left w:w="75" w:type="dxa"/>
              <w:bottom w:w="60" w:type="dxa"/>
              <w:right w:w="75" w:type="dxa"/>
            </w:tcMar>
          </w:tcPr>
          <w:p w14:paraId="3528A4F9"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1.1.</w:t>
            </w:r>
          </w:p>
        </w:tc>
        <w:tc>
          <w:tcPr>
            <w:tcW w:w="4537" w:type="dxa"/>
            <w:shd w:val="clear" w:color="auto" w:fill="FFFFFF"/>
            <w:tcMar>
              <w:top w:w="60" w:type="dxa"/>
              <w:left w:w="75" w:type="dxa"/>
              <w:bottom w:w="60" w:type="dxa"/>
              <w:right w:w="75" w:type="dxa"/>
            </w:tcMar>
          </w:tcPr>
          <w:p w14:paraId="734DBA1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Ar Pirkimo techninės specifikacijos 3.9 p. nurodyto (-ų) susitarimo (-ų) susitarimų projektai yra prieinami tiekėjams iki pasiūlymų pateikimo termino pabaigos, jei taip, kur?</w:t>
            </w:r>
          </w:p>
        </w:tc>
        <w:tc>
          <w:tcPr>
            <w:tcW w:w="4241" w:type="dxa"/>
            <w:shd w:val="clear" w:color="auto" w:fill="FFFFFF"/>
            <w:tcMar>
              <w:top w:w="60" w:type="dxa"/>
              <w:left w:w="75" w:type="dxa"/>
              <w:bottom w:w="60" w:type="dxa"/>
              <w:right w:w="75" w:type="dxa"/>
            </w:tcMar>
          </w:tcPr>
          <w:p w14:paraId="07E94287"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Šiuo metu atskirų susitarimų projektai, numatyti Pirkimo techninės specifikacijos 3.9 punkte, nėra parengti ir nėra prieinami tiekėjams iki pasiūlymų pateikimo termino pabaigos.</w:t>
            </w:r>
          </w:p>
        </w:tc>
      </w:tr>
      <w:tr w:rsidR="00A657B6" w:rsidRPr="00AC0F92" w14:paraId="3CA4F1DA" w14:textId="77777777" w:rsidTr="00772E25">
        <w:tc>
          <w:tcPr>
            <w:tcW w:w="845" w:type="dxa"/>
            <w:shd w:val="clear" w:color="auto" w:fill="FFFFFF"/>
            <w:tcMar>
              <w:top w:w="60" w:type="dxa"/>
              <w:left w:w="75" w:type="dxa"/>
              <w:bottom w:w="60" w:type="dxa"/>
              <w:right w:w="75" w:type="dxa"/>
            </w:tcMar>
          </w:tcPr>
          <w:p w14:paraId="0355877A"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1.2.</w:t>
            </w:r>
          </w:p>
        </w:tc>
        <w:tc>
          <w:tcPr>
            <w:tcW w:w="4537" w:type="dxa"/>
            <w:shd w:val="clear" w:color="auto" w:fill="FFFFFF"/>
            <w:tcMar>
              <w:top w:w="60" w:type="dxa"/>
              <w:left w:w="75" w:type="dxa"/>
              <w:bottom w:w="60" w:type="dxa"/>
              <w:right w:w="75" w:type="dxa"/>
            </w:tcMar>
          </w:tcPr>
          <w:p w14:paraId="033AF5D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Tuo atveju, jeigu galimybės susipažinti su Pirkimo techninės specifikacijos 3.9 p. nurodyto (-ų) susitarimo (-ų) nuostatomis nėra, ar perkančioji organizacija gali pateikti preliminarų šių susitarimų turinio aprašymą, siekiant įvertinti būsimų įsipareigojimų apimtį ir rizikas, ypač atsižvelgiant į tai, kad techninės specifikacijos 3.9 p. numatytas įsipareigojimas yra laikomas esmine sutarties sąlyga (Prekių pirkimo – pardavimo sutarties specialiųjų sąlygų 10.1.3 p.)?</w:t>
            </w:r>
          </w:p>
        </w:tc>
        <w:tc>
          <w:tcPr>
            <w:tcW w:w="4241" w:type="dxa"/>
            <w:shd w:val="clear" w:color="auto" w:fill="FFFFFF"/>
            <w:tcMar>
              <w:top w:w="60" w:type="dxa"/>
              <w:left w:w="75" w:type="dxa"/>
              <w:bottom w:w="60" w:type="dxa"/>
              <w:right w:w="75" w:type="dxa"/>
            </w:tcMar>
          </w:tcPr>
          <w:p w14:paraId="07F6EF0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Šiuo metu konkretūs susitarimų projektai dar nėra parengti, todėl preliminarios jų nuostatos nėra pateikiamos. Atsižvelgiant į tai, kad Pirkėjas yra esminis kibernetinio saugumo subjektas, tiekėjai, siekdami įvertinti būsimų įsipareigojimų pobūdį ir apimtį, turėtų būti susipažinę su galiojančiu teisiniu reguliavimu, įskaitant:</w:t>
            </w:r>
          </w:p>
          <w:p w14:paraId="273C03C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Lietuvos Respublikos kibernetinio saugumo įstatymą;</w:t>
            </w:r>
          </w:p>
          <w:p w14:paraId="446906C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Lietuvos Respublikos Vyriausybės 2018 m. rugpjūčio 13 d. nutarimą Nr. 818 „Dėl Lietuvos Respublikos kibernetinio saugumo įstatymo įgyvendinimo“;</w:t>
            </w:r>
          </w:p>
          <w:p w14:paraId="0C34EA2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 kitus teisės aktus, reglamentuojančius reikalavimus esminiams kibernetinio saugumo subjektams;</w:t>
            </w:r>
          </w:p>
          <w:p w14:paraId="65088A3A"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bei Direktyvą (ES) 2022/2555 (NIS2).</w:t>
            </w:r>
          </w:p>
          <w:p w14:paraId="13ABB0A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Šie teisės aktai apibrėžia pagrindinius organizacinius ir techninius reikalavimus, kurių laikymasis bus aktualus ir tiekėjams, vykdantiems sutartinius įsipareigojimus su esminiu kibernetinio saugumo subjektu, </w:t>
            </w:r>
            <w:proofErr w:type="spellStart"/>
            <w:r w:rsidRPr="00AC0F92">
              <w:rPr>
                <w:rFonts w:cstheme="minorHAnsi"/>
                <w:lang w:eastAsia="lt-LT"/>
              </w:rPr>
              <w:t>t.y</w:t>
            </w:r>
            <w:proofErr w:type="spellEnd"/>
            <w:r w:rsidRPr="00AC0F92">
              <w:rPr>
                <w:rFonts w:cstheme="minorHAnsi"/>
                <w:lang w:eastAsia="lt-LT"/>
              </w:rPr>
              <w:t>. perkančiąja organizacija.</w:t>
            </w:r>
          </w:p>
        </w:tc>
      </w:tr>
      <w:tr w:rsidR="00A657B6" w:rsidRPr="00AC0F92" w14:paraId="799D361B" w14:textId="77777777" w:rsidTr="00772E25">
        <w:tc>
          <w:tcPr>
            <w:tcW w:w="845" w:type="dxa"/>
            <w:shd w:val="clear" w:color="auto" w:fill="FFFFFF"/>
            <w:tcMar>
              <w:top w:w="60" w:type="dxa"/>
              <w:left w:w="75" w:type="dxa"/>
              <w:bottom w:w="60" w:type="dxa"/>
              <w:right w:w="75" w:type="dxa"/>
            </w:tcMar>
          </w:tcPr>
          <w:p w14:paraId="1EDF035A"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lastRenderedPageBreak/>
              <w:t>1.3.</w:t>
            </w:r>
          </w:p>
        </w:tc>
        <w:tc>
          <w:tcPr>
            <w:tcW w:w="4537" w:type="dxa"/>
            <w:shd w:val="clear" w:color="auto" w:fill="FFFFFF"/>
            <w:tcMar>
              <w:top w:w="60" w:type="dxa"/>
              <w:left w:w="75" w:type="dxa"/>
              <w:bottom w:w="60" w:type="dxa"/>
              <w:right w:w="75" w:type="dxa"/>
            </w:tcMar>
          </w:tcPr>
          <w:p w14:paraId="6C904E4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Ar tiekėjas galės derėtis dėl Pirkimo techninės specifikacijos 3.9 p. nurodyto (-ų) susitarimo (-ų) nuostatų turinio?</w:t>
            </w:r>
          </w:p>
        </w:tc>
        <w:tc>
          <w:tcPr>
            <w:tcW w:w="4241" w:type="dxa"/>
            <w:shd w:val="clear" w:color="auto" w:fill="FFFFFF"/>
            <w:tcMar>
              <w:top w:w="60" w:type="dxa"/>
              <w:left w:w="75" w:type="dxa"/>
              <w:bottom w:w="60" w:type="dxa"/>
              <w:right w:w="75" w:type="dxa"/>
            </w:tcMar>
          </w:tcPr>
          <w:p w14:paraId="7718485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Taip, tiekėjui bus sudaryta galimybė derėtis dėl konkrečių susitarimo (-ų) nuostatų, tačiau šios derybos bus ribotos esminiais nacionaliniais ir ES teisės aktuose nustatytais reikalavimais. Perkančioji organizacija sieks užtikrinti, kad susitarimas (-ai) būtų pagrįsti proporcingumo ir abipusio bendradarbiavimo principais, tačiau pagrindinių kibernetinio saugumo reikalavimų, nustatytų teisės aktuose ir taikytinų perkančiajai organizacijai kaip esminiam kibernetinio saugumo subjektui, keisti nebus galima.</w:t>
            </w:r>
          </w:p>
        </w:tc>
      </w:tr>
      <w:tr w:rsidR="00A657B6" w:rsidRPr="00AC0F92" w14:paraId="2E809BAE" w14:textId="77777777" w:rsidTr="00772E25">
        <w:tc>
          <w:tcPr>
            <w:tcW w:w="845" w:type="dxa"/>
            <w:shd w:val="clear" w:color="auto" w:fill="FFFFFF"/>
            <w:tcMar>
              <w:top w:w="60" w:type="dxa"/>
              <w:left w:w="75" w:type="dxa"/>
              <w:bottom w:w="60" w:type="dxa"/>
              <w:right w:w="75" w:type="dxa"/>
            </w:tcMar>
          </w:tcPr>
          <w:p w14:paraId="1F31A2AC"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1.4.</w:t>
            </w:r>
          </w:p>
        </w:tc>
        <w:tc>
          <w:tcPr>
            <w:tcW w:w="4537" w:type="dxa"/>
            <w:shd w:val="clear" w:color="auto" w:fill="FFFFFF"/>
            <w:tcMar>
              <w:top w:w="60" w:type="dxa"/>
              <w:left w:w="75" w:type="dxa"/>
              <w:bottom w:w="60" w:type="dxa"/>
              <w:right w:w="75" w:type="dxa"/>
            </w:tcMar>
          </w:tcPr>
          <w:p w14:paraId="4E3A538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Ar tiekėjas turės teisę vienašališkai nutraukti sutartį be jokių sankcijų, jeigu Pirkimo techninės specifikacijos 3.9 p. nurodyto (-ų) susitarimo (-ų) susitarimų sąlygos tiekėjui nebus priimtinos?</w:t>
            </w:r>
          </w:p>
        </w:tc>
        <w:tc>
          <w:tcPr>
            <w:tcW w:w="4241" w:type="dxa"/>
            <w:shd w:val="clear" w:color="auto" w:fill="FFFFFF"/>
            <w:tcMar>
              <w:top w:w="60" w:type="dxa"/>
              <w:left w:w="75" w:type="dxa"/>
              <w:bottom w:w="60" w:type="dxa"/>
              <w:right w:w="75" w:type="dxa"/>
            </w:tcMar>
          </w:tcPr>
          <w:p w14:paraId="2EA296D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Ne, tiekėjas neturės teisės vienašališkai nutraukti sutarties be pasekmių vien dėl to, kad jam nebus priimtinos atskirų susitarimų sąlygos. Kaip nurodyta Techninės specifikacijos 3.9 punkte ir sutarties specialiųjų sąlygų 10.1.3 punkte, susitarimo (-ų) sudarymas ir jų įgyvendinimas yra laikomas esmine sutarties sąlyga. Todėl tiekėjas, teikdamas pasiūlymą, prisiima įsipareigojimą bendradarbiauti ir siekti tinkamo susitarimo (-ų) įgyvendinimo. Kitu atveju, sutarties nevykdymas galės būti traktuojamas kaip esminis sutarties pažeidimas, dėl kurio gali būti taikomos sankcijos, numatytos sutartyje.</w:t>
            </w:r>
          </w:p>
        </w:tc>
      </w:tr>
      <w:tr w:rsidR="00A657B6" w:rsidRPr="00AC0F92" w14:paraId="780E9A57" w14:textId="77777777" w:rsidTr="00772E25">
        <w:tc>
          <w:tcPr>
            <w:tcW w:w="845" w:type="dxa"/>
            <w:shd w:val="clear" w:color="auto" w:fill="FFFFFF"/>
            <w:tcMar>
              <w:top w:w="60" w:type="dxa"/>
              <w:left w:w="75" w:type="dxa"/>
              <w:bottom w:w="60" w:type="dxa"/>
              <w:right w:w="75" w:type="dxa"/>
            </w:tcMar>
          </w:tcPr>
          <w:p w14:paraId="16E12E31"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 xml:space="preserve">2. </w:t>
            </w:r>
          </w:p>
        </w:tc>
        <w:tc>
          <w:tcPr>
            <w:tcW w:w="4537" w:type="dxa"/>
            <w:shd w:val="clear" w:color="auto" w:fill="FFFFFF"/>
            <w:tcMar>
              <w:top w:w="60" w:type="dxa"/>
              <w:left w:w="75" w:type="dxa"/>
              <w:bottom w:w="60" w:type="dxa"/>
              <w:right w:w="75" w:type="dxa"/>
            </w:tcMar>
          </w:tcPr>
          <w:p w14:paraId="57B5C85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Tarptautinio viešojo pirkimo „(PU-13738/25) Stacionarių alkotesterių nuoma“ techninės specifikacijos 2 p. lentelės pirmame punkte nurodoma, kad „Stacionarūs alkotesteriai turi būti pagaminti Europos sąjungos valstybių narių arba draugiškų joms šalių.“ Atsižvelgiant į tai, prašome paaiškinti, kokios šalys nepatenka į techninės specifikacijos 2 p. lentelės pirmame punkte </w:t>
            </w:r>
            <w:r w:rsidRPr="00AC0F92">
              <w:rPr>
                <w:rFonts w:cstheme="minorHAnsi"/>
                <w:lang w:eastAsia="lt-LT"/>
              </w:rPr>
              <w:lastRenderedPageBreak/>
              <w:t>nurodomą „Europos sąjungos valstybių narių arba draugiškų joms šalių“ sąrašą.</w:t>
            </w:r>
          </w:p>
        </w:tc>
        <w:tc>
          <w:tcPr>
            <w:tcW w:w="4241" w:type="dxa"/>
            <w:shd w:val="clear" w:color="auto" w:fill="FFFFFF"/>
            <w:tcMar>
              <w:top w:w="60" w:type="dxa"/>
              <w:left w:w="75" w:type="dxa"/>
              <w:bottom w:w="60" w:type="dxa"/>
              <w:right w:w="75" w:type="dxa"/>
            </w:tcMar>
          </w:tcPr>
          <w:p w14:paraId="73D2C64E" w14:textId="77777777" w:rsidR="00A657B6" w:rsidRPr="00AC0F92" w:rsidRDefault="00A657B6" w:rsidP="00772E25">
            <w:pPr>
              <w:spacing w:after="150" w:line="240" w:lineRule="auto"/>
              <w:jc w:val="both"/>
              <w:rPr>
                <w:rFonts w:cstheme="minorHAnsi"/>
                <w:lang w:eastAsia="lt-LT"/>
              </w:rPr>
            </w:pPr>
            <w:r w:rsidRPr="00AC0F92">
              <w:rPr>
                <w:rFonts w:cstheme="minorHAnsi"/>
                <w:color w:val="000000" w:themeColor="text1"/>
              </w:rPr>
              <w:lastRenderedPageBreak/>
              <w:t xml:space="preserve">Tiekėjas turi </w:t>
            </w:r>
            <w:r w:rsidRPr="00AC0F92">
              <w:rPr>
                <w:rFonts w:cstheme="minorHAnsi"/>
              </w:rPr>
              <w:t>užtikrinti, kad siūlomų prekių kilmė nėra iš valstybių ar teritorijų, su kuriomis susijusiems pasiūlymams taikomos Lietuvos Respublikos viešųjų pirkimų įstatymo 45 straipsnio 2</w:t>
            </w:r>
            <w:r w:rsidRPr="00AC0F92">
              <w:rPr>
                <w:rFonts w:cstheme="minorHAnsi"/>
                <w:vertAlign w:val="superscript"/>
              </w:rPr>
              <w:t>1</w:t>
            </w:r>
            <w:r w:rsidRPr="00AC0F92">
              <w:rPr>
                <w:rFonts w:cstheme="minorHAnsi"/>
              </w:rPr>
              <w:t xml:space="preserve"> dalies nuostatos</w:t>
            </w:r>
            <w:r w:rsidRPr="00AC0F92">
              <w:rPr>
                <w:rFonts w:cstheme="minorHAnsi"/>
                <w:shd w:val="clear" w:color="auto" w:fill="FFFFFF"/>
              </w:rPr>
              <w:t>, s</w:t>
            </w:r>
            <w:r w:rsidRPr="00AC0F92">
              <w:rPr>
                <w:rFonts w:cstheme="minorHAnsi"/>
              </w:rPr>
              <w:t xml:space="preserve">ąraše, patvirtintame Lietuvos Respublikos Vyriausybės 2022 m. kovo 30 d. nutarimu Nr. 280 „Dėl Lietuvos Respublikos viešųjų pirkimų </w:t>
            </w:r>
            <w:r w:rsidRPr="00AC0F92">
              <w:rPr>
                <w:rFonts w:cstheme="minorHAnsi"/>
              </w:rPr>
              <w:lastRenderedPageBreak/>
              <w:t xml:space="preserve">įstatymo 92 straipsnio 13, 14 ir 15 dalių nuostatų įgyvendinimo bei vadovautis </w:t>
            </w:r>
            <w:bookmarkStart w:id="0" w:name="_Hlk151110786"/>
            <w:r w:rsidRPr="00AC0F92">
              <w:rPr>
                <w:rFonts w:cstheme="minorHAnsi"/>
              </w:rPr>
              <w:t> 2024 m. kovo 13 d. Lietuvos Respublikos Vyriausybės nutarimu Nr. 181 „Dėl Lietuvos Respublikos Vyriausybės 2022 m. kovo 30 d. nutarimo Nr. 280 „Dėl Lietuvos Respublikos viešųjų pirkimų įstatymo (VPĮ) 92 straipsnio 13, 14 ir 15 dalių nuostatų įgyvendinimo“ pakeitimo</w:t>
            </w:r>
            <w:bookmarkEnd w:id="0"/>
            <w:r w:rsidRPr="00AC0F92">
              <w:rPr>
                <w:rFonts w:cstheme="minorHAnsi"/>
              </w:rPr>
              <w:t>“.</w:t>
            </w:r>
          </w:p>
        </w:tc>
      </w:tr>
      <w:tr w:rsidR="00A657B6" w:rsidRPr="00AC0F92" w14:paraId="0E1961E5" w14:textId="77777777" w:rsidTr="00772E25">
        <w:tc>
          <w:tcPr>
            <w:tcW w:w="845" w:type="dxa"/>
            <w:shd w:val="clear" w:color="auto" w:fill="FFFFFF"/>
            <w:tcMar>
              <w:top w:w="60" w:type="dxa"/>
              <w:left w:w="75" w:type="dxa"/>
              <w:bottom w:w="60" w:type="dxa"/>
              <w:right w:w="75" w:type="dxa"/>
            </w:tcMar>
          </w:tcPr>
          <w:p w14:paraId="6343ED1F"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lastRenderedPageBreak/>
              <w:t xml:space="preserve">3. </w:t>
            </w:r>
          </w:p>
        </w:tc>
        <w:tc>
          <w:tcPr>
            <w:tcW w:w="4537" w:type="dxa"/>
            <w:shd w:val="clear" w:color="auto" w:fill="FFFFFF"/>
            <w:tcMar>
              <w:top w:w="60" w:type="dxa"/>
              <w:left w:w="75" w:type="dxa"/>
              <w:bottom w:w="60" w:type="dxa"/>
              <w:right w:w="75" w:type="dxa"/>
            </w:tcMar>
          </w:tcPr>
          <w:p w14:paraId="3FEC9F4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Prekių pirkimo – pardavimo sutarties specialiųjų sąlygų 9.10 p. nurodyta, kad „Jei Šaliai kyla nuostoliai dėl kitos Šalies kaltų veiksmų ir (ar) neveikimo tvarkant asmens duomenis, kaltoji Šalis privalo atlyginti kitos Šalies ir duomenų subjektų patirtus nuostolius.“</w:t>
            </w:r>
          </w:p>
          <w:p w14:paraId="73A7E2B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Nurodyta Prekių pirkimo – pardavimo sutarties specialiųjų sąlygų 9.10 p. sąlyga neriboja šalies atsakomybės nei tiesioginiais nuostoliais, nei konkrečia suma. Tokia neribota atsakomybė duomenų apsaugos tvarkymo srityje yra neproporcinga šalies iš sutarties gaunamai naudai, neatitinka daugelio tiekėjų vidaus politikos dėl komercinės rizikos vertinimo, todėl gali apriboti konkurenciją, nes faktiškai užkertą kelią pirkime dalyvauti daugeliui rizikas atsakingai vertinančių ūkio subjektų.</w:t>
            </w:r>
          </w:p>
          <w:p w14:paraId="0AB0E0C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nurodytą, siūlome Prekių pirkimo – pardavimo sutarties specialiųjų sąlygų 9.10 p. papildyti toliau nurodytu būdu: „Jei Šaliai kyla nuostoliai dėl kitos Šalies kaltų veiksmų ir (ar) neveikimo tvarkant asmens duomenis, kaltoji Šalis privalo atlyginti kitos Šalies ir duomenų subjektų patirtus tiesioginius nuostolius, kurių dydis negali viršyti 50 000 EUR sumos.“</w:t>
            </w:r>
          </w:p>
        </w:tc>
        <w:tc>
          <w:tcPr>
            <w:tcW w:w="4241" w:type="dxa"/>
            <w:shd w:val="clear" w:color="auto" w:fill="FFFFFF"/>
            <w:tcMar>
              <w:top w:w="60" w:type="dxa"/>
              <w:left w:w="75" w:type="dxa"/>
              <w:bottom w:w="60" w:type="dxa"/>
              <w:right w:w="75" w:type="dxa"/>
            </w:tcMar>
          </w:tcPr>
          <w:p w14:paraId="3EAC97A6" w14:textId="77777777" w:rsidR="00A657B6" w:rsidRPr="00AC0F92" w:rsidRDefault="00A657B6" w:rsidP="00772E25">
            <w:pPr>
              <w:jc w:val="both"/>
              <w:rPr>
                <w:rFonts w:cstheme="minorHAnsi"/>
                <w:lang w:eastAsia="lt-LT"/>
              </w:rPr>
            </w:pPr>
            <w:r w:rsidRPr="00AC0F92">
              <w:rPr>
                <w:rFonts w:cstheme="minorHAnsi"/>
                <w:lang w:eastAsia="lt-LT"/>
              </w:rPr>
              <w:t xml:space="preserve">Perkančioji organizacija nesutinka keisti nurodytų sutarties specialiųjų sąlygų 9.10 p. ir 14.2.8 p. nuostatų, apsiribojant kitos Šalies ir duomenų subjektų patirtais tiesioginiais nuostoliais, kurių dydis negali viršyti 50 000 EUR sumos. Tokia nuostata prieštarautų Bendrojo duomenų apsaugos reglamento (BDAR) 82 straipsnio 1 daliai. BDAR aiškiai nustato, kad bet kuris asmuo, patyręs žalą dėl BDAR pažeidimo, turi teisę į visišką žalos atlyginimą iš duomenų valdytojo ar tvarkytojo. Iš anksto riboti atsakomybę konkrečia suma būtų neteisėta, nes tai reikštų duomenų subjektų teisių apribojimą, kas nėra leistina. Atsakomybė pagal nurodytus punktus kyla tik kaltės pagrindu, todėl šalis, kuri laikosi BDAR reikalavimų, neprisiima perteklinės rizikos. Be to, atsakomybės </w:t>
            </w:r>
            <w:proofErr w:type="spellStart"/>
            <w:r w:rsidRPr="00AC0F92">
              <w:rPr>
                <w:rFonts w:cstheme="minorHAnsi"/>
                <w:lang w:eastAsia="lt-LT"/>
              </w:rPr>
              <w:t>neribojimas</w:t>
            </w:r>
            <w:proofErr w:type="spellEnd"/>
            <w:r w:rsidRPr="00AC0F92">
              <w:rPr>
                <w:rFonts w:cstheme="minorHAnsi"/>
                <w:lang w:eastAsia="lt-LT"/>
              </w:rPr>
              <w:t xml:space="preserve"> motyvuoja tiekėjus atsakingai tvarkyti asmens duomenis ir užtikrina realią teisių apsaugą žalos atveju. Todėl sutarties sąlyga lieka nepakeista. </w:t>
            </w:r>
          </w:p>
          <w:p w14:paraId="7E429537" w14:textId="77777777" w:rsidR="00A657B6" w:rsidRPr="00AC0F92" w:rsidRDefault="00A657B6" w:rsidP="00772E25">
            <w:pPr>
              <w:rPr>
                <w:rFonts w:cstheme="minorHAnsi"/>
                <w:lang w:eastAsia="lt-LT"/>
              </w:rPr>
            </w:pPr>
          </w:p>
          <w:p w14:paraId="5B635DFC" w14:textId="77777777" w:rsidR="00A657B6" w:rsidRPr="00AC0F92" w:rsidRDefault="00A657B6" w:rsidP="00772E25">
            <w:pPr>
              <w:rPr>
                <w:rFonts w:cstheme="minorHAnsi"/>
                <w:lang w:eastAsia="lt-LT"/>
              </w:rPr>
            </w:pPr>
          </w:p>
        </w:tc>
      </w:tr>
      <w:tr w:rsidR="00A657B6" w:rsidRPr="00AC0F92" w14:paraId="54127082" w14:textId="77777777" w:rsidTr="00772E25">
        <w:tc>
          <w:tcPr>
            <w:tcW w:w="845" w:type="dxa"/>
            <w:shd w:val="clear" w:color="auto" w:fill="FFFFFF"/>
            <w:tcMar>
              <w:top w:w="60" w:type="dxa"/>
              <w:left w:w="75" w:type="dxa"/>
              <w:bottom w:w="60" w:type="dxa"/>
              <w:right w:w="75" w:type="dxa"/>
            </w:tcMar>
          </w:tcPr>
          <w:p w14:paraId="7ECD3D65"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4.</w:t>
            </w:r>
          </w:p>
        </w:tc>
        <w:tc>
          <w:tcPr>
            <w:tcW w:w="4537" w:type="dxa"/>
            <w:shd w:val="clear" w:color="auto" w:fill="FFFFFF"/>
            <w:tcMar>
              <w:top w:w="60" w:type="dxa"/>
              <w:left w:w="75" w:type="dxa"/>
              <w:bottom w:w="60" w:type="dxa"/>
              <w:right w:w="75" w:type="dxa"/>
            </w:tcMar>
          </w:tcPr>
          <w:p w14:paraId="22B9362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Prekių pirkimo – pardavimo sutarties specialiųjų sąlygų 14.2.8 p. nurodyta, kad „Jei Šaliai kyla nuostoliai dėl kitos Šalies kaltų veiksmų ir (ar) neveikimo tvarkant asmens duomenis, kaltoji Šalis privalo atlyginti kitos Šalies ir duomenų subjektų patirtus nuostolius.“</w:t>
            </w:r>
          </w:p>
          <w:p w14:paraId="365FC77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Nurodyta Prekių pirkimo – pardavimo sutarties specialiųjų sąlygų 14.2.8 p. sąlyga neriboja šalies atsakomybės nei tiesioginiais nuostoliais, nei konkrečia suma. Tokia neribota atsakomybė duomenų apsaugos tvarkymo srityje yra </w:t>
            </w:r>
            <w:r w:rsidRPr="00AC0F92">
              <w:rPr>
                <w:rFonts w:cstheme="minorHAnsi"/>
                <w:lang w:eastAsia="lt-LT"/>
              </w:rPr>
              <w:lastRenderedPageBreak/>
              <w:t>neproporcinga šalies iš sutarties gaunamai naudai, neatitinka daugelio tiekėjų vidaus politikos dėl komercinės rizikos vertinimo, todėl gali apriboti konkurenciją, nes faktiškai užkertą kelią pirkime dalyvauti daugeliui rizikas atsakingai vertinančių ūkio subjektų.</w:t>
            </w:r>
          </w:p>
          <w:p w14:paraId="1373204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nurodytą, siūlome Prekių pirkimo – pardavimo sutarties specialiųjų sąlygų 14.2.8 p. papildyti toliau nurodytu būdu: „Jei Šaliai kyla nuostoliai dėl kitos Šalies kaltų veiksmų ir (ar) neveikimo tvarkant asmens duomenis, kaltoji Šalis privalo atlyginti kitos Šalies ir duomenų subjektų patirtus tiesioginius nuostolius, kurių dydis negali viršyti 50 000 EUR sumos.“</w:t>
            </w:r>
          </w:p>
        </w:tc>
        <w:tc>
          <w:tcPr>
            <w:tcW w:w="4241" w:type="dxa"/>
            <w:shd w:val="clear" w:color="auto" w:fill="FFFFFF"/>
            <w:tcMar>
              <w:top w:w="60" w:type="dxa"/>
              <w:left w:w="75" w:type="dxa"/>
              <w:bottom w:w="60" w:type="dxa"/>
              <w:right w:w="75" w:type="dxa"/>
            </w:tcMar>
          </w:tcPr>
          <w:p w14:paraId="42A92E2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Žiūrėti į atsakymą į 3 klausimą</w:t>
            </w:r>
          </w:p>
          <w:p w14:paraId="6F5CBED9" w14:textId="77777777" w:rsidR="00A657B6" w:rsidRPr="00AC0F92" w:rsidRDefault="00A657B6" w:rsidP="00772E25">
            <w:pPr>
              <w:spacing w:after="150" w:line="240" w:lineRule="auto"/>
              <w:jc w:val="both"/>
              <w:rPr>
                <w:rFonts w:cstheme="minorHAnsi"/>
                <w:lang w:eastAsia="lt-LT"/>
              </w:rPr>
            </w:pPr>
          </w:p>
        </w:tc>
      </w:tr>
      <w:tr w:rsidR="00A657B6" w:rsidRPr="00AC0F92" w14:paraId="16F0516C" w14:textId="77777777" w:rsidTr="00772E25">
        <w:tc>
          <w:tcPr>
            <w:tcW w:w="845" w:type="dxa"/>
            <w:shd w:val="clear" w:color="auto" w:fill="FFFFFF"/>
            <w:tcMar>
              <w:top w:w="60" w:type="dxa"/>
              <w:left w:w="75" w:type="dxa"/>
              <w:bottom w:w="60" w:type="dxa"/>
              <w:right w:w="75" w:type="dxa"/>
            </w:tcMar>
          </w:tcPr>
          <w:p w14:paraId="627317CC"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5.</w:t>
            </w:r>
          </w:p>
        </w:tc>
        <w:tc>
          <w:tcPr>
            <w:tcW w:w="4537" w:type="dxa"/>
            <w:shd w:val="clear" w:color="auto" w:fill="FFFFFF"/>
            <w:tcMar>
              <w:top w:w="60" w:type="dxa"/>
              <w:left w:w="75" w:type="dxa"/>
              <w:bottom w:w="60" w:type="dxa"/>
              <w:right w:w="75" w:type="dxa"/>
            </w:tcMar>
          </w:tcPr>
          <w:p w14:paraId="7464CE8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10 priedo 5 p 4 d. nurodoma, kad perkančiajai organizacijai paprašius, tiekėjas įsipareigoja pateikti siūlomų prekių (įskaitant jų sudedamąsias dalis, pakuotes) gamintojus ir(ar) paslaugoms ir(ar) darbams atlikti naudojamų medžiagų/prekių (įskaitant jų sudedamąsias dalis, pakuotes) kilmę įrodančius dokumentus: prekių/medžiagų (įskaitant jų sudedamąsias dalis, pakuotes) kilmės sertifikatus ar gamintojų deklaracijas, ar kitus dokumentus, patvirtinančius įsigyjamų prekių/medžiagų kilmę.</w:t>
            </w:r>
          </w:p>
          <w:p w14:paraId="5A537CE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tai, prašome paaiškinti:</w:t>
            </w:r>
          </w:p>
          <w:p w14:paraId="4FEAEFB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 Ką konkrečiai laikyti „sudedamosiomis dalimis“ – ar tai apima tik technologiškai svarbias dalis (jei taip, prašome konkrečiai nurodyti kokias), ar ir smulkesnius komponentus (pvz., varžtus, lipdukus, pakuotės etiketes)?</w:t>
            </w:r>
          </w:p>
          <w:p w14:paraId="02FA7AB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Prašome paaiškinti, kokie „kiti dokumentai“ bus laikomi tinkamais įrodyti siūlomų prekių ir medžiagų (įskaitant sudedamąsias dalis ir pakuotes) kilmę.</w:t>
            </w:r>
          </w:p>
        </w:tc>
        <w:tc>
          <w:tcPr>
            <w:tcW w:w="4241" w:type="dxa"/>
            <w:shd w:val="clear" w:color="auto" w:fill="FFFFFF"/>
            <w:tcMar>
              <w:top w:w="60" w:type="dxa"/>
              <w:left w:w="75" w:type="dxa"/>
              <w:bottom w:w="60" w:type="dxa"/>
              <w:right w:w="75" w:type="dxa"/>
            </w:tcMar>
          </w:tcPr>
          <w:p w14:paraId="5E41E23E" w14:textId="77777777" w:rsidR="00A657B6" w:rsidRPr="00AC0F92" w:rsidRDefault="00A657B6" w:rsidP="00772E25">
            <w:pPr>
              <w:spacing w:after="0" w:line="240" w:lineRule="auto"/>
              <w:jc w:val="both"/>
              <w:rPr>
                <w:rFonts w:cstheme="minorHAnsi"/>
                <w:lang w:eastAsia="lt-LT"/>
              </w:rPr>
            </w:pPr>
            <w:r w:rsidRPr="00AC0F92">
              <w:rPr>
                <w:rFonts w:cstheme="minorHAnsi"/>
                <w:lang w:eastAsia="lt-LT"/>
              </w:rPr>
              <w:t>Pirkime Prekės sudedamosios dalys laikoma:</w:t>
            </w:r>
          </w:p>
          <w:p w14:paraId="20914DBA" w14:textId="77777777" w:rsidR="00A657B6" w:rsidRPr="00AC0F92" w:rsidRDefault="00A657B6" w:rsidP="00772E25">
            <w:pPr>
              <w:spacing w:after="0" w:line="240" w:lineRule="auto"/>
              <w:jc w:val="both"/>
              <w:rPr>
                <w:rFonts w:cstheme="minorHAnsi"/>
                <w:lang w:eastAsia="lt-LT"/>
              </w:rPr>
            </w:pPr>
            <w:r w:rsidRPr="00AC0F92">
              <w:rPr>
                <w:rFonts w:cstheme="minorHAnsi"/>
                <w:lang w:eastAsia="lt-LT"/>
              </w:rPr>
              <w:t xml:space="preserve"> Pagrindinė plokštė, Programinė įranga, Jutiklis, Ryšio perdavimo įranga, Korpusas.  </w:t>
            </w:r>
          </w:p>
          <w:p w14:paraId="015FA3F4" w14:textId="77777777" w:rsidR="00A657B6" w:rsidRPr="00AC0F92" w:rsidRDefault="00A657B6" w:rsidP="00772E25">
            <w:pPr>
              <w:spacing w:after="0" w:line="240" w:lineRule="auto"/>
              <w:jc w:val="both"/>
              <w:rPr>
                <w:rFonts w:cstheme="minorHAnsi"/>
                <w:highlight w:val="yellow"/>
                <w:lang w:eastAsia="lt-LT"/>
              </w:rPr>
            </w:pPr>
          </w:p>
          <w:p w14:paraId="4D2170C7" w14:textId="77777777" w:rsidR="00A657B6" w:rsidRPr="00AC0F92" w:rsidRDefault="00A657B6" w:rsidP="00772E25">
            <w:pPr>
              <w:jc w:val="both"/>
              <w:rPr>
                <w:rFonts w:cstheme="minorHAnsi"/>
                <w:lang w:eastAsia="lt-LT"/>
              </w:rPr>
            </w:pPr>
            <w:r w:rsidRPr="00AC0F92">
              <w:rPr>
                <w:rFonts w:cstheme="minorHAnsi"/>
                <w:lang w:eastAsia="lt-LT"/>
              </w:rPr>
              <w:t xml:space="preserve">Kitais dokumentais laikomi bet kurie kiti dokumentai, nenurodyti Pirkimo sąlygų 10 priede, kuriais tiekėjas gali pagrįsti siūlomų prekių ir medžiagų (įskaitant sudedamąsias dalis ir pakuotes) kilmę. </w:t>
            </w:r>
          </w:p>
        </w:tc>
      </w:tr>
      <w:tr w:rsidR="00A657B6" w:rsidRPr="00AC0F92" w14:paraId="0F3D61F5" w14:textId="77777777" w:rsidTr="00772E25">
        <w:tc>
          <w:tcPr>
            <w:tcW w:w="845" w:type="dxa"/>
            <w:shd w:val="clear" w:color="auto" w:fill="FFFFFF"/>
            <w:tcMar>
              <w:top w:w="60" w:type="dxa"/>
              <w:left w:w="75" w:type="dxa"/>
              <w:bottom w:w="60" w:type="dxa"/>
              <w:right w:w="75" w:type="dxa"/>
            </w:tcMar>
          </w:tcPr>
          <w:p w14:paraId="1C7053FC"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6.</w:t>
            </w:r>
          </w:p>
        </w:tc>
        <w:tc>
          <w:tcPr>
            <w:tcW w:w="4537" w:type="dxa"/>
            <w:shd w:val="clear" w:color="auto" w:fill="FFFFFF"/>
            <w:tcMar>
              <w:top w:w="60" w:type="dxa"/>
              <w:left w:w="75" w:type="dxa"/>
              <w:bottom w:w="60" w:type="dxa"/>
              <w:right w:w="75" w:type="dxa"/>
            </w:tcMar>
          </w:tcPr>
          <w:p w14:paraId="1C52A36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Tarptautinio viešojo pirkimo „(PU-13738/25) Stacionarių alkotesterių nuoma“ sąlygų 11 priedo 7.3 p. nurodyta, kad „Nepaisant to, ar prašymą pateikti informaciją, įskaitant ir duomenų subjektų teisių įgyvendinimą, gavo Duomenų tvarkytojas ar Duomenų valdytojas, Duomenų tvarkytojas įsipareigoja neatlygintinai, laiku ir tiek, kiek yra reikalinga, padėti Duomenų </w:t>
            </w:r>
            <w:r w:rsidRPr="00AC0F92">
              <w:rPr>
                <w:rFonts w:cstheme="minorHAnsi"/>
                <w:lang w:eastAsia="lt-LT"/>
              </w:rPr>
              <w:lastRenderedPageBreak/>
              <w:t>valdytojui parengti atsakymą ir, jei reikalinga, įvykdyti susijusius reikalavimus.“</w:t>
            </w:r>
          </w:p>
          <w:p w14:paraId="2954148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Atkreipiame dėmesį, kad Bendrasis duomenų apsaugos reglamentas iš duomenų tvarkytojo tokios apimties atsakomybės, kokia ji nurodyta aptariamoje nuostatoje, už subjektų teisių įgyvendinimą nereikalauja. Aptariama nuostata nepagrįstai išplečia duomenų tvarkytojo atsakomybės už subjektų teisių įgyvendinimą apimtį.</w:t>
            </w:r>
          </w:p>
          <w:p w14:paraId="19A4D5B7"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tai, siūlome Tarptautinio viešojo pirkimo „(PU-13738/25) Stacionarių alkotesterių nuoma“ sąlygų 11 priedo 7.3 p. sąlyga pildyti toliau nurodytu būdu:</w:t>
            </w:r>
          </w:p>
          <w:p w14:paraId="63A7905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„7.3. Nepaisant to, ar prašymą pateikti informaciją, įskaitant ir duomenų subjektų teisių įgyvendinimą, gavo Duomenų tvarkytojas ar Duomenų valdytojas, Duomenų tvarkytojas įsipareigoja neatlygintinai, laiku ir tiek, kiek yra protinga pagal savo turimas technines priemones, padėti Duomenų valdytojui rengiant atsakymą. Šalys patvirtina savo supratimą, kad už galutinį atsakymą duomenų subjektams ir/ar institucijoms visada yra atsakingas duomenų valdytojas.“</w:t>
            </w:r>
          </w:p>
          <w:p w14:paraId="2E584E2A"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Pakeitus Tarptautinio viešojo pirkimo „(PU-13738/25) Stacionarių alkotesterių nuoma“ sąlygų 11 priedo 7.3 p. tiekėjo prašomu būdu, atitinkamai prašome su šiuo pakeistu punktu suderinti pirkimo sąlygų 11 priedo 6.10 p. (kuris atkartoja 7.3 p.), taip pat 6.3 p. numatant, kad už visus duomenų subjektų atsakymus ir raštus institucijoms yra atsakingas ir juos rengia duomenų valdytojas.</w:t>
            </w:r>
          </w:p>
        </w:tc>
        <w:tc>
          <w:tcPr>
            <w:tcW w:w="4241" w:type="dxa"/>
            <w:shd w:val="clear" w:color="auto" w:fill="FFFFFF"/>
            <w:tcMar>
              <w:top w:w="60" w:type="dxa"/>
              <w:left w:w="75" w:type="dxa"/>
              <w:bottom w:w="60" w:type="dxa"/>
              <w:right w:w="75" w:type="dxa"/>
            </w:tcMar>
          </w:tcPr>
          <w:p w14:paraId="0CBB79D4"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 xml:space="preserve">Perkančioji organizacija nekeis Tarptautinio viešojo pirkimo „(PU-13738/25) Stacionarių alkotesterių nuoma“ sąlygų 11 priedo 7.3 p. redakcijos. Pirkimo sąlygose nustatyta pareiga duomenų tvarkytojui – padėti duomenų valdytojui įgyvendinti duomenų subjektų teises – visiškai atitinka Europos Sąjungos Bendrojo duomenų apsaugos reglamento </w:t>
            </w:r>
            <w:r w:rsidRPr="00AC0F92">
              <w:rPr>
                <w:rFonts w:cstheme="minorHAnsi"/>
                <w:lang w:eastAsia="lt-LT"/>
              </w:rPr>
              <w:lastRenderedPageBreak/>
              <w:t>(BDAR) 28 straipsnio 3 dalies e punktą. Pagal šią nuostatą duomenų tvarkytojas, atsižvelgdamas į duomenų tvarkymo pobūdį, privalo taikyti tinkamas technines ir organizacines priemones bei padėti duomenų valdytojui įvykdyti pareigas, susijusias su duomenų subjektų teisėmis. Pažymime, kad duomenų tvarkytojo atsakomybė pagal minėtą pirkimo sąlygą neperžengia BDAR nustatytų reikalavimų – atvirkščiai, ji įtvirtina praktinį bendradarbiavimo mechanizmą tarp duomenų valdytojo ir tvarkytojo, kuris yra būtinas užtikrinti savalaikį atsakymų rengimą, kai prašymai dėl duomenų subjektų teisių įgyvendinimo yra gauti bet kurioje iš šalių. Atsižvelgiant į tai, kad duomenų tvarkytojas šiuo atveju turi tiesioginę prieigą prie tvarkomų asmens duomenų (techninėje įrangoje ar jos valdymo sistemoje), jo vaidmuo yra esminis praktiniam atsakymų parengimui.</w:t>
            </w:r>
          </w:p>
        </w:tc>
      </w:tr>
      <w:tr w:rsidR="00A657B6" w:rsidRPr="00AC0F92" w14:paraId="7324EEF4" w14:textId="77777777" w:rsidTr="00772E25">
        <w:tc>
          <w:tcPr>
            <w:tcW w:w="845" w:type="dxa"/>
            <w:shd w:val="clear" w:color="auto" w:fill="FFFFFF"/>
            <w:tcMar>
              <w:top w:w="60" w:type="dxa"/>
              <w:left w:w="75" w:type="dxa"/>
              <w:bottom w:w="60" w:type="dxa"/>
              <w:right w:w="75" w:type="dxa"/>
            </w:tcMar>
          </w:tcPr>
          <w:p w14:paraId="40E3A05D"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7.</w:t>
            </w:r>
          </w:p>
        </w:tc>
        <w:tc>
          <w:tcPr>
            <w:tcW w:w="4537" w:type="dxa"/>
            <w:shd w:val="clear" w:color="auto" w:fill="FFFFFF"/>
            <w:tcMar>
              <w:top w:w="60" w:type="dxa"/>
              <w:left w:w="75" w:type="dxa"/>
              <w:bottom w:w="60" w:type="dxa"/>
              <w:right w:w="75" w:type="dxa"/>
            </w:tcMar>
          </w:tcPr>
          <w:p w14:paraId="778BD7A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11 priedo 8 p. „Pagalbiniai tvarkytojai“ nuostatos yra tokios, kurių objektyviai neįmanoma įgyvendinti šiuolaikinėje duomenų tvarkymo praktikoje, ypač kai paslaugos teikiamos naudojantis didžiųjų technologijų bendrovių, tokių kaip „Google“, debesijos infrastruktūra ar kita standartizuota paslauga:</w:t>
            </w:r>
          </w:p>
          <w:p w14:paraId="4ADC8FD6"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1) Tiekėjas neturi objektyvių galimybių derinti tokių paslaugų teikėjų kaip „Google“, „Microsoft“ </w:t>
            </w:r>
            <w:r w:rsidRPr="00AC0F92">
              <w:rPr>
                <w:rFonts w:cstheme="minorHAnsi"/>
                <w:lang w:eastAsia="lt-LT"/>
              </w:rPr>
              <w:lastRenderedPageBreak/>
              <w:t xml:space="preserve">ar „Amazon </w:t>
            </w:r>
            <w:proofErr w:type="spellStart"/>
            <w:r w:rsidRPr="00AC0F92">
              <w:rPr>
                <w:rFonts w:cstheme="minorHAnsi"/>
                <w:lang w:eastAsia="lt-LT"/>
              </w:rPr>
              <w:t>Web</w:t>
            </w:r>
            <w:proofErr w:type="spellEnd"/>
            <w:r w:rsidRPr="00AC0F92">
              <w:rPr>
                <w:rFonts w:cstheme="minorHAnsi"/>
                <w:lang w:eastAsia="lt-LT"/>
              </w:rPr>
              <w:t xml:space="preserve"> </w:t>
            </w:r>
            <w:proofErr w:type="spellStart"/>
            <w:r w:rsidRPr="00AC0F92">
              <w:rPr>
                <w:rFonts w:cstheme="minorHAnsi"/>
                <w:lang w:eastAsia="lt-LT"/>
              </w:rPr>
              <w:t>Services</w:t>
            </w:r>
            <w:proofErr w:type="spellEnd"/>
            <w:r w:rsidRPr="00AC0F92">
              <w:rPr>
                <w:rFonts w:cstheme="minorHAnsi"/>
                <w:lang w:eastAsia="lt-LT"/>
              </w:rPr>
              <w:t>“ sutarčių sąlygų, todėl reikalavimas nustatyti „tokias pačias“ asmens duomenų apsaugos prievoles, kaip ir numatyta sutartyje, objektyviai neįmanomas įgyvendinti ir pažeidžia bendrąjį teisės principą, draudžiantį reikalauti to, kas neįmanoma.</w:t>
            </w:r>
          </w:p>
          <w:p w14:paraId="0A86D5E5"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2) Aptariamas pirkimo sąlygų 11 priedo 8 p. nepagrįstai riboja konkurenciją, nes faktiškai užkerta kelią pirkime dalyvauti daugeliui rizikas atsakingai vertinančių ūkio subjektų, kurie negali prisiimti neribotos atsakomybės už trečiųjų šalių veiksmus, kuriems jie neturi realios įtakos.</w:t>
            </w:r>
          </w:p>
          <w:p w14:paraId="71C85AC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nurodytą, Tarptautinio viešojo pirkimo „(PU-13738/25) Stacionarių alkotesterių nuoma“ sąlygų 11 priedo 8 p. „Pagalbiniai tvarkytojai“ nuostatas prašome pakeisti toliau nurodytu būdu:</w:t>
            </w:r>
          </w:p>
          <w:p w14:paraId="2E50558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 Asmens duomenų tvarkymui pagal šią Sutartį, Pagalbinių tvarkytojų, kurie įsisteigę ne ES/EEE teritorijoje arba EK adekvatumo pripažinimą turinčiose šalyse, pasitelkimui Duomenų tvarkytojui bus reikalingas išankstinis Duomenų valdytojo sutikimas, kuris suteikiamas tik Duomenų tvarkytojui patvirtinus, jog tokio perdavimo atveju bus taikomos priemonės, kurios užtikrins to paties lygio Asmens duomenų saugumą kaip Europos ekonominėje erdvėje. Duomenų tvarkytojui suteikiamas išankstinis bendras leidimas pasitelkti Pagalbinius tvarkytojus, įsteigtus ES/EE teritorijoje arba EK adekvatumo pripažinimą turinčiose šalyse.</w:t>
            </w:r>
          </w:p>
          <w:p w14:paraId="5AEEA510"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2) Duomenų tvarkytojas raštu informuoja duomenų valdytoją apie bet kokius numatomus pakeitimus, susijusius su Pagalbinių duomenų tvarkytojų pasitelkimu ar pakeitimu bent jau likus 5 d. d. iki planuojamo pasitelkimo dienos, tokiu būdu Duomenų valdytojui suteikiant galimybę prieštarauti tokiems pakeitimams iki atitinkamo (-ų) Pagalbinio (-ų) duomenų tvarkytojo(-ų) pasitelkimo.</w:t>
            </w:r>
          </w:p>
          <w:p w14:paraId="103F426A"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3) Duomenų tvarkytojas yra atsakingas už reikalavimą, kad Pagalbinis tvarkytojas laikytųsi ne mažesnę apsaugą suteikiančių pareigų, kurios Duomenų tvarkytojui taikomos pagal Sutartį.</w:t>
            </w:r>
          </w:p>
          <w:p w14:paraId="65E389B0"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4) Duomenų tvarkytojas prisiima atsakomybę už Pagalbinių tvarkytojų vykdomą Asmens duomenų tvarkymą.</w:t>
            </w:r>
          </w:p>
          <w:p w14:paraId="65261315"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5) Sąlygų ar sutarties su Pagalbiniu duomenų tvarkytoju kopija ir jos vėlesni pakeitimai, Duomenų valdytojo prašymu, pateikiami Duomenų valdytojui. Duomenų valdytojui nėra privaloma pateikti Asmens duomenų tvarkymo sutarties dėl su verslu ar konfidencialia informacija susijusių nuostatų, kurios nedaro įtakos su Pagalbiniu duomenų tvarkytoju sudarytos sutarties teisinėms Asmens duomenų apsaugos sąlygoms.</w:t>
            </w:r>
          </w:p>
          <w:p w14:paraId="00B6E6E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Tuo atveju, jeigu Perkančioji organizacija spręstų, kad nėra pagrindo keisti Tarptautinio viešojo pirkimo „(PU- 13738/25) Stacionarių alkotesterių nuoma“ sąlygų 11 priedo 8 p. tiekėjo nurodomu būdu, prašome paaiškinti šiuos aptariamo punkto taikymo aspektus:</w:t>
            </w:r>
          </w:p>
          <w:p w14:paraId="03C59A7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 Kaip Duomenų tvarkytojas gali įvykdyti 8.5 p. reikalavimą informuoti pagalbinį duomenų tvarkytoją apie konkretaus duomenų valdytojo tapatybę ir kontaktinius duomenis, kai pagalbinis tvarkytojas (pvz., „Google“) veikia pagal standartines paslaugų teikimo sąlygas (T&amp;C) ir nenumato individualios komunikacijos kiekvienam galutiniam duomenų valdytojui?</w:t>
            </w:r>
          </w:p>
          <w:p w14:paraId="4EC49470"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2) Kaip Duomenų tvarkytojas turėtų užtikrinti, kad tokie pagalbiniai tvarkytojai kaip „Google“, veikiantys pagal standartines paslaugų teikimo sąlygas (T&amp;C), prisiimtų „tas pačias“ prievoles, kurios Duomenų tvarkytojui nustatytos šios Sutarties 8.4 p. ir kituose punktuose?</w:t>
            </w:r>
          </w:p>
        </w:tc>
        <w:tc>
          <w:tcPr>
            <w:tcW w:w="4241" w:type="dxa"/>
            <w:shd w:val="clear" w:color="auto" w:fill="FFFFFF"/>
            <w:tcMar>
              <w:top w:w="60" w:type="dxa"/>
              <w:left w:w="75" w:type="dxa"/>
              <w:bottom w:w="60" w:type="dxa"/>
              <w:right w:w="75" w:type="dxa"/>
            </w:tcMar>
          </w:tcPr>
          <w:p w14:paraId="667F68A8"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Pirkimo sąlygų 11 priedo 8 punkto nuostata dėl pagalbinių tvarkytojų yra parengta tiesiogiai vadovaujantis BDAR 28 straipsnio 4 dalimi, kuri numato, kad:</w:t>
            </w:r>
          </w:p>
          <w:p w14:paraId="40DED910"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„Kai duomenų tvarkytojas konkrečiai duomenų tvarkymo veiklai duomenų valdytojo vardu atlikti pasitelkia kitą duomenų tvarkytoją, sutartimi ar kitu teisės aktu [...] tam kitam duomenų tvarkytojui nustatomos tos pačios duomenų apsaugos prievolės, kaip ir prievolės, nustatytos 3 dalyje nurodytoje </w:t>
            </w:r>
            <w:r w:rsidRPr="00AC0F92">
              <w:rPr>
                <w:rFonts w:cstheme="minorHAnsi"/>
                <w:lang w:eastAsia="lt-LT"/>
              </w:rPr>
              <w:lastRenderedPageBreak/>
              <w:t>duomenų valdytojo ir duomenų tvarkytojo sutartyje“.</w:t>
            </w:r>
          </w:p>
          <w:p w14:paraId="403A0118"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Tai reiškia, kad pasitelkiant pagalbinius tvarkytojus privaloma užtikrinti, jog jie įgyvendins lygiavertes technines, organizacines bei teisinės atsakomybės priemones, kurios atitiktų pagrindinės duomenų tvarkymo sutarties reikalavimus. Ši nuostata nėra perteklinė ar perteklinė pirkimo sąlygų interpretacija – tai tiesioginis reglamento įgyvendinimas, privalomas visoms organizacijoms, vykdančioms asmens duomenų tvarkymą.</w:t>
            </w:r>
          </w:p>
          <w:p w14:paraId="0C48DE1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Suprantame Jūsų išsakytą susirūpinimą dėl galimybės įgyvendinti tokias pačias prievoles pagal paslaugų teikėjų („Google“, „Microsoft“, „Amazon </w:t>
            </w:r>
            <w:proofErr w:type="spellStart"/>
            <w:r w:rsidRPr="00AC0F92">
              <w:rPr>
                <w:rFonts w:cstheme="minorHAnsi"/>
                <w:lang w:eastAsia="lt-LT"/>
              </w:rPr>
              <w:t>Web</w:t>
            </w:r>
            <w:proofErr w:type="spellEnd"/>
            <w:r w:rsidRPr="00AC0F92">
              <w:rPr>
                <w:rFonts w:cstheme="minorHAnsi"/>
                <w:lang w:eastAsia="lt-LT"/>
              </w:rPr>
              <w:t xml:space="preserve"> </w:t>
            </w:r>
            <w:proofErr w:type="spellStart"/>
            <w:r w:rsidRPr="00AC0F92">
              <w:rPr>
                <w:rFonts w:cstheme="minorHAnsi"/>
                <w:lang w:eastAsia="lt-LT"/>
              </w:rPr>
              <w:t>Services</w:t>
            </w:r>
            <w:proofErr w:type="spellEnd"/>
            <w:r w:rsidRPr="00AC0F92">
              <w:rPr>
                <w:rFonts w:cstheme="minorHAnsi"/>
                <w:lang w:eastAsia="lt-LT"/>
              </w:rPr>
              <w:t>“ ir kt.) standartines sutartis (T&amp;C). Tačiau šis principas – užtikrinti duomenų apsaugos reikalavimų vientisumą per visus tvarkymo grandinės etapus – yra būtinas siekiant užtikrinti duomenų subjektų teises ir duomenų saugumą. Praktikoje tiekėjui rekomenduojama:</w:t>
            </w:r>
          </w:p>
          <w:p w14:paraId="627D1988"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 Atidžiai įvertinti standartinių paslaugų teikimo sąlygų (T&amp;C) atitiktį BDAR reikalavimams. Tai apima techninių ir organizacinių priemonių, duomenų apsaugos užtikrinimo bei atsakomybės klausimų vertinimą.</w:t>
            </w:r>
          </w:p>
          <w:p w14:paraId="744955F0"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2. Rengti papildomas sutartines nuostatas ar susitarimus su paslaugų teikėjais, jeigu tai leidžia jų politikos ir galimybės, siekiant aiškiai apibrėžti duomenų apsaugos reikalavimų įgyvendinimą ir atsakomybę.</w:t>
            </w:r>
          </w:p>
          <w:p w14:paraId="3C72C8B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3. Nuolat stebėti ir vertinti pagalbinių tvarkytojų veiklą bei įgyvendinti kontrolės mechanizmus.</w:t>
            </w:r>
          </w:p>
          <w:p w14:paraId="1A8B812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4. Informuoti duomenų valdytoją apie pasikeitimus pagalbinio tvarkytojo paslaugose ar sąlygose, suteikiant galimybę prieštarauti arba priimti sprendimus dėl tokio pasitelkimo.</w:t>
            </w:r>
          </w:p>
          <w:p w14:paraId="74E793F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Šios priemonės leidžia tiekėjui tinkamai valdyti rizikas, susijusias su pagalbiniais tvarkytojais, ir įgyvendinti BDAR reikalavimus netgi tuomet, </w:t>
            </w:r>
            <w:r w:rsidRPr="00AC0F92">
              <w:rPr>
                <w:rFonts w:cstheme="minorHAnsi"/>
                <w:lang w:eastAsia="lt-LT"/>
              </w:rPr>
              <w:lastRenderedPageBreak/>
              <w:t>kai paslaugos teikiamos pagal standartines sutartis.</w:t>
            </w:r>
          </w:p>
        </w:tc>
      </w:tr>
      <w:tr w:rsidR="00A657B6" w:rsidRPr="00AC0F92" w14:paraId="7A94BB37" w14:textId="77777777" w:rsidTr="00772E25">
        <w:tc>
          <w:tcPr>
            <w:tcW w:w="845" w:type="dxa"/>
            <w:shd w:val="clear" w:color="auto" w:fill="FFFFFF"/>
            <w:tcMar>
              <w:top w:w="60" w:type="dxa"/>
              <w:left w:w="75" w:type="dxa"/>
              <w:bottom w:w="60" w:type="dxa"/>
              <w:right w:w="75" w:type="dxa"/>
            </w:tcMar>
          </w:tcPr>
          <w:p w14:paraId="6AF000B2"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lastRenderedPageBreak/>
              <w:t xml:space="preserve">8. </w:t>
            </w:r>
          </w:p>
        </w:tc>
        <w:tc>
          <w:tcPr>
            <w:tcW w:w="4537" w:type="dxa"/>
            <w:shd w:val="clear" w:color="auto" w:fill="FFFFFF"/>
            <w:tcMar>
              <w:top w:w="60" w:type="dxa"/>
              <w:left w:w="75" w:type="dxa"/>
              <w:bottom w:w="60" w:type="dxa"/>
              <w:right w:w="75" w:type="dxa"/>
            </w:tcMar>
          </w:tcPr>
          <w:p w14:paraId="1457A8D3"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11 priedo 12.1 p. nuostatos neriboja duomenų tvarkytojo atsakomybės nei tiesioginiais nuostoliais, nei konkrečia suma.</w:t>
            </w:r>
          </w:p>
          <w:p w14:paraId="01F4596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Tokia neribota atsakomybė duomenų apsaugos tvarkymo srityje yra neproporcinga šalies iš sutarties gaunamai naudai, neatitinka daugelio tiekėjų vidaus politikos dėl komercinės rizikos vertinimo, todėl gali apriboti konkurenciją, nes </w:t>
            </w:r>
            <w:r w:rsidRPr="00AC0F92">
              <w:rPr>
                <w:rFonts w:cstheme="minorHAnsi"/>
                <w:lang w:eastAsia="lt-LT"/>
              </w:rPr>
              <w:lastRenderedPageBreak/>
              <w:t>faktiškai užkertą kelią pirkime dalyvauti daugeliui rizikas atsakingai vertinančių ūkio subjektų.</w:t>
            </w:r>
          </w:p>
          <w:p w14:paraId="1615B6F5"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nurodyta, siūlome Tarptautinio viešojo pirkimo „(PU-13738/25) Stacionarių alkotesterių nuoma“ sąlygų 11 priedo 12.1 p. papildyti toliau nurodytu būdu: „Duomenų tvarkytojas užtikrina, kad atlygins Duomenų valdytojui tiesioginius nuostolius, atsiradusius dėl pateiktų pretenzijų ir (ar) paskirtų baudų, taip pat bet kokius kitus tiesioginius nuostolius, atsiradusius dėl to, kad Duomenų tvarkytojas tvarko Asmens duomenis, pažeisdamas Sutarties sąlygas ir (ar) taikomų teisės aktų reikalavimus. Duomenų tvarkytojo atsakomybei pagal šią Sutartį taikomi Paslaugų sutarties specialiųjų sąlygų 9.10 p. bei 14.2.8 p. numatyti ribojimai.“</w:t>
            </w:r>
          </w:p>
        </w:tc>
        <w:tc>
          <w:tcPr>
            <w:tcW w:w="4241" w:type="dxa"/>
            <w:shd w:val="clear" w:color="auto" w:fill="FFFFFF"/>
            <w:tcMar>
              <w:top w:w="60" w:type="dxa"/>
              <w:left w:w="75" w:type="dxa"/>
              <w:bottom w:w="60" w:type="dxa"/>
              <w:right w:w="75" w:type="dxa"/>
            </w:tcMar>
          </w:tcPr>
          <w:p w14:paraId="5A188AE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 xml:space="preserve">Perkančioji organizacija nesutinka su siūlymu papildyti Tarptautinio viešojo pirkimo „(PU-13738/25) Stacionarių alkotesterių nuoma“ sąlygų 11 priedo 12.1 punkto formuluotę, nustatant duomenų tvarkytojo atsakomybės ribojimus. Pažymėtina, kad asmens duomenų tvarkymas yra reglamentuojamas tiesiogiai taikytinais teisės aktais, kurie įpareigoja tiek duomenų valdytojus, tiek duomenų tvarkytojus užtikrinti tinkamą asmens duomenų apsaugą. Duomenų tvarkytojas prisiima atsakomybę už savo veiksmus (ir </w:t>
            </w:r>
            <w:r w:rsidRPr="00AC0F92">
              <w:rPr>
                <w:rFonts w:cstheme="minorHAnsi"/>
                <w:lang w:eastAsia="lt-LT"/>
              </w:rPr>
              <w:lastRenderedPageBreak/>
              <w:t xml:space="preserve">galimai kilsiančias pasekmes) ir turi užtikrinti, kad duomenų tvarkymas būtų vykdomas teisėtai ir saugiai. Pažymėtina, kad galimos žalos, atsirandančios dėl duomenų apsaugos pažeidimų, mastas ir pobūdis negali būti iš anksto aiškiai apibrėžtas ar apribotas, todėl atsakomybės ribojimas šioje srityje būtų nepagrįstas ir neatitiktų BDAR.  Sutarties pagrindu gaunama komercinė nauda tiekėjui ir galimai padaryta žala asmenų privatumui ar kitiems duomenų apsaugos pažeidimams nėra tarpusavyje susiję dydžiai, todėl jų tapatinimas ir atsakomybės siejimas su gautina nauda yra nepagrįstas.  Atsakomybės </w:t>
            </w:r>
            <w:proofErr w:type="spellStart"/>
            <w:r w:rsidRPr="00AC0F92">
              <w:rPr>
                <w:rFonts w:cstheme="minorHAnsi"/>
                <w:lang w:eastAsia="lt-LT"/>
              </w:rPr>
              <w:t>neribojimas</w:t>
            </w:r>
            <w:proofErr w:type="spellEnd"/>
            <w:r w:rsidRPr="00AC0F92">
              <w:rPr>
                <w:rFonts w:cstheme="minorHAnsi"/>
                <w:lang w:eastAsia="lt-LT"/>
              </w:rPr>
              <w:t xml:space="preserve"> nėra kliūtis sąžiningai konkurencijai, nes visiems tiekėjams keliami vienodi reikalavimai, o reikalavimas prisiimti atsakomybę už neteisėtus veiksmus atitinka proporcingumo ir teisėtumo principus.</w:t>
            </w:r>
          </w:p>
        </w:tc>
      </w:tr>
      <w:tr w:rsidR="00A657B6" w:rsidRPr="00AC0F92" w14:paraId="3C696174" w14:textId="77777777" w:rsidTr="00772E25">
        <w:tc>
          <w:tcPr>
            <w:tcW w:w="845" w:type="dxa"/>
            <w:shd w:val="clear" w:color="auto" w:fill="FFFFFF"/>
            <w:tcMar>
              <w:top w:w="60" w:type="dxa"/>
              <w:left w:w="75" w:type="dxa"/>
              <w:bottom w:w="60" w:type="dxa"/>
              <w:right w:w="75" w:type="dxa"/>
            </w:tcMar>
          </w:tcPr>
          <w:p w14:paraId="36DF393F"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lastRenderedPageBreak/>
              <w:t>9.</w:t>
            </w:r>
          </w:p>
        </w:tc>
        <w:tc>
          <w:tcPr>
            <w:tcW w:w="4537" w:type="dxa"/>
            <w:shd w:val="clear" w:color="auto" w:fill="FFFFFF"/>
            <w:tcMar>
              <w:top w:w="60" w:type="dxa"/>
              <w:left w:w="75" w:type="dxa"/>
              <w:bottom w:w="60" w:type="dxa"/>
              <w:right w:w="75" w:type="dxa"/>
            </w:tcMar>
          </w:tcPr>
          <w:p w14:paraId="2CA400E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Tarptautinio viešojo pirkimo „(PU-13738/25) Stacionarių alkotesterių nuoma“ sąlygų 11 priedo </w:t>
            </w:r>
            <w:proofErr w:type="spellStart"/>
            <w:r w:rsidRPr="00AC0F92">
              <w:rPr>
                <w:rFonts w:cstheme="minorHAnsi"/>
                <w:lang w:eastAsia="lt-LT"/>
              </w:rPr>
              <w:t>priedo</w:t>
            </w:r>
            <w:proofErr w:type="spellEnd"/>
            <w:r w:rsidRPr="00AC0F92">
              <w:rPr>
                <w:rFonts w:cstheme="minorHAnsi"/>
                <w:lang w:eastAsia="lt-LT"/>
              </w:rPr>
              <w:t xml:space="preserve"> Nr. 2 (Techninės ir organizacinės saugumo priemonės) 1.6 p. ne tik kartoja Tarptautinio viešojo pirkimo „(PU- 13738/25) Stacionarių alkotesterių nuoma“ sąlygų 11 priedo 8 p., tačiau ir jam prieštarauja: aptariamo pirkimo sąlygų 11 priedo 8.4 p. nurodytas reikalavimas, kad „Pagalbiniam duomenų tvarkytojui atskira sutartimi nustatomos tos pačios Asmens duomenų apsaugos prievolės, kaip ir prievolės, nustatytos Sutartyje“. Tuo metu pirkimo sąlygų 11 priedo </w:t>
            </w:r>
            <w:proofErr w:type="spellStart"/>
            <w:r w:rsidRPr="00AC0F92">
              <w:rPr>
                <w:rFonts w:cstheme="minorHAnsi"/>
                <w:lang w:eastAsia="lt-LT"/>
              </w:rPr>
              <w:t>priedo</w:t>
            </w:r>
            <w:proofErr w:type="spellEnd"/>
            <w:r w:rsidRPr="00AC0F92">
              <w:rPr>
                <w:rFonts w:cstheme="minorHAnsi"/>
                <w:lang w:eastAsia="lt-LT"/>
              </w:rPr>
              <w:t xml:space="preserve"> Nr. 2 (Techninės ir organizacinės saugumo priemonės) 1.6 p. pateiktas reikalavimas gairėse ir procedūrose nustatyti ne žemesnį asmens duomenų saugumo lygį, koks yra numatytas Duomenų tvarkytojo saugumo politikoje. Atkreipiame dėmesį, kad sąvoka „ne žemesnis“ nėra tapati sąvokai „toks pats“, ir leidžia taikyti skirtingas (nebūtinai identiškas) apsaugos priemones, tai nesuderinama su aiškiu reikalavimu pagal 11 priedo 8.4 p. nustatyti pagalbiniam tvarkytojui tas pačias prievoles.</w:t>
            </w:r>
          </w:p>
          <w:p w14:paraId="2AC4522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Atsižvelgiant į tai, kad pagalbinių tvarkytojų pasitelkimas detaliai reglamentuotas Tarptautinio viešojo pirkimo „(PU-13738/25) Stacionarių alkotesterių nuoma“ sąlygų 11 priedo 8 p. (kurį tiekėjas prašo keisti), prašome arba pašalinti </w:t>
            </w:r>
            <w:r w:rsidRPr="00AC0F92">
              <w:rPr>
                <w:rFonts w:cstheme="minorHAnsi"/>
                <w:lang w:eastAsia="lt-LT"/>
              </w:rPr>
              <w:lastRenderedPageBreak/>
              <w:t>aptariamą sąlygą (nes ji yra perteklinė), arba ją suderinti su Tarptautinio viešojo pirkimo „(PU-13738/25) Stacionarių alkotesterių nuoma“ sąlygų 11 priedo 8 p. tokiu būdu, kad nebūtų prieštaravimų.</w:t>
            </w:r>
          </w:p>
        </w:tc>
        <w:tc>
          <w:tcPr>
            <w:tcW w:w="4241" w:type="dxa"/>
            <w:shd w:val="clear" w:color="auto" w:fill="FFFFFF"/>
            <w:tcMar>
              <w:top w:w="60" w:type="dxa"/>
              <w:left w:w="75" w:type="dxa"/>
              <w:bottom w:w="60" w:type="dxa"/>
              <w:right w:w="75" w:type="dxa"/>
            </w:tcMar>
          </w:tcPr>
          <w:p w14:paraId="4891462A"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Perkančioji organizacija nesutinka su tiekėjo siūlymu keisti ar pašalinti 11 priedo Nr. 2 (Techninės ir organizacinės saugumo priemonės) 1.6 punktą kaip perteklinį ar prieštaraujantį 11 priedo 8.4 punktui.</w:t>
            </w:r>
          </w:p>
          <w:p w14:paraId="083D8D7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Perkančioji organizacija nesutinka, kad sąvokos „ne žemesnis“ ir „toks pats“ būtų suprantamos kaip tarpusavyje prieštaraujančios. Reikalavimas užtikrinti „ne žemesnį“ saugumo lygį reiškia, kad pagalbiniams tvarkytojams taikomos priemonės turi būti lygiavertės efektyvumu, o ne identiškos forma. Tuo tarpu 8.4 punkte įtvirtinta prievolė nustatyti „tas pačias“ apsaugos prievoles reiškia turinio ir atsakomybės lygiavertiškumą, o ne techninių priemonių vienodumą. Todėl šios sąvokos viena kitai neprieštarauja.</w:t>
            </w:r>
          </w:p>
        </w:tc>
      </w:tr>
      <w:tr w:rsidR="00A657B6" w:rsidRPr="00AC0F92" w14:paraId="493A459C" w14:textId="77777777" w:rsidTr="00772E25">
        <w:tc>
          <w:tcPr>
            <w:tcW w:w="845" w:type="dxa"/>
            <w:shd w:val="clear" w:color="auto" w:fill="FFFFFF"/>
            <w:tcMar>
              <w:top w:w="60" w:type="dxa"/>
              <w:left w:w="75" w:type="dxa"/>
              <w:bottom w:w="60" w:type="dxa"/>
              <w:right w:w="75" w:type="dxa"/>
            </w:tcMar>
          </w:tcPr>
          <w:p w14:paraId="31CC7AB4"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10.</w:t>
            </w:r>
          </w:p>
        </w:tc>
        <w:tc>
          <w:tcPr>
            <w:tcW w:w="4537" w:type="dxa"/>
            <w:shd w:val="clear" w:color="auto" w:fill="FFFFFF"/>
            <w:tcMar>
              <w:top w:w="60" w:type="dxa"/>
              <w:left w:w="75" w:type="dxa"/>
              <w:bottom w:w="60" w:type="dxa"/>
              <w:right w:w="75" w:type="dxa"/>
            </w:tcMar>
          </w:tcPr>
          <w:p w14:paraId="0C8C23E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11 priedo 4.6 p. nurodoma, kad „Duomenų tvarkytojas įsipareigoja imtis ir kitų nei šioje Sutartyje ar Priede Nr. 2 nurodytų priemonių, kurios įtvirtintos taikomuose teisės aktuose bei priežiūros institucijos išleistose gairėse ar rekomendacijose ir kurios užtikrina ne mažesnį nei šioje Sutartyje numatytą Asmens duomenų saugumą, ypatingai, kai tai būtina užtikrinti tinkamo lygio saugumą, atitinkantį rizikos duomenų subjektų teisėms ir laisvėms laipsnį.“</w:t>
            </w:r>
          </w:p>
          <w:p w14:paraId="77495C6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Aptariama nuostata yra neproporcinga bei teisiškai neapibrėžta, kadangi:</w:t>
            </w:r>
          </w:p>
          <w:p w14:paraId="546BE52A"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 priežiūros institucijų gairės pagal savo prigimtį yra neprivalomo pobūdžio. Dabartinė nuostata iš esmės įpareigotų duomenų tvarkytoją įgyvendinti rekomendacijas, kurios nėra privalomos net duomenų valdytojui, o tai prieštarauja proporcingumo principui.</w:t>
            </w:r>
          </w:p>
          <w:p w14:paraId="4A436A2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2) Tarptautinio viešojo pirkimo „(PU-13738/25) Stacionarių alkotesterių nuoma“ sąlygų 11 priedo Priede Nr. 2 yra pateiktas konkretus techninių ir organizacinių saugumo priemonių sąrašas, kurį tiekėjas įsipareigoja įgyvendinti. Šis sąrašas objektyviai apibrėžia Pirkėjo laikomą tinkamu saugumo priemonių lygį šio pirkimo kontekste. Tuo tarpu 11 priedo 4.6 p. formuluotė faktiškai išplečia šį sąrašą, nustatydama pareigą vadovautis visomis priežiūros institucijų gairėmis ar rekomendacijomis, įskaitant tas, kurios Pirkimo dokumentuose nebuvo įvardytos. Taigi, tarp Tarptautinio viešojo pirkimo „(PU-13738/25) Stacionarių alkotesterių nuoma“ sąlygų 11 priedo 4.6 p. bei priedo Nr. 2 egzistuoja prieštaravimas.</w:t>
            </w:r>
          </w:p>
          <w:p w14:paraId="174D2C19"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3) Tarptautinio viešojo pirkimo „(PU-13738/25) Stacionarių alkotesterių nuoma“ sąlygų 11 priedo sąlygose nenumatyta, kad duomenų valdytojas kompensuotų duomenų tvarkytojui papildomas išlaidas, patirtas įgyvendinant naujas ar </w:t>
            </w:r>
            <w:r w:rsidRPr="00AC0F92">
              <w:rPr>
                <w:rFonts w:cstheme="minorHAnsi"/>
                <w:lang w:eastAsia="lt-LT"/>
              </w:rPr>
              <w:lastRenderedPageBreak/>
              <w:t>papildomas saugumo priemones. Tai nesuderinama su sutarties šalių interesų pusiausvyros principu ir gali sukurti neproporcingą finansinę naštą duomenų tvarkytojui.</w:t>
            </w:r>
          </w:p>
          <w:p w14:paraId="06A17634"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išdėstytas aplinkybes, prašome pirkimo sąlygų 11 priedo 4.6 punktą išbraukti, kad būtų užtikrintas reikalavimų aiškumas, proporcingumas bei teisinis tikrumas.</w:t>
            </w:r>
          </w:p>
        </w:tc>
        <w:tc>
          <w:tcPr>
            <w:tcW w:w="4241" w:type="dxa"/>
            <w:shd w:val="clear" w:color="auto" w:fill="FFFFFF"/>
            <w:tcMar>
              <w:top w:w="60" w:type="dxa"/>
              <w:left w:w="75" w:type="dxa"/>
              <w:bottom w:w="60" w:type="dxa"/>
              <w:right w:w="75" w:type="dxa"/>
            </w:tcMar>
          </w:tcPr>
          <w:p w14:paraId="7B40686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Perkančioji organizacija nesutinka su tiekėjo siūlymu keisti ar šalinti 11 priedo 4.6 punktą. Šis punktas atitinka BDAR 32 straipsnio nuostatas, kurios aiškiai numato, kad tiek duomenų valdytojas, tiek duomenų tvarkytojas privalo įgyvendinti tinkamas technines ir organizacines priemones, užtikrinančias pavojų atitinkantį, rizikai proporcingą saugumo lygį. BDAR 32 straipsnio 1 dalis įpareigoja atsižvelgti į techninių galimybių išsivystymą, įgyvendinimo sąnaudas, tvarkymo pobūdį ir ypač – į duomenų tvarkymo keliamą riziką fizinių asmenų teisėms ir laisvėms.</w:t>
            </w:r>
          </w:p>
          <w:p w14:paraId="70F31EFF"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11 priedo 4.6 punkte įtvirtinta pareiga Duomenų tvarkytojui imtis ir kitų nei nurodyta Sutartyje ar priede Nr. 2 priemonių, kurios būtų būtinos tinkamam asmens duomenų saugumui užtikrinti, yra skirta užtikrinti galimybę prisitaikyti prie kintančių grėsmių bei rizikos lygio, atsižvelgiant į taikomus teisės aktus bei priežiūros institucijų gairių rekomendacijas. Nors priežiūros institucijų gairės nėra privalomos teisės aktų prasme, jos yra svarbus aiškinamasis dokumentas - padedantis tiek duomenų valdytojams, tiek tvarkytojams suprasti, kaip turėtų būti taikomos BDAR nuostatos praktikoje. Šios nuostatos tikslas – nėra praktinis  visų rekomendacijų automatinis įgyvendinimas, bet reikalauja proporcingai įvertinti ir taikyti atitinkamas priemones, kai tai yra būtina siekiant tinkamai apsaugoti duomenų subjektų teises.</w:t>
            </w:r>
          </w:p>
          <w:p w14:paraId="39F91127"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Dėl tariamo prieštaravimo tarp 4.6 punkto ir Priede Nr. 2 nustatyto techninių ir organizacinių saugumo priemonių sąrašo pažymime, kad Priedas Nr. 2 apibrėžia bazinį, pradinį saugumo priemonių rinkinį. Tačiau BDAR 32 straipsnio nuostatos numato, kad saugumo priemonės turi būti peržiūrimos ir, </w:t>
            </w:r>
            <w:r w:rsidRPr="00AC0F92">
              <w:rPr>
                <w:rFonts w:cstheme="minorHAnsi"/>
                <w:lang w:eastAsia="lt-LT"/>
              </w:rPr>
              <w:lastRenderedPageBreak/>
              <w:t>esant poreikiui, papildomos, atsižvelgiant į kintančią riziką ir technologinę pažangą. Todėl 4.6 punktas yra kaip priemonių atnaujinimo mechanizmas, neuždraudžiantis, bet papildantis pirminį Priedo Nr. 2 saugumo priemonių sąrašą.</w:t>
            </w:r>
          </w:p>
          <w:p w14:paraId="2313CA07"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Atsakant dėl papildomų išlaidų kompensavimo, pažymėtina, jog BDAR numato atsakomybę už tinkamą duomenų apsaugą nepriklausomai nuo to, ar tvarkytojas gauna papildomą finansavimą. Taip pat 4.6 punkto nuostatos nėra absoliučios ir numato veiksmų imtis tik tais atvejais, kai tai yra būtina užtikrinti tinkamą saugumo lygį. Todėl šis punktas nesukuria perteklinės finansinės naštos.</w:t>
            </w:r>
          </w:p>
        </w:tc>
      </w:tr>
      <w:tr w:rsidR="00A657B6" w:rsidRPr="00AC0F92" w14:paraId="61CA5D4A" w14:textId="77777777" w:rsidTr="00772E25">
        <w:tc>
          <w:tcPr>
            <w:tcW w:w="845" w:type="dxa"/>
            <w:shd w:val="clear" w:color="auto" w:fill="FFFFFF"/>
            <w:tcMar>
              <w:top w:w="60" w:type="dxa"/>
              <w:left w:w="75" w:type="dxa"/>
              <w:bottom w:w="60" w:type="dxa"/>
              <w:right w:w="75" w:type="dxa"/>
            </w:tcMar>
          </w:tcPr>
          <w:p w14:paraId="5B8D4E0F"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11.</w:t>
            </w:r>
          </w:p>
        </w:tc>
        <w:tc>
          <w:tcPr>
            <w:tcW w:w="4537" w:type="dxa"/>
            <w:shd w:val="clear" w:color="auto" w:fill="FFFFFF"/>
            <w:tcMar>
              <w:top w:w="60" w:type="dxa"/>
              <w:left w:w="75" w:type="dxa"/>
              <w:bottom w:w="60" w:type="dxa"/>
              <w:right w:w="75" w:type="dxa"/>
            </w:tcMar>
          </w:tcPr>
          <w:p w14:paraId="56F86DD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11 priedo 5.3 p. numatyta, kad „Auditas atliekamas Duomenų valdytojo kaštais. Jeigu audito, patikrinimų metu nustatomas Duomenų Tvarkytojo, jo darbuotojo, jo įgaliotų ar kitaip susijusių asmenų, šios Sutarties ar Asmens duomenų apsaugos teisės aktų nevykdymas ar netinkamas vykdymas, Duomenų tvarkytojas privalo padengti Duomenų valdytojo atlikto audito, patikrinimų išlaidas bei nedelsiant savo lėšomis ištaisyti nustatytus pažeidimus, taip pat Duomenų valdytojas turi teisę nedelsdamas pateikti reikalavimus Duomenų tvarkytojui dėl vykdant Pagrindinę sutartį susikaupusių duomenų tvarkymo, saugojimo, prieigų apribojimo, perkėlimo, perdavimo, sunaikinimo ar saugumo priemonių taikymo ir (ar) nutraukti šią Sutartį ir (ar) sustabdyti Pagrindinės sutarties vykdymą.“</w:t>
            </w:r>
          </w:p>
          <w:p w14:paraId="139B9E04"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Aptariama 5.3 p. dalis, pagal kurią bet kokio, net ir nereikšmingo ar formalaus neatitikimo atveju visa audito finansinė našta perkeliama Duomenų tvarkytojui, neatitinka proporcingumo principo, ypač tuo atveju, kai pažeidimai nelemia asmens duomenų saugumo pažeidimo ar žalos duomenų subjektams. Atkreipiame dėmesį, kad tiek viešojo, tiek privataus sektoriaus praktikoje įprasta, kad už auditą moka ta šalis, kuri jį inicijuoja.</w:t>
            </w:r>
          </w:p>
          <w:p w14:paraId="5409B40D"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Atsižvelgiant į nurodytą, prašome išbraukti 5.3 p. sakinį „Jeigu audito, patikrinimų metu </w:t>
            </w:r>
            <w:r w:rsidRPr="00AC0F92">
              <w:rPr>
                <w:rFonts w:cstheme="minorHAnsi"/>
                <w:lang w:eastAsia="lt-LT"/>
              </w:rPr>
              <w:lastRenderedPageBreak/>
              <w:t>nustatomas Duomenų Tvarkytojo, jo darbuotojo, jo įgaliotų ar kitaip susijusių asmenų, šios Sutarties ar Asmens duomenų apsaugos teisės aktų nevykdymas ar netinkamas vykdymas, Duomenų tvarkytojas privalo padengti Duomenų valdytojo atlikto audito, patikrinimų išlaidas.“</w:t>
            </w:r>
          </w:p>
        </w:tc>
        <w:tc>
          <w:tcPr>
            <w:tcW w:w="4241" w:type="dxa"/>
            <w:shd w:val="clear" w:color="auto" w:fill="FFFFFF"/>
            <w:tcMar>
              <w:top w:w="60" w:type="dxa"/>
              <w:left w:w="75" w:type="dxa"/>
              <w:bottom w:w="60" w:type="dxa"/>
              <w:right w:w="75" w:type="dxa"/>
            </w:tcMar>
          </w:tcPr>
          <w:p w14:paraId="134D443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lastRenderedPageBreak/>
              <w:t>Perkančioji organizacija nesutinka su tiekėjo siūlymu išbraukti 11 priedo 5.3 punkto dalį, kurioje numatyta Duomenų tvarkytojo pareiga padengti audito ar patikrinimo išlaidas tuo atveju, jei nustatomas šios Sutarties ar asmens duomenų apsaugos teisės aktų nevykdymas ar netinkamas vykdymas.</w:t>
            </w:r>
          </w:p>
          <w:p w14:paraId="163DF41B"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Ši nuostata laikytina proporcinga, aiškia ir atitinkančia atsakomybės principą. Ji taikoma tik tuo atveju, kai audito metu nustatomas faktinis pažeidimas. Tokiu atveju, kaip ir įprasta tiek viešajame, tiek privačiame sektoriuje, pažeidimą padariusi šalis prisiima su tuo susijusias pasekmes, įskaitant pažeidimų nustatymo (audito) kaštus. Išlaidos tenka Duomenų tvarkytojui tik tuo atveju, kai nustatomi realūs pažeidimai. Toks reguliavimas yra įprastas praktikoje ir užtikrina prevenciją, atsakomybę bei skatina tinkamą duomenų tvarkymo kontrolę.</w:t>
            </w:r>
          </w:p>
        </w:tc>
      </w:tr>
      <w:tr w:rsidR="00A657B6" w:rsidRPr="00AC0F92" w14:paraId="34C7CF9F" w14:textId="77777777" w:rsidTr="00772E25">
        <w:tc>
          <w:tcPr>
            <w:tcW w:w="845" w:type="dxa"/>
            <w:shd w:val="clear" w:color="auto" w:fill="FFFFFF"/>
            <w:tcMar>
              <w:top w:w="60" w:type="dxa"/>
              <w:left w:w="75" w:type="dxa"/>
              <w:bottom w:w="60" w:type="dxa"/>
              <w:right w:w="75" w:type="dxa"/>
            </w:tcMar>
          </w:tcPr>
          <w:p w14:paraId="2B69C38A"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12.</w:t>
            </w:r>
          </w:p>
        </w:tc>
        <w:tc>
          <w:tcPr>
            <w:tcW w:w="4537" w:type="dxa"/>
            <w:shd w:val="clear" w:color="auto" w:fill="FFFFFF"/>
            <w:tcMar>
              <w:top w:w="60" w:type="dxa"/>
              <w:left w:w="75" w:type="dxa"/>
              <w:bottom w:w="60" w:type="dxa"/>
              <w:right w:w="75" w:type="dxa"/>
            </w:tcMar>
          </w:tcPr>
          <w:p w14:paraId="137F4EF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Tarptautinio viešojo pirkimo „(PU-13738/25) Stacionarių alkotesterių nuoma“ sąlygų 11 priedo 13.2 p. nurodoma, kad: „Duomenų valdytojas turi teisę nedelsiant vienašališkai nutraukti Sutartį, informuojant raštu, kai Duomenų tvarkytojas nesilaiko šioje Sutartyje, BDAR, ADTAĮ ar kituose Šalims taikomuose asmens duomenų apsaugos teisės aktuose nustatytų įsipareigojimų“.</w:t>
            </w:r>
          </w:p>
          <w:p w14:paraId="160423CF"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Atkreipiame dėmesį, kad praktikoje BDAR pažeidimo faktas ne visada yra akivaizdus (pvz. kibernetinė ataka pati savaime nėra laikoma BDAR pažeidimu). Be to, aptariama nuostata nedetalizuoja, kas turi nustatyti pažeidimo faktą, o tai suponuoja, jog pažeidimo faktas gali būti konstatuotas paties duomenų valdytojo. Esama nuostata neproporcingai iškreipia šalių interesų pusiausvyrą duomenų valdytojo naudai, o tai lemia esminę šalių nelygybę (Civilinio kodekso 6.22 str.). Atsižvelgiant į nurodytą, prašome aptariamą Tarptautinio viešojo pirkimo„(PU-13738/25) Stacionarių alkotesterių nuoma“ sąlygų 11 priedo 13.2 p. keisti toliau nurodytu būdu:</w:t>
            </w:r>
          </w:p>
          <w:p w14:paraId="37DE6EC7"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„Duomenų valdytojas turi teisę nedelsiant vienašališkai nutraukti Sutartį, kai nepriklausoma trečioji šalis ar institucija, konstatuoja, kad Duomenų tvarkytojas nesilaiko šioje pagrindinėje sutartyje, BDAR, ADTAĮ ar kituose Šalims taikomuose asmens duomenų apsaugos teisės aktuose nustatytų įsipareigojimų, ir duomenų tvarkytojas pažeidimų nepašalina per 14 kalendorinių dienų“.</w:t>
            </w:r>
          </w:p>
        </w:tc>
        <w:tc>
          <w:tcPr>
            <w:tcW w:w="4241" w:type="dxa"/>
            <w:shd w:val="clear" w:color="auto" w:fill="FFFFFF"/>
            <w:tcMar>
              <w:top w:w="60" w:type="dxa"/>
              <w:left w:w="75" w:type="dxa"/>
              <w:bottom w:w="60" w:type="dxa"/>
              <w:right w:w="75" w:type="dxa"/>
            </w:tcMar>
          </w:tcPr>
          <w:p w14:paraId="6B4C9312"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Perkančioji organizacija nesutinka su tiekėjo siūlomu 11 priedo 13.2 punkto keitimu. </w:t>
            </w:r>
          </w:p>
          <w:p w14:paraId="73B2FE04"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Punkto formuluotė suteikia Duomenų valdytojui teisę, o ne pareigą nutraukti sutartį, kai Duomenų tvarkytojas nesilaiko BDAR, ADTAĮ ar kitų teisės aktuose numatytų įsipareigojimų. Tai nereiškia, kad bet koks formalus ar nežymus pažeidimas neišvengiamai lems sutarties nutraukimą – priešingai, kiekvienas atvejis vertinamas individualiai pagal aplinkybes, pažeidimo pobūdį, mastą bei padarinius. Siūlymas reikalauti, kad pažeidimą konstatuotų nepriklausoma trečioji šalis ar institucija, būtų neproporcingas ir apsunkintų Duomenų valdytojo pareigą reaguoti į su asmens duomenų saugumu susijusius pažeidimus laiku. Jei Duomenų valdytojas nutrauktų sutartį nesant tam pagrindo, Duomenų tvarkytojas galėtų ginti savo interesus teisės aktuose nustatyta tvarka. Šiuo atveju nėra pagrindo teigti, jog sąlyga iškreipia šalių interesų pusiausvyrą duomenų valdytojo naudai, ar lemia esminę šalių nelygybę.</w:t>
            </w:r>
          </w:p>
        </w:tc>
      </w:tr>
      <w:tr w:rsidR="00A657B6" w:rsidRPr="00AC0F92" w14:paraId="7E99E3E6" w14:textId="77777777" w:rsidTr="00772E25">
        <w:tc>
          <w:tcPr>
            <w:tcW w:w="845" w:type="dxa"/>
            <w:shd w:val="clear" w:color="auto" w:fill="FFFFFF"/>
            <w:tcMar>
              <w:top w:w="60" w:type="dxa"/>
              <w:left w:w="75" w:type="dxa"/>
              <w:bottom w:w="60" w:type="dxa"/>
              <w:right w:w="75" w:type="dxa"/>
            </w:tcMar>
          </w:tcPr>
          <w:p w14:paraId="7074DD73" w14:textId="77777777" w:rsidR="00A657B6" w:rsidRPr="00AC0F92" w:rsidRDefault="00A657B6" w:rsidP="00772E25">
            <w:pPr>
              <w:spacing w:after="150" w:line="240" w:lineRule="auto"/>
              <w:ind w:left="360"/>
              <w:rPr>
                <w:rFonts w:cstheme="minorHAnsi"/>
                <w:lang w:eastAsia="lt-LT"/>
              </w:rPr>
            </w:pPr>
            <w:r w:rsidRPr="00AC0F92">
              <w:rPr>
                <w:rFonts w:cstheme="minorHAnsi"/>
                <w:lang w:eastAsia="lt-LT"/>
              </w:rPr>
              <w:t>13.</w:t>
            </w:r>
          </w:p>
        </w:tc>
        <w:tc>
          <w:tcPr>
            <w:tcW w:w="4537" w:type="dxa"/>
            <w:shd w:val="clear" w:color="auto" w:fill="FFFFFF"/>
            <w:tcMar>
              <w:top w:w="60" w:type="dxa"/>
              <w:left w:w="75" w:type="dxa"/>
              <w:bottom w:w="60" w:type="dxa"/>
              <w:right w:w="75" w:type="dxa"/>
            </w:tcMar>
          </w:tcPr>
          <w:p w14:paraId="4E608B0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Tarptautinio viešojo pirkimo „(PU-13738/25) Stacionarių alkotesterių nuoma“ 11 priedo 9.2.1 p. nurodoma, kad „Jeigu Tiekėjas vėluoja vykdyti užsakymą, tiekti Prekes ar ištaisyti jų trūkumus arba nevykdo kitų sutartinių įsipareigojimų, Pirkėjas nuo kitos nei nustatytas terminas dienos Tiekėjui skaičiuoja 0,05 (penkių šimtųjų) procento </w:t>
            </w:r>
            <w:r w:rsidRPr="00AC0F92">
              <w:rPr>
                <w:rFonts w:cstheme="minorHAnsi"/>
                <w:lang w:eastAsia="lt-LT"/>
              </w:rPr>
              <w:lastRenderedPageBreak/>
              <w:t>dydžio delspinigius už kiekvieną uždelstą dieną nuo laiku neperduotų Prekių ar Prekių, turinčių trūkumų, kainos be PVM, tačiau bet kokiu atveju ne mažiau kaip 50,00 EUR (penkiasdešimt eurų 00 ct) už kiekvieną pradelstą dieną.“</w:t>
            </w:r>
          </w:p>
          <w:p w14:paraId="68C3386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Atkreipiame dėmesį, jog remiantis Pirkimo sąlygų 11 priedo 4.4 p., kiekvieno Prekių užsakymo vertė turi būti ne mažesnė kaip 50,00 Eur (penkiasdešimt eurų 00 ct) be PVM. Remiantis nurodytu, gali susiklostyti atvejai, kai bauda už vėlavimą pristatyti užsakymą yra lygi arba didesnė už paties užsakymo kainą.</w:t>
            </w:r>
          </w:p>
          <w:p w14:paraId="2456C618"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Šalių susitarimu nustatytų netesybų tikslas – kompensuoti kreditoriaus galimus praradimus neįvykdžius sutartinių įsipareigojimų ar juos įvykdžius netinkamai. Lietuvos Respublikos Civilinio kodekso 6.73 str. 1 d., 6.258 str. 2 d. nustatyta, kad netesybos įskaitomos į nuostolius. Tai reiškia, kad netesybos atlieka ne baudinę, o kompensuojamąją funkciją, jomis siekiama atlyginti nukentėjusiai šaliai nuostolius. Kasacinio teismo praktikoje pripažįstama, kad netesybos negali būti neprotingai didelės (Lietuvos Aukščiausiojo Teismo 2012 m. gruodžio 19 d. nutartis civilinėje byloje Nr. 3K-3-578/2012; kt.).</w:t>
            </w:r>
          </w:p>
          <w:p w14:paraId="2FFA4CEE"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Atsižvelgiant į tai, kad Pirkimo sąlygų 11 priedo 9.2.1 p. nuostatos dalis, numatanti minimalų 50 Eur delspinigių dydį, yra neproporcinga ir akivaizdžiai baudinė, prašome Jūsų Tarptautinio viešojo pirkimo „(PU-13738/25) Stacionarių alkotesterių nuoma“ 11 priedo 9.2.1 p. koreguoti toliau nurodytu būdu:</w:t>
            </w:r>
          </w:p>
          <w:p w14:paraId="30660181"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„Jeigu Tiekėjas vėluoja vykdyti užsakymą, tiekti Prekes ar ištaisyti jų trūkumus 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w:t>
            </w:r>
          </w:p>
          <w:p w14:paraId="545490CC" w14:textId="77777777" w:rsidR="00A657B6" w:rsidRPr="00AC0F92" w:rsidRDefault="00A657B6" w:rsidP="00772E25">
            <w:pPr>
              <w:spacing w:after="150" w:line="240" w:lineRule="auto"/>
              <w:jc w:val="both"/>
              <w:rPr>
                <w:rFonts w:cstheme="minorHAnsi"/>
                <w:lang w:eastAsia="lt-LT"/>
              </w:rPr>
            </w:pPr>
            <w:r w:rsidRPr="00AC0F92">
              <w:rPr>
                <w:rFonts w:cstheme="minorHAnsi"/>
                <w:lang w:eastAsia="lt-LT"/>
              </w:rPr>
              <w:t xml:space="preserve">Tiekėjas informuoja Perkančiąją organizaciją, jog tuo atveju, jeigu Perkančioji organizacija nuspręstų nekoreguoti pirkimo sąlygų tiekėjo prašomu būdu (įskaitant, bet neapsiribojant, nuspręstų palikti nuostatas dėl neribotos tiekėjo civilinės atsakomybės), Tiekėjas pasilieka teisę </w:t>
            </w:r>
            <w:r w:rsidRPr="00AC0F92">
              <w:rPr>
                <w:rFonts w:cstheme="minorHAnsi"/>
                <w:lang w:eastAsia="lt-LT"/>
              </w:rPr>
              <w:lastRenderedPageBreak/>
              <w:t>nedalyvauti vykdomame pirkime dėl pernelyg šalių interesų pusiausvyrą tiekėjo nenaudai iškreipiančių ir neproporcingą riziką tiekėjui keliančių pirkimo dokumentų sąlygų.</w:t>
            </w:r>
          </w:p>
        </w:tc>
        <w:tc>
          <w:tcPr>
            <w:tcW w:w="4241" w:type="dxa"/>
            <w:shd w:val="clear" w:color="auto" w:fill="FFFFFF"/>
            <w:tcMar>
              <w:top w:w="60" w:type="dxa"/>
              <w:left w:w="75" w:type="dxa"/>
              <w:bottom w:w="60" w:type="dxa"/>
              <w:right w:w="75" w:type="dxa"/>
            </w:tcMar>
          </w:tcPr>
          <w:p w14:paraId="4B43C145" w14:textId="77777777" w:rsidR="00A657B6" w:rsidRPr="00AC0F92" w:rsidRDefault="00A657B6" w:rsidP="00772E25">
            <w:pPr>
              <w:jc w:val="both"/>
              <w:rPr>
                <w:rFonts w:cstheme="minorHAnsi"/>
                <w:lang w:eastAsia="lt-LT"/>
              </w:rPr>
            </w:pPr>
            <w:r w:rsidRPr="00AC0F92">
              <w:rPr>
                <w:rFonts w:cstheme="minorHAnsi"/>
                <w:lang w:eastAsia="lt-LT"/>
              </w:rPr>
              <w:lastRenderedPageBreak/>
              <w:t xml:space="preserve">Perkančioji organizacija nesutinka keisti Tarptautinio viešojo pirkimo „(PU-13738/25) Stacionarių alkotesterių nuoma“ sąlygų 11 priedo 9.2.1 punkto dėl minimalaus delspinigių dydžio (50 Eur už kiekvieną pradelstą dieną), nes ši nuostata yra pagrįsta, proporcinga ir atitinka sutartinių santykių </w:t>
            </w:r>
            <w:r w:rsidRPr="00AC0F92">
              <w:rPr>
                <w:rFonts w:cstheme="minorHAnsi"/>
                <w:lang w:eastAsia="lt-LT"/>
              </w:rPr>
              <w:t xml:space="preserve">pobūdį bei taikytiną praktiką. Sutartyje nustatyti delspinigiai nėra baudiniai – jie skirti paskatinti sutarties vykdymą laiku bei kompensuoti perkančiosios organizacijos patiriamus organizacinius ir administracinius kaštus dėl sutarties nevykdymo arba vėlavimo, kurie ne visada yra tiesiogiai susiję tik su prekių verte. Net ir mažos vertės vėluojantis užsakymas gali sukelti neproporcingų nepatogumų ir rizikų – ypač atsižvelgiant į tai, kad pirkimo objektas susijęs su prevenciniais alkoholio vartojimo patikros įrenginiais, kurie yra reikalingi laiku ir nepertraukiamai. Tiekėjas, dalyvaudamas pirkime, turi atsakingai įsivertinti savo galimybes vykdyti sutartinius įsipareigojimus tinkamai ir laiku. </w:t>
            </w:r>
          </w:p>
          <w:p w14:paraId="015A41C5" w14:textId="77777777" w:rsidR="00A657B6" w:rsidRPr="00AC0F92" w:rsidRDefault="00A657B6" w:rsidP="00772E25">
            <w:pPr>
              <w:spacing w:after="150" w:line="240" w:lineRule="auto"/>
              <w:jc w:val="both"/>
              <w:rPr>
                <w:rFonts w:cstheme="minorHAnsi"/>
                <w:lang w:eastAsia="lt-LT"/>
              </w:rPr>
            </w:pPr>
          </w:p>
        </w:tc>
      </w:tr>
    </w:tbl>
    <w:p w14:paraId="6EC95FCC"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3CBAF6CA" w14:textId="758EA996" w:rsidR="00A657B6" w:rsidRPr="00AC0F92" w:rsidRDefault="00A657B6" w:rsidP="00A657B6">
      <w:pPr>
        <w:tabs>
          <w:tab w:val="left" w:pos="630"/>
        </w:tabs>
        <w:spacing w:after="0" w:line="240" w:lineRule="auto"/>
        <w:ind w:firstLine="567"/>
        <w:jc w:val="both"/>
        <w:rPr>
          <w:rFonts w:cstheme="minorHAnsi"/>
          <w:sz w:val="24"/>
          <w:szCs w:val="24"/>
        </w:rPr>
      </w:pPr>
      <w:r w:rsidRPr="00AC0F92">
        <w:rPr>
          <w:rFonts w:cstheme="minorHAnsi"/>
          <w:sz w:val="24"/>
          <w:szCs w:val="24"/>
        </w:rPr>
        <w:t>Atsižvelgdama į aukščiau išdėstytą, Komisija sprendžia</w:t>
      </w:r>
      <w:r w:rsidRPr="00AC0F92">
        <w:rPr>
          <w:rFonts w:cstheme="minorHAnsi"/>
          <w:sz w:val="24"/>
          <w:szCs w:val="24"/>
        </w:rPr>
        <w:t xml:space="preserve"> </w:t>
      </w:r>
      <w:r w:rsidRPr="00AC0F92">
        <w:rPr>
          <w:rFonts w:cstheme="minorHAnsi"/>
          <w:sz w:val="24"/>
          <w:szCs w:val="24"/>
        </w:rPr>
        <w:t>nekeisti Pirkimo dokumentuose nurodytų reikalavimų</w:t>
      </w:r>
      <w:r w:rsidRPr="00AC0F92">
        <w:rPr>
          <w:rFonts w:cstheme="minorHAnsi"/>
          <w:sz w:val="24"/>
          <w:szCs w:val="24"/>
        </w:rPr>
        <w:t>.</w:t>
      </w:r>
    </w:p>
    <w:p w14:paraId="785560C2" w14:textId="3C1F1845" w:rsidR="00A657B6" w:rsidRPr="00AC0F92" w:rsidRDefault="00A657B6" w:rsidP="00A657B6">
      <w:pPr>
        <w:tabs>
          <w:tab w:val="left" w:pos="630"/>
        </w:tabs>
        <w:spacing w:after="0" w:line="240" w:lineRule="auto"/>
        <w:ind w:firstLine="567"/>
        <w:jc w:val="both"/>
        <w:rPr>
          <w:rStyle w:val="Stilius1"/>
          <w:rFonts w:asciiTheme="minorHAnsi" w:hAnsiTheme="minorHAnsi" w:cstheme="minorHAnsi"/>
          <w:szCs w:val="24"/>
        </w:rPr>
      </w:pPr>
      <w:r w:rsidRPr="00AC0F92">
        <w:rPr>
          <w:rFonts w:cstheme="minorHAnsi"/>
          <w:sz w:val="24"/>
          <w:szCs w:val="24"/>
        </w:rPr>
        <w:t>Atsižvelgiant į teikiamą atsakymą,</w:t>
      </w:r>
      <w:r w:rsidRPr="00AC0F92">
        <w:rPr>
          <w:rFonts w:cstheme="minorHAnsi"/>
          <w:sz w:val="24"/>
          <w:szCs w:val="24"/>
        </w:rPr>
        <w:t xml:space="preserve"> vadovaujantis </w:t>
      </w:r>
      <w:r w:rsidR="00134684">
        <w:rPr>
          <w:rFonts w:cstheme="minorHAnsi"/>
          <w:sz w:val="24"/>
          <w:szCs w:val="24"/>
        </w:rPr>
        <w:t>specialiųjų konkurso</w:t>
      </w:r>
      <w:r w:rsidRPr="00AC0F92">
        <w:rPr>
          <w:rFonts w:cstheme="minorHAnsi"/>
          <w:sz w:val="24"/>
          <w:szCs w:val="24"/>
        </w:rPr>
        <w:t xml:space="preserve"> sąlygų 1 priedo 3 punktu, pasiūlymų pateikimo termin</w:t>
      </w:r>
      <w:r w:rsidRPr="00AC0F92">
        <w:rPr>
          <w:rFonts w:cstheme="minorHAnsi"/>
          <w:sz w:val="24"/>
          <w:szCs w:val="24"/>
        </w:rPr>
        <w:t>as</w:t>
      </w:r>
      <w:r w:rsidRPr="00AC0F92">
        <w:rPr>
          <w:rFonts w:cstheme="minorHAnsi"/>
          <w:sz w:val="24"/>
          <w:szCs w:val="24"/>
        </w:rPr>
        <w:t xml:space="preserve"> pratęs</w:t>
      </w:r>
      <w:r w:rsidRPr="00AC0F92">
        <w:rPr>
          <w:rFonts w:cstheme="minorHAnsi"/>
          <w:sz w:val="24"/>
          <w:szCs w:val="24"/>
        </w:rPr>
        <w:t>iamas,</w:t>
      </w:r>
      <w:r w:rsidRPr="00AC0F92">
        <w:rPr>
          <w:rFonts w:cstheme="minorHAnsi"/>
          <w:sz w:val="24"/>
          <w:szCs w:val="24"/>
        </w:rPr>
        <w:t xml:space="preserve"> </w:t>
      </w:r>
      <w:r w:rsidRPr="00AC0F92">
        <w:rPr>
          <w:rStyle w:val="Stilius1"/>
          <w:rFonts w:asciiTheme="minorHAnsi" w:hAnsiTheme="minorHAnsi" w:cstheme="minorHAnsi"/>
          <w:szCs w:val="24"/>
        </w:rPr>
        <w:t>nukeliant jį iš 2025-08-14 10</w:t>
      </w:r>
      <w:r w:rsidRPr="00AC0F92">
        <w:rPr>
          <w:rStyle w:val="Stilius1"/>
          <w:rFonts w:asciiTheme="minorHAnsi" w:hAnsiTheme="minorHAnsi" w:cstheme="minorHAnsi"/>
          <w:szCs w:val="24"/>
        </w:rPr>
        <w:t>.</w:t>
      </w:r>
      <w:r w:rsidRPr="00AC0F92">
        <w:rPr>
          <w:rStyle w:val="Stilius1"/>
          <w:rFonts w:asciiTheme="minorHAnsi" w:hAnsiTheme="minorHAnsi" w:cstheme="minorHAnsi"/>
          <w:szCs w:val="24"/>
        </w:rPr>
        <w:t>00</w:t>
      </w:r>
      <w:r w:rsidRPr="00AC0F92">
        <w:rPr>
          <w:rStyle w:val="Stilius1"/>
          <w:rFonts w:asciiTheme="minorHAnsi" w:hAnsiTheme="minorHAnsi" w:cstheme="minorHAnsi"/>
          <w:szCs w:val="24"/>
        </w:rPr>
        <w:t xml:space="preserve"> val.</w:t>
      </w:r>
      <w:r w:rsidRPr="00AC0F92">
        <w:rPr>
          <w:rStyle w:val="Stilius1"/>
          <w:rFonts w:asciiTheme="minorHAnsi" w:hAnsiTheme="minorHAnsi" w:cstheme="minorHAnsi"/>
          <w:szCs w:val="24"/>
        </w:rPr>
        <w:t xml:space="preserve"> į  </w:t>
      </w:r>
      <w:r w:rsidRPr="00AC0F92">
        <w:rPr>
          <w:rStyle w:val="Stilius1"/>
          <w:rFonts w:asciiTheme="minorHAnsi" w:hAnsiTheme="minorHAnsi" w:cstheme="minorHAnsi"/>
          <w:b/>
          <w:bCs/>
          <w:szCs w:val="24"/>
        </w:rPr>
        <w:t>2025-08-20 10</w:t>
      </w:r>
      <w:r w:rsidRPr="00AC0F92">
        <w:rPr>
          <w:rStyle w:val="Stilius1"/>
          <w:rFonts w:asciiTheme="minorHAnsi" w:hAnsiTheme="minorHAnsi" w:cstheme="minorHAnsi"/>
          <w:b/>
          <w:bCs/>
          <w:szCs w:val="24"/>
        </w:rPr>
        <w:t>.</w:t>
      </w:r>
      <w:r w:rsidRPr="00AC0F92">
        <w:rPr>
          <w:rStyle w:val="Stilius1"/>
          <w:rFonts w:asciiTheme="minorHAnsi" w:hAnsiTheme="minorHAnsi" w:cstheme="minorHAnsi"/>
          <w:b/>
          <w:bCs/>
          <w:szCs w:val="24"/>
        </w:rPr>
        <w:t>00</w:t>
      </w:r>
      <w:r w:rsidRPr="00AC0F92">
        <w:rPr>
          <w:rStyle w:val="Stilius1"/>
          <w:rFonts w:asciiTheme="minorHAnsi" w:hAnsiTheme="minorHAnsi" w:cstheme="minorHAnsi"/>
          <w:b/>
          <w:bCs/>
          <w:szCs w:val="24"/>
        </w:rPr>
        <w:t xml:space="preserve"> val</w:t>
      </w:r>
      <w:r w:rsidRPr="00AC0F92">
        <w:rPr>
          <w:rStyle w:val="Stilius1"/>
          <w:rFonts w:asciiTheme="minorHAnsi" w:hAnsiTheme="minorHAnsi" w:cstheme="minorHAnsi"/>
          <w:b/>
          <w:bCs/>
          <w:szCs w:val="24"/>
        </w:rPr>
        <w:t>.</w:t>
      </w:r>
      <w:r w:rsidRPr="00AC0F92">
        <w:rPr>
          <w:rStyle w:val="Stilius1"/>
          <w:rFonts w:asciiTheme="minorHAnsi" w:hAnsiTheme="minorHAnsi" w:cstheme="minorHAnsi"/>
          <w:szCs w:val="24"/>
        </w:rPr>
        <w:t xml:space="preserve"> </w:t>
      </w:r>
    </w:p>
    <w:p w14:paraId="7AA6667F"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73A21ECD"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504FECA1"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1BC2821C"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5612D3D0"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6A865BAA"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66B183D7"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1AC21455"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75428902"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4BF27459"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046D0583"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74FAFD3B" w14:textId="77777777" w:rsidR="00A657B6" w:rsidRPr="00AC0F92" w:rsidRDefault="00A657B6" w:rsidP="00A657B6">
      <w:pPr>
        <w:tabs>
          <w:tab w:val="left" w:pos="630"/>
        </w:tabs>
        <w:spacing w:after="0" w:line="240" w:lineRule="auto"/>
        <w:ind w:firstLine="567"/>
        <w:jc w:val="both"/>
        <w:rPr>
          <w:rFonts w:cstheme="minorHAnsi"/>
          <w:sz w:val="24"/>
          <w:szCs w:val="24"/>
        </w:rPr>
      </w:pPr>
    </w:p>
    <w:p w14:paraId="3D46B563" w14:textId="77777777" w:rsidR="00CD46DC" w:rsidRPr="00AC0F92" w:rsidRDefault="00CD46DC">
      <w:pPr>
        <w:rPr>
          <w:rFonts w:cstheme="minorHAnsi"/>
          <w:b/>
          <w:bCs/>
          <w:sz w:val="24"/>
          <w:szCs w:val="24"/>
        </w:rPr>
      </w:pPr>
    </w:p>
    <w:sectPr w:rsidR="00CD46DC" w:rsidRPr="00AC0F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4FF5"/>
    <w:multiLevelType w:val="hybridMultilevel"/>
    <w:tmpl w:val="A6604268"/>
    <w:lvl w:ilvl="0" w:tplc="F7FABF9A">
      <w:start w:val="1"/>
      <w:numFmt w:val="decimal"/>
      <w:suff w:val="space"/>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9735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134684"/>
    <w:rsid w:val="001F2F58"/>
    <w:rsid w:val="002C34AC"/>
    <w:rsid w:val="005D2C68"/>
    <w:rsid w:val="00812869"/>
    <w:rsid w:val="00881F62"/>
    <w:rsid w:val="008A6752"/>
    <w:rsid w:val="00970E86"/>
    <w:rsid w:val="00A554D1"/>
    <w:rsid w:val="00A657B6"/>
    <w:rsid w:val="00AC0F92"/>
    <w:rsid w:val="00CD46DC"/>
    <w:rsid w:val="00DB6356"/>
    <w:rsid w:val="00EE3830"/>
    <w:rsid w:val="00F164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customStyle="1" w:styleId="Stilius1">
    <w:name w:val="Stilius1"/>
    <w:basedOn w:val="Numatytasispastraiposriftas"/>
    <w:uiPriority w:val="1"/>
    <w:rsid w:val="00CD46DC"/>
    <w:rPr>
      <w:rFonts w:ascii="Times New Roman" w:hAnsi="Times New Roman"/>
      <w:sz w:val="24"/>
    </w:rPr>
  </w:style>
  <w:style w:type="character" w:customStyle="1" w:styleId="Stilius2">
    <w:name w:val="Stilius2"/>
    <w:basedOn w:val="Numatytasispastraiposriftas"/>
    <w:uiPriority w:val="1"/>
    <w:rsid w:val="00CD46DC"/>
    <w:rPr>
      <w:rFonts w:ascii="Times New Roman" w:hAnsi="Times New Roman"/>
      <w:sz w:val="24"/>
    </w:rPr>
  </w:style>
  <w:style w:type="table" w:styleId="Lentelstinklelis">
    <w:name w:val="Table Grid"/>
    <w:basedOn w:val="prastojilentel"/>
    <w:uiPriority w:val="59"/>
    <w:rsid w:val="00CD46D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A657B6"/>
    <w:pPr>
      <w:spacing w:after="200" w:line="276" w:lineRule="auto"/>
      <w:ind w:left="720"/>
      <w:contextualSpacing/>
    </w:pPr>
    <w:rPr>
      <w:rFonts w:ascii="Calibri" w:eastAsia="Times New Roman" w:hAnsi="Calibri" w:cs="Times New Roman"/>
      <w:kern w:val="0"/>
      <w:lang w:val="en-US"/>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A657B6"/>
    <w:rPr>
      <w:rFonts w:ascii="Calibri" w:eastAsia="Times New Roman"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60ED991F0F4AAEA070CD6E9E673E30"/>
        <w:category>
          <w:name w:val="Bendrosios nuostatos"/>
          <w:gallery w:val="placeholder"/>
        </w:category>
        <w:types>
          <w:type w:val="bbPlcHdr"/>
        </w:types>
        <w:behaviors>
          <w:behavior w:val="content"/>
        </w:behaviors>
        <w:guid w:val="{EDF44C6B-9974-41A8-86B7-61187DA7A435}"/>
      </w:docPartPr>
      <w:docPartBody>
        <w:p w:rsidR="00000000" w:rsidRDefault="007B7623" w:rsidP="007B7623">
          <w:pPr>
            <w:pStyle w:val="3560ED991F0F4AAEA070CD6E9E673E30"/>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A9"/>
    <w:rsid w:val="002C34AC"/>
    <w:rsid w:val="006058A9"/>
    <w:rsid w:val="007B0494"/>
    <w:rsid w:val="007B7623"/>
    <w:rsid w:val="007F6047"/>
    <w:rsid w:val="008A6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7623"/>
    <w:rPr>
      <w:color w:val="808080"/>
    </w:rPr>
  </w:style>
  <w:style w:type="paragraph" w:customStyle="1" w:styleId="5039FE073D6648159C547E76AA8587D5">
    <w:name w:val="5039FE073D6648159C547E76AA8587D5"/>
    <w:rsid w:val="007B7623"/>
    <w:pPr>
      <w:spacing w:line="278" w:lineRule="auto"/>
    </w:pPr>
    <w:rPr>
      <w:sz w:val="24"/>
      <w:szCs w:val="24"/>
    </w:rPr>
  </w:style>
  <w:style w:type="paragraph" w:customStyle="1" w:styleId="E0305A2B42B8484A8D06E3941EB30622">
    <w:name w:val="E0305A2B42B8484A8D06E3941EB30622"/>
    <w:rsid w:val="007B7623"/>
    <w:pPr>
      <w:spacing w:line="278" w:lineRule="auto"/>
    </w:pPr>
    <w:rPr>
      <w:sz w:val="24"/>
      <w:szCs w:val="24"/>
    </w:rPr>
  </w:style>
  <w:style w:type="paragraph" w:customStyle="1" w:styleId="FBFE1D7344504D8F87D0918785431C96">
    <w:name w:val="FBFE1D7344504D8F87D0918785431C96"/>
    <w:rsid w:val="007B7623"/>
    <w:pPr>
      <w:spacing w:line="278" w:lineRule="auto"/>
    </w:pPr>
    <w:rPr>
      <w:sz w:val="24"/>
      <w:szCs w:val="24"/>
    </w:rPr>
  </w:style>
  <w:style w:type="paragraph" w:customStyle="1" w:styleId="6B13F232C3474BB487E9E713ACE661F9">
    <w:name w:val="6B13F232C3474BB487E9E713ACE661F9"/>
    <w:rsid w:val="006058A9"/>
  </w:style>
  <w:style w:type="paragraph" w:customStyle="1" w:styleId="3560ED991F0F4AAEA070CD6E9E673E30">
    <w:name w:val="3560ED991F0F4AAEA070CD6E9E673E30"/>
    <w:rsid w:val="007B762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23608</Words>
  <Characters>13457</Characters>
  <Application>Microsoft Office Word</Application>
  <DocSecurity>0</DocSecurity>
  <Lines>112</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Tomas Guzelis</cp:lastModifiedBy>
  <cp:revision>12</cp:revision>
  <dcterms:created xsi:type="dcterms:W3CDTF">2024-01-17T10:23:00Z</dcterms:created>
  <dcterms:modified xsi:type="dcterms:W3CDTF">2025-08-14T05:57:00Z</dcterms:modified>
</cp:coreProperties>
</file>