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9628"/>
      </w:tblGrid>
      <w:tr w:rsidR="00735D34" w:rsidRPr="00BE4C39" w14:paraId="16E191C6" w14:textId="77777777" w:rsidTr="0032187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5C7C8B" w:rsidRDefault="001E7A02" w:rsidP="005C7C8B">
            <w:pPr>
              <w:spacing w:after="0" w:line="240" w:lineRule="auto"/>
              <w:jc w:val="center"/>
              <w:rPr>
                <w:sz w:val="22"/>
              </w:rPr>
            </w:pPr>
            <w:r w:rsidRPr="005C7C8B">
              <w:rPr>
                <w:rFonts w:ascii="Calibri Light" w:hAnsi="Calibri Light" w:cs="Calibri Light"/>
                <w:b/>
                <w:color w:val="FFFFFF"/>
                <w:sz w:val="22"/>
              </w:rPr>
              <w:t xml:space="preserve">IŠTEKLIŲ AGENTŪRA </w:t>
            </w:r>
            <w:r w:rsidR="00735D34" w:rsidRPr="005C7C8B">
              <w:rPr>
                <w:rFonts w:ascii="Calibri Light" w:hAnsi="Calibri Light" w:cs="Calibri Light"/>
                <w:b/>
                <w:color w:val="FFFFFF"/>
                <w:sz w:val="22"/>
              </w:rPr>
              <w:t xml:space="preserve"> &gt; PIRKIMO DOKUMENTAI &gt; TECHNINĖ SPECIFIKACIJA</w:t>
            </w:r>
          </w:p>
        </w:tc>
      </w:tr>
    </w:tbl>
    <w:p w14:paraId="66A20C7A" w14:textId="77777777" w:rsidR="00735D34" w:rsidRPr="00BE4C39" w:rsidRDefault="00735D34" w:rsidP="00735D34">
      <w:pPr>
        <w:spacing w:after="0" w:line="12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9628"/>
      </w:tblGrid>
      <w:tr w:rsidR="00735D34" w:rsidRPr="00BE4C39" w14:paraId="46177C6C" w14:textId="77777777" w:rsidTr="0032187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316C1010" w:rsidR="00735D34" w:rsidRPr="00BE4C39"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sz w:val="22"/>
                      <w:shd w:val="clear" w:color="auto" w:fill="FFFFCC"/>
                    </w:rPr>
                    <w:alias w:val="Įrašomas pirkimo pavadinimas ir Nr."/>
                    <w:tag w:val="Įrašomas pirkimo pavadinimas ir Nr."/>
                    <w:id w:val="-1311480434"/>
                    <w:placeholder>
                      <w:docPart w:val="15C7A8614ABC443BABB1C9FF0C4382F7"/>
                    </w:placeholder>
                    <w:text/>
                  </w:sdtPr>
                  <w:sdtContent>
                    <w:r w:rsidR="001026FD" w:rsidRPr="001026FD">
                      <w:rPr>
                        <w:rFonts w:ascii="Calibri Light" w:hAnsi="Calibri Light" w:cs="Calibri Light"/>
                        <w:b/>
                        <w:sz w:val="22"/>
                        <w:shd w:val="clear" w:color="auto" w:fill="FFFFCC"/>
                      </w:rPr>
                      <w:t xml:space="preserve"> Apsauginės signalizacijos, įeigos kontrolės, vaizdo stebėjimo, gaisrinės signalizacijos ir automatinio gesinimo dujomis sistemų techninės būklės patikrinimo ir remonto paslaugos (PPR-684)</w:t>
                    </w:r>
                  </w:sdtContent>
                </w:sdt>
              </w:sdtContent>
            </w:sdt>
          </w:p>
        </w:tc>
      </w:tr>
    </w:tbl>
    <w:p w14:paraId="693B8896" w14:textId="77777777" w:rsidR="00321874" w:rsidRDefault="00321874" w:rsidP="00735D34">
      <w:pPr>
        <w:spacing w:before="60" w:after="60" w:line="240" w:lineRule="auto"/>
        <w:jc w:val="both"/>
        <w:rPr>
          <w:rFonts w:ascii="Calibri Light" w:hAnsi="Calibri Light" w:cs="Calibri Light"/>
          <w:b/>
          <w:i/>
          <w:color w:val="FF0000"/>
          <w:sz w:val="20"/>
          <w:szCs w:val="20"/>
        </w:rPr>
      </w:pPr>
    </w:p>
    <w:p w14:paraId="1DEC60A5" w14:textId="77777777" w:rsidR="001026FD" w:rsidRPr="001026FD" w:rsidRDefault="001026FD" w:rsidP="001026FD">
      <w:pPr>
        <w:numPr>
          <w:ilvl w:val="0"/>
          <w:numId w:val="4"/>
        </w:numPr>
        <w:tabs>
          <w:tab w:val="left" w:pos="284"/>
          <w:tab w:val="left" w:pos="851"/>
        </w:tabs>
        <w:suppressAutoHyphens w:val="0"/>
        <w:autoSpaceDN/>
        <w:spacing w:after="0" w:line="240" w:lineRule="auto"/>
        <w:ind w:left="0" w:firstLine="0"/>
        <w:jc w:val="both"/>
        <w:textAlignment w:val="auto"/>
        <w:rPr>
          <w:rFonts w:asciiTheme="majorHAnsi" w:hAnsiTheme="majorHAnsi" w:cstheme="majorHAnsi"/>
          <w:sz w:val="22"/>
        </w:rPr>
      </w:pPr>
      <w:r w:rsidRPr="001026FD">
        <w:rPr>
          <w:rFonts w:asciiTheme="majorHAnsi" w:hAnsiTheme="majorHAnsi" w:cstheme="majorHAnsi"/>
          <w:sz w:val="22"/>
        </w:rPr>
        <w:t xml:space="preserve"> </w:t>
      </w:r>
      <w:r w:rsidRPr="001026FD">
        <w:rPr>
          <w:rFonts w:asciiTheme="majorHAnsi" w:hAnsiTheme="majorHAnsi" w:cstheme="majorHAnsi"/>
          <w:b/>
          <w:sz w:val="22"/>
        </w:rPr>
        <w:t xml:space="preserve">Pirkimo objektas. </w:t>
      </w:r>
      <w:r w:rsidRPr="001026FD">
        <w:rPr>
          <w:rFonts w:asciiTheme="majorHAnsi" w:hAnsiTheme="majorHAnsi" w:cstheme="majorHAnsi"/>
          <w:iCs/>
          <w:sz w:val="22"/>
        </w:rPr>
        <w:t>Apsauginės, gaisrinės signalizacijos, automatinio gesinimo dujomis, vaizdo stebėjimo bei įeigos kontrolės sistemų techninės būklės patikrinimo ir remonto paslaugos.</w:t>
      </w:r>
    </w:p>
    <w:p w14:paraId="10444D1F" w14:textId="77777777" w:rsidR="001026FD" w:rsidRPr="001026FD" w:rsidRDefault="001026FD" w:rsidP="001026FD">
      <w:pPr>
        <w:numPr>
          <w:ilvl w:val="0"/>
          <w:numId w:val="4"/>
        </w:numPr>
        <w:tabs>
          <w:tab w:val="left" w:pos="284"/>
          <w:tab w:val="left" w:pos="851"/>
        </w:tabs>
        <w:suppressAutoHyphens w:val="0"/>
        <w:autoSpaceDN/>
        <w:spacing w:after="0" w:line="240" w:lineRule="auto"/>
        <w:ind w:left="0" w:firstLine="0"/>
        <w:jc w:val="both"/>
        <w:textAlignment w:val="auto"/>
        <w:rPr>
          <w:rFonts w:asciiTheme="majorHAnsi" w:hAnsiTheme="majorHAnsi" w:cstheme="majorHAnsi"/>
          <w:sz w:val="22"/>
        </w:rPr>
      </w:pPr>
      <w:r w:rsidRPr="001026FD">
        <w:rPr>
          <w:rFonts w:asciiTheme="majorHAnsi" w:hAnsiTheme="majorHAnsi" w:cstheme="majorHAnsi"/>
          <w:b/>
          <w:sz w:val="22"/>
        </w:rPr>
        <w:t>Pirkimo objekto apibūdinimas.</w:t>
      </w:r>
      <w:r w:rsidRPr="001026FD">
        <w:rPr>
          <w:rFonts w:asciiTheme="majorHAnsi" w:hAnsiTheme="majorHAnsi" w:cstheme="majorHAnsi"/>
          <w:sz w:val="22"/>
        </w:rPr>
        <w:t xml:space="preserve"> </w:t>
      </w:r>
      <w:r w:rsidRPr="001026FD">
        <w:rPr>
          <w:rFonts w:asciiTheme="majorHAnsi" w:hAnsiTheme="majorHAnsi" w:cstheme="majorHAnsi"/>
          <w:iCs/>
          <w:sz w:val="22"/>
        </w:rPr>
        <w:t xml:space="preserve">Apsauginės, gaisrinės signalizacijos, automatinio gesinimo dujomis, vaizdo stebėjimo bei įeigos kontrolės sistemų techninės būklės patikrinimo ir remonto paslaugos bus perkamos pagal faktinį Migracijos departamento </w:t>
      </w:r>
      <w:r w:rsidRPr="001026FD">
        <w:rPr>
          <w:rFonts w:asciiTheme="majorHAnsi" w:hAnsiTheme="majorHAnsi" w:cstheme="majorHAnsi"/>
          <w:bCs/>
          <w:iCs/>
          <w:color w:val="000000"/>
          <w:sz w:val="22"/>
        </w:rPr>
        <w:t>poreikį 12 (dvylika) mėnesių:</w:t>
      </w:r>
    </w:p>
    <w:p w14:paraId="274F5410" w14:textId="77777777" w:rsidR="001026FD" w:rsidRPr="001026FD" w:rsidRDefault="001026FD" w:rsidP="001026FD">
      <w:pPr>
        <w:pStyle w:val="Sraopastraipa"/>
        <w:numPr>
          <w:ilvl w:val="1"/>
          <w:numId w:val="4"/>
        </w:numPr>
        <w:tabs>
          <w:tab w:val="left" w:pos="426"/>
        </w:tabs>
        <w:spacing w:after="0" w:line="240" w:lineRule="auto"/>
        <w:ind w:left="0" w:firstLine="0"/>
        <w:jc w:val="both"/>
        <w:rPr>
          <w:rFonts w:asciiTheme="majorHAnsi" w:hAnsiTheme="majorHAnsi" w:cstheme="majorHAnsi"/>
        </w:rPr>
      </w:pPr>
      <w:r w:rsidRPr="001026FD">
        <w:rPr>
          <w:rFonts w:asciiTheme="majorHAnsi" w:hAnsiTheme="majorHAnsi" w:cstheme="majorHAnsi"/>
        </w:rPr>
        <w:t>apsauginės signalizacijos sistema: atskirų spindulių, jutiklių patikrinimas, sistemų testavimas, programavimas, gedimų šalinimas, judesio, stiklo dūžio, sirenų, akumuliatorių, magnetinių kontaktų, centralės ir t.t. testavimas, programavimas, dulkių šalinimas, reguliavimas, gedimų šalinimas. Sumontuota „Genesi“ apsauginė sistema – 16 spindulių centralė su 16 spindulių išoriniais išplėtimo moduliais (klaviatūra – 10 vnt., garsinė sirena – 3 vnt., aliarmo klavišai – 15 vnt., mikrobanginiai davikliai – 3 vnt., seisminiai davikliai – 27 vnt., IR spindulių užuolaida – 11 vnt., telefonspynė, magnetiniai kontaktai, judesio davikliai);</w:t>
      </w:r>
    </w:p>
    <w:p w14:paraId="2958AD53" w14:textId="77777777" w:rsidR="001026FD" w:rsidRPr="001026FD" w:rsidRDefault="001026FD" w:rsidP="001026FD">
      <w:pPr>
        <w:pStyle w:val="Sraopastraipa"/>
        <w:numPr>
          <w:ilvl w:val="1"/>
          <w:numId w:val="4"/>
        </w:numPr>
        <w:tabs>
          <w:tab w:val="left" w:pos="426"/>
        </w:tabs>
        <w:spacing w:after="0" w:line="240" w:lineRule="auto"/>
        <w:ind w:left="0" w:firstLine="0"/>
        <w:jc w:val="both"/>
        <w:rPr>
          <w:rFonts w:asciiTheme="majorHAnsi" w:hAnsiTheme="majorHAnsi" w:cstheme="majorHAnsi"/>
        </w:rPr>
      </w:pPr>
      <w:r w:rsidRPr="001026FD">
        <w:rPr>
          <w:rFonts w:asciiTheme="majorHAnsi" w:hAnsiTheme="majorHAnsi" w:cstheme="majorHAnsi"/>
        </w:rPr>
        <w:t>gaisrinės signalizacijos sistema: dūminių jutiklių, sirenų, centralės testavimas, gedimų šalinimas, dūminių, temperatūrinių jutiklių, gaisro pavojaus mygtukų, sirenų, akumuliatorių, centralės testavimas, dulkių šalinimas, gedimų šalinimas. Sumontuota adresinė keturių kilpų FP2416 gaisrinė centralė. Gaisrinei signalizacijai naudojamos 3 adresinės centralės kilpos, o ketvirta kilpa naudojama gaisro gesinimo sistemai (adresiniai optiniai dūmų signalizatoriai – 115 vnt., temperatūriniai adresiniai gaisriniai signalizatoriai – 9 vnt., gaisriniai dūmų signalizatoriai – 64 vnt., gaisriniai temperatūriniai signalizatoriai, atitinkantys EN 45 reikalavimus, – 14 vnt., rankiniai adresiniai pavojaus signalizatoriai, atitinkantys EN 45 reikalavimus, zonos monitoriai –  7 vnt., lauko pavojaus sirenos – 2 vnt.);</w:t>
      </w:r>
    </w:p>
    <w:p w14:paraId="49FE15E1" w14:textId="77777777" w:rsidR="001026FD" w:rsidRPr="001026FD" w:rsidRDefault="001026FD" w:rsidP="001026FD">
      <w:pPr>
        <w:pStyle w:val="Sraopastraipa"/>
        <w:numPr>
          <w:ilvl w:val="1"/>
          <w:numId w:val="4"/>
        </w:numPr>
        <w:tabs>
          <w:tab w:val="left" w:pos="426"/>
        </w:tabs>
        <w:spacing w:after="0" w:line="240" w:lineRule="auto"/>
        <w:ind w:left="0" w:firstLine="0"/>
        <w:jc w:val="both"/>
        <w:rPr>
          <w:rFonts w:asciiTheme="majorHAnsi" w:hAnsiTheme="majorHAnsi" w:cstheme="majorHAnsi"/>
        </w:rPr>
      </w:pPr>
      <w:r w:rsidRPr="001026FD">
        <w:rPr>
          <w:rFonts w:asciiTheme="majorHAnsi" w:hAnsiTheme="majorHAnsi" w:cstheme="majorHAnsi"/>
        </w:rPr>
        <w:t>automatinio dujų gesinimo sistema: balionų slėgio patikrinimas, automatikos spintos testavimas, gaisro jutiklių, mygtukų patikrinimas, gedimų šalinimas. Sumontuoti 4 (keturi) 67,5 l talpos dujų balionai, užpildyti „Clean Agent“ gesinančiomis dujomis. Priešgaisriniai moduliai pritaikyti gesinimo sistemai. Parengta principinė skeletinė gaisro gesinimo sistemos schema;</w:t>
      </w:r>
    </w:p>
    <w:p w14:paraId="339A3294" w14:textId="77777777" w:rsidR="001026FD" w:rsidRPr="001026FD" w:rsidRDefault="001026FD" w:rsidP="001026FD">
      <w:pPr>
        <w:pStyle w:val="Sraopastraipa"/>
        <w:numPr>
          <w:ilvl w:val="1"/>
          <w:numId w:val="4"/>
        </w:numPr>
        <w:tabs>
          <w:tab w:val="left" w:pos="426"/>
        </w:tabs>
        <w:spacing w:after="0" w:line="240" w:lineRule="auto"/>
        <w:ind w:left="0" w:firstLine="0"/>
        <w:jc w:val="both"/>
        <w:rPr>
          <w:rFonts w:asciiTheme="majorHAnsi" w:hAnsiTheme="majorHAnsi" w:cstheme="majorHAnsi"/>
        </w:rPr>
      </w:pPr>
      <w:r w:rsidRPr="001026FD">
        <w:rPr>
          <w:rFonts w:asciiTheme="majorHAnsi" w:hAnsiTheme="majorHAnsi" w:cstheme="majorHAnsi"/>
        </w:rPr>
        <w:t>vaizdo stebėjimo sistema: monitorių, multipleksorių darbo patikrinimas, vaizdo kamerų reguliavimas, dulkių pašalinimas, gedimų šalinimas. Sumontuotos 32 kameros, 2 įrašymo įrenginiai;</w:t>
      </w:r>
    </w:p>
    <w:p w14:paraId="3D932970" w14:textId="77777777" w:rsidR="001026FD" w:rsidRPr="001026FD" w:rsidRDefault="001026FD" w:rsidP="001026FD">
      <w:pPr>
        <w:pStyle w:val="Sraopastraipa"/>
        <w:numPr>
          <w:ilvl w:val="1"/>
          <w:numId w:val="4"/>
        </w:numPr>
        <w:tabs>
          <w:tab w:val="left" w:pos="426"/>
        </w:tabs>
        <w:spacing w:after="0" w:line="240" w:lineRule="auto"/>
        <w:ind w:left="0" w:firstLine="0"/>
        <w:jc w:val="both"/>
        <w:rPr>
          <w:rFonts w:asciiTheme="majorHAnsi" w:hAnsiTheme="majorHAnsi" w:cstheme="majorHAnsi"/>
        </w:rPr>
      </w:pPr>
      <w:r w:rsidRPr="001026FD">
        <w:rPr>
          <w:rFonts w:asciiTheme="majorHAnsi" w:hAnsiTheme="majorHAnsi" w:cstheme="majorHAnsi"/>
        </w:rPr>
        <w:t>įeigos kontrolės sistema: skaitytuvų patikra, sklendžių reguliavimas, kontrolerių programavimas, datos, laiko nustatymas. Sumontuoti durų su skaitytuvais iš abiejų pusių – 19 vnt. ir durys su biometriniais skaitytuvais – 4 vnt.</w:t>
      </w:r>
    </w:p>
    <w:p w14:paraId="51A98714" w14:textId="77777777" w:rsidR="001026FD" w:rsidRPr="001026FD" w:rsidRDefault="001026FD" w:rsidP="001026FD">
      <w:pPr>
        <w:numPr>
          <w:ilvl w:val="0"/>
          <w:numId w:val="4"/>
        </w:numPr>
        <w:tabs>
          <w:tab w:val="left" w:pos="284"/>
          <w:tab w:val="left" w:pos="851"/>
        </w:tabs>
        <w:suppressAutoHyphens w:val="0"/>
        <w:autoSpaceDN/>
        <w:spacing w:after="0" w:line="240" w:lineRule="auto"/>
        <w:ind w:left="0" w:firstLine="0"/>
        <w:jc w:val="both"/>
        <w:textAlignment w:val="auto"/>
        <w:rPr>
          <w:rFonts w:asciiTheme="majorHAnsi" w:hAnsiTheme="majorHAnsi" w:cstheme="majorHAnsi"/>
          <w:sz w:val="22"/>
        </w:rPr>
      </w:pPr>
      <w:r w:rsidRPr="001026FD">
        <w:rPr>
          <w:rFonts w:asciiTheme="majorHAnsi" w:hAnsiTheme="majorHAnsi" w:cstheme="majorHAnsi"/>
          <w:sz w:val="22"/>
        </w:rPr>
        <w:t xml:space="preserve">Paslaugų teikimo vieta – Migracijos departamento prie </w:t>
      </w:r>
      <w:r w:rsidRPr="001026FD">
        <w:rPr>
          <w:rFonts w:asciiTheme="majorHAnsi" w:hAnsiTheme="majorHAnsi" w:cstheme="majorHAnsi"/>
          <w:iCs/>
          <w:sz w:val="22"/>
        </w:rPr>
        <w:t xml:space="preserve">Lietuvos Respublikos vidaus reikalų ministerijos Išrašymo skyriaus patalpos </w:t>
      </w:r>
      <w:r w:rsidRPr="001026FD">
        <w:rPr>
          <w:rFonts w:asciiTheme="majorHAnsi" w:hAnsiTheme="majorHAnsi" w:cstheme="majorHAnsi"/>
          <w:sz w:val="22"/>
        </w:rPr>
        <w:t>Žirmūnų g. 1D, Vilniuje</w:t>
      </w:r>
      <w:r w:rsidRPr="001026FD">
        <w:rPr>
          <w:rFonts w:asciiTheme="majorHAnsi" w:hAnsiTheme="majorHAnsi" w:cstheme="majorHAnsi"/>
          <w:iCs/>
          <w:sz w:val="22"/>
        </w:rPr>
        <w:t>.</w:t>
      </w:r>
    </w:p>
    <w:p w14:paraId="6FAFD87D" w14:textId="77777777" w:rsidR="001026FD" w:rsidRPr="001026FD" w:rsidRDefault="001026FD" w:rsidP="001026FD">
      <w:pPr>
        <w:numPr>
          <w:ilvl w:val="0"/>
          <w:numId w:val="4"/>
        </w:numPr>
        <w:tabs>
          <w:tab w:val="left" w:pos="567"/>
          <w:tab w:val="left" w:pos="851"/>
          <w:tab w:val="left" w:pos="993"/>
          <w:tab w:val="left" w:pos="1134"/>
          <w:tab w:val="left" w:pos="1276"/>
        </w:tabs>
        <w:suppressAutoHyphens w:val="0"/>
        <w:autoSpaceDN/>
        <w:spacing w:after="0" w:line="240" w:lineRule="auto"/>
        <w:jc w:val="both"/>
        <w:textAlignment w:val="auto"/>
        <w:rPr>
          <w:rFonts w:asciiTheme="majorHAnsi" w:hAnsiTheme="majorHAnsi" w:cstheme="majorHAnsi"/>
          <w:sz w:val="22"/>
        </w:rPr>
      </w:pPr>
      <w:r w:rsidRPr="001026FD">
        <w:rPr>
          <w:rFonts w:asciiTheme="majorHAnsi" w:hAnsiTheme="majorHAnsi" w:cstheme="majorHAnsi"/>
          <w:b/>
          <w:bCs/>
          <w:sz w:val="22"/>
        </w:rPr>
        <w:t>Pirkimo apimtis:</w:t>
      </w:r>
      <w:r w:rsidRPr="001026FD">
        <w:rPr>
          <w:rFonts w:asciiTheme="majorHAnsi" w:hAnsiTheme="majorHAnsi" w:cstheme="majorHAnsi"/>
          <w:sz w:val="22"/>
        </w:rPr>
        <w:tab/>
      </w:r>
      <w:r w:rsidRPr="001026FD">
        <w:rPr>
          <w:rFonts w:asciiTheme="majorHAnsi" w:hAnsiTheme="majorHAnsi" w:cstheme="majorHAnsi"/>
          <w:sz w:val="22"/>
        </w:rPr>
        <w:tab/>
      </w:r>
      <w:r w:rsidRPr="001026FD">
        <w:rPr>
          <w:rFonts w:asciiTheme="majorHAnsi" w:hAnsiTheme="majorHAnsi" w:cstheme="majorHAnsi"/>
          <w:sz w:val="22"/>
        </w:rPr>
        <w:tab/>
      </w:r>
      <w:r w:rsidRPr="001026FD">
        <w:rPr>
          <w:rFonts w:asciiTheme="majorHAnsi" w:hAnsiTheme="majorHAnsi" w:cstheme="majorHAnsi"/>
          <w:sz w:val="22"/>
        </w:rPr>
        <w:tab/>
      </w:r>
      <w:r w:rsidRPr="001026FD">
        <w:rPr>
          <w:rFonts w:asciiTheme="majorHAnsi" w:hAnsiTheme="majorHAnsi" w:cstheme="majorHAnsi"/>
          <w:sz w:val="22"/>
        </w:rPr>
        <w:tab/>
      </w:r>
      <w:r w:rsidRPr="001026FD">
        <w:rPr>
          <w:rFonts w:asciiTheme="majorHAnsi" w:hAnsiTheme="majorHAnsi" w:cstheme="majorHAnsi"/>
          <w:sz w:val="22"/>
        </w:rPr>
        <w:tab/>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4104"/>
        <w:gridCol w:w="2408"/>
        <w:gridCol w:w="2277"/>
      </w:tblGrid>
      <w:tr w:rsidR="001026FD" w:rsidRPr="001026FD" w14:paraId="52EF9FD3" w14:textId="77777777" w:rsidTr="001026FD">
        <w:trPr>
          <w:jc w:val="center"/>
        </w:trPr>
        <w:tc>
          <w:tcPr>
            <w:tcW w:w="704" w:type="dxa"/>
            <w:shd w:val="clear" w:color="auto" w:fill="F2F2F2" w:themeFill="background1" w:themeFillShade="F2"/>
            <w:vAlign w:val="center"/>
          </w:tcPr>
          <w:p w14:paraId="48112587" w14:textId="77777777" w:rsidR="001026FD" w:rsidRPr="001026FD" w:rsidRDefault="001026FD" w:rsidP="009B2943">
            <w:pPr>
              <w:pStyle w:val="Pavadinimas"/>
              <w:rPr>
                <w:rFonts w:asciiTheme="majorHAnsi" w:hAnsiTheme="majorHAnsi" w:cstheme="majorHAnsi"/>
                <w:sz w:val="22"/>
                <w:szCs w:val="22"/>
              </w:rPr>
            </w:pPr>
            <w:bookmarkStart w:id="0" w:name="_Hlk204779309"/>
            <w:r w:rsidRPr="001026FD">
              <w:rPr>
                <w:rFonts w:asciiTheme="majorHAnsi" w:hAnsiTheme="majorHAnsi" w:cstheme="majorHAnsi"/>
                <w:sz w:val="22"/>
                <w:szCs w:val="22"/>
              </w:rPr>
              <w:t>Eil.</w:t>
            </w:r>
          </w:p>
          <w:p w14:paraId="54D97818" w14:textId="77777777" w:rsidR="001026FD" w:rsidRPr="001026FD" w:rsidRDefault="001026FD" w:rsidP="009B2943">
            <w:pPr>
              <w:pStyle w:val="Pavadinimas"/>
              <w:rPr>
                <w:rFonts w:asciiTheme="majorHAnsi" w:hAnsiTheme="majorHAnsi" w:cstheme="majorHAnsi"/>
                <w:sz w:val="22"/>
                <w:szCs w:val="22"/>
              </w:rPr>
            </w:pPr>
            <w:r w:rsidRPr="001026FD">
              <w:rPr>
                <w:rFonts w:asciiTheme="majorHAnsi" w:hAnsiTheme="majorHAnsi" w:cstheme="majorHAnsi"/>
                <w:sz w:val="22"/>
                <w:szCs w:val="22"/>
              </w:rPr>
              <w:t>Nr.</w:t>
            </w:r>
          </w:p>
        </w:tc>
        <w:tc>
          <w:tcPr>
            <w:tcW w:w="4104" w:type="dxa"/>
            <w:shd w:val="clear" w:color="auto" w:fill="F2F2F2" w:themeFill="background1" w:themeFillShade="F2"/>
            <w:vAlign w:val="center"/>
          </w:tcPr>
          <w:p w14:paraId="35E11892" w14:textId="77777777" w:rsidR="001026FD" w:rsidRPr="001026FD" w:rsidRDefault="001026FD" w:rsidP="009B2943">
            <w:pPr>
              <w:pStyle w:val="Pavadinimas"/>
              <w:rPr>
                <w:rFonts w:asciiTheme="majorHAnsi" w:hAnsiTheme="majorHAnsi" w:cstheme="majorHAnsi"/>
                <w:sz w:val="22"/>
                <w:szCs w:val="22"/>
              </w:rPr>
            </w:pPr>
            <w:r w:rsidRPr="001026FD">
              <w:rPr>
                <w:rFonts w:asciiTheme="majorHAnsi" w:hAnsiTheme="majorHAnsi" w:cstheme="majorHAnsi"/>
                <w:sz w:val="22"/>
                <w:szCs w:val="22"/>
              </w:rPr>
              <w:t>Paslaugos pavadinimas</w:t>
            </w:r>
          </w:p>
        </w:tc>
        <w:tc>
          <w:tcPr>
            <w:tcW w:w="2408" w:type="dxa"/>
            <w:shd w:val="clear" w:color="auto" w:fill="F2F2F2" w:themeFill="background1" w:themeFillShade="F2"/>
            <w:vAlign w:val="center"/>
          </w:tcPr>
          <w:p w14:paraId="17786971" w14:textId="77777777" w:rsidR="001026FD" w:rsidRPr="001026FD" w:rsidRDefault="001026FD" w:rsidP="009B2943">
            <w:pPr>
              <w:pStyle w:val="Pavadinimas"/>
              <w:rPr>
                <w:rFonts w:asciiTheme="majorHAnsi" w:hAnsiTheme="majorHAnsi" w:cstheme="majorHAnsi"/>
                <w:sz w:val="22"/>
                <w:szCs w:val="22"/>
              </w:rPr>
            </w:pPr>
            <w:r w:rsidRPr="001026FD">
              <w:rPr>
                <w:rFonts w:asciiTheme="majorHAnsi" w:hAnsiTheme="majorHAnsi" w:cstheme="majorHAnsi"/>
                <w:sz w:val="22"/>
                <w:szCs w:val="22"/>
              </w:rPr>
              <w:t>Paslaugos aprašymas</w:t>
            </w:r>
          </w:p>
        </w:tc>
        <w:tc>
          <w:tcPr>
            <w:tcW w:w="2277" w:type="dxa"/>
            <w:shd w:val="clear" w:color="auto" w:fill="F2F2F2" w:themeFill="background1" w:themeFillShade="F2"/>
            <w:vAlign w:val="center"/>
          </w:tcPr>
          <w:p w14:paraId="0171C3B6" w14:textId="77777777" w:rsidR="001026FD" w:rsidRPr="001026FD" w:rsidRDefault="001026FD" w:rsidP="009B2943">
            <w:pPr>
              <w:pStyle w:val="Pavadinimas"/>
              <w:rPr>
                <w:rFonts w:asciiTheme="majorHAnsi" w:hAnsiTheme="majorHAnsi" w:cstheme="majorHAnsi"/>
                <w:sz w:val="22"/>
                <w:szCs w:val="22"/>
              </w:rPr>
            </w:pPr>
            <w:r w:rsidRPr="001026FD">
              <w:rPr>
                <w:rFonts w:asciiTheme="majorHAnsi" w:hAnsiTheme="majorHAnsi" w:cstheme="majorHAnsi"/>
                <w:sz w:val="22"/>
                <w:szCs w:val="22"/>
              </w:rPr>
              <w:t>Periodiškumas ir orientacinis kiekis per 12 mėn.</w:t>
            </w:r>
          </w:p>
        </w:tc>
      </w:tr>
      <w:tr w:rsidR="001026FD" w:rsidRPr="001026FD" w14:paraId="1D289431" w14:textId="77777777" w:rsidTr="001026FD">
        <w:trPr>
          <w:jc w:val="center"/>
        </w:trPr>
        <w:tc>
          <w:tcPr>
            <w:tcW w:w="704" w:type="dxa"/>
            <w:vAlign w:val="center"/>
          </w:tcPr>
          <w:p w14:paraId="157B4C70" w14:textId="77777777" w:rsidR="001026FD" w:rsidRPr="001026FD" w:rsidRDefault="001026FD" w:rsidP="009B2943">
            <w:pPr>
              <w:pStyle w:val="Pavadinimas"/>
              <w:rPr>
                <w:rFonts w:asciiTheme="majorHAnsi" w:hAnsiTheme="majorHAnsi" w:cstheme="majorHAnsi"/>
                <w:b w:val="0"/>
                <w:bCs w:val="0"/>
                <w:sz w:val="22"/>
                <w:szCs w:val="22"/>
              </w:rPr>
            </w:pPr>
            <w:r w:rsidRPr="001026FD">
              <w:rPr>
                <w:rFonts w:asciiTheme="majorHAnsi" w:hAnsiTheme="majorHAnsi" w:cstheme="majorHAnsi"/>
                <w:b w:val="0"/>
                <w:bCs w:val="0"/>
                <w:sz w:val="22"/>
                <w:szCs w:val="22"/>
              </w:rPr>
              <w:t>1.</w:t>
            </w:r>
          </w:p>
        </w:tc>
        <w:tc>
          <w:tcPr>
            <w:tcW w:w="4104" w:type="dxa"/>
            <w:vAlign w:val="center"/>
          </w:tcPr>
          <w:p w14:paraId="363013BE" w14:textId="77777777" w:rsidR="001026FD" w:rsidRPr="001026FD" w:rsidRDefault="001026FD" w:rsidP="009B2943">
            <w:pPr>
              <w:pStyle w:val="Pavadinimas"/>
              <w:jc w:val="left"/>
              <w:rPr>
                <w:rFonts w:asciiTheme="majorHAnsi" w:hAnsiTheme="majorHAnsi" w:cstheme="majorHAnsi"/>
                <w:b w:val="0"/>
                <w:bCs w:val="0"/>
                <w:sz w:val="22"/>
                <w:szCs w:val="22"/>
              </w:rPr>
            </w:pPr>
            <w:r w:rsidRPr="001026FD">
              <w:rPr>
                <w:rFonts w:asciiTheme="majorHAnsi" w:hAnsiTheme="majorHAnsi" w:cstheme="majorHAnsi"/>
                <w:b w:val="0"/>
                <w:bCs w:val="0"/>
                <w:sz w:val="22"/>
                <w:szCs w:val="22"/>
              </w:rPr>
              <w:t>Apsauginės signalizacijos, vaizdo stebėjimo ir įeigos kontrolės sistemų techninės būklės patikrinimas</w:t>
            </w:r>
          </w:p>
        </w:tc>
        <w:tc>
          <w:tcPr>
            <w:tcW w:w="2408" w:type="dxa"/>
          </w:tcPr>
          <w:p w14:paraId="6D723C8F" w14:textId="77777777" w:rsidR="001026FD" w:rsidRPr="001026FD" w:rsidRDefault="001026FD" w:rsidP="009B2943">
            <w:pPr>
              <w:pStyle w:val="Pavadinimas"/>
              <w:jc w:val="left"/>
              <w:rPr>
                <w:rFonts w:asciiTheme="majorHAnsi" w:hAnsiTheme="majorHAnsi" w:cstheme="majorHAnsi"/>
                <w:b w:val="0"/>
                <w:bCs w:val="0"/>
                <w:sz w:val="22"/>
                <w:szCs w:val="22"/>
              </w:rPr>
            </w:pPr>
            <w:r w:rsidRPr="001026FD">
              <w:rPr>
                <w:rFonts w:asciiTheme="majorHAnsi" w:hAnsiTheme="majorHAnsi" w:cstheme="majorHAnsi"/>
                <w:b w:val="0"/>
                <w:bCs w:val="0"/>
                <w:sz w:val="22"/>
                <w:szCs w:val="22"/>
              </w:rPr>
              <w:t>Nuodugniai patikrinama sistemos funkcionalumas ir techninė būklė</w:t>
            </w:r>
          </w:p>
        </w:tc>
        <w:tc>
          <w:tcPr>
            <w:tcW w:w="2277" w:type="dxa"/>
          </w:tcPr>
          <w:p w14:paraId="528A204D" w14:textId="77777777" w:rsidR="001026FD" w:rsidRPr="001026FD" w:rsidRDefault="001026FD" w:rsidP="009B2943">
            <w:pPr>
              <w:pStyle w:val="Pavadinimas"/>
              <w:jc w:val="left"/>
              <w:rPr>
                <w:rFonts w:asciiTheme="majorHAnsi" w:hAnsiTheme="majorHAnsi" w:cstheme="majorHAnsi"/>
                <w:b w:val="0"/>
                <w:bCs w:val="0"/>
                <w:sz w:val="22"/>
                <w:szCs w:val="22"/>
              </w:rPr>
            </w:pPr>
            <w:r w:rsidRPr="001026FD">
              <w:rPr>
                <w:rFonts w:asciiTheme="majorHAnsi" w:hAnsiTheme="majorHAnsi" w:cstheme="majorHAnsi"/>
                <w:b w:val="0"/>
                <w:bCs w:val="0"/>
                <w:sz w:val="22"/>
                <w:szCs w:val="22"/>
              </w:rPr>
              <w:t>Patikrinimas vykdomas 2 kartus per metus</w:t>
            </w:r>
          </w:p>
        </w:tc>
      </w:tr>
      <w:tr w:rsidR="001026FD" w:rsidRPr="001026FD" w14:paraId="4834CFAA" w14:textId="77777777" w:rsidTr="001026FD">
        <w:trPr>
          <w:jc w:val="center"/>
        </w:trPr>
        <w:tc>
          <w:tcPr>
            <w:tcW w:w="704" w:type="dxa"/>
            <w:vAlign w:val="center"/>
          </w:tcPr>
          <w:p w14:paraId="38C9DBA4" w14:textId="77777777" w:rsidR="001026FD" w:rsidRPr="001026FD" w:rsidRDefault="001026FD" w:rsidP="009B2943">
            <w:pPr>
              <w:pStyle w:val="Pavadinimas"/>
              <w:rPr>
                <w:rFonts w:asciiTheme="majorHAnsi" w:hAnsiTheme="majorHAnsi" w:cstheme="majorHAnsi"/>
                <w:b w:val="0"/>
                <w:bCs w:val="0"/>
                <w:sz w:val="22"/>
                <w:szCs w:val="22"/>
              </w:rPr>
            </w:pPr>
            <w:r w:rsidRPr="001026FD">
              <w:rPr>
                <w:rFonts w:asciiTheme="majorHAnsi" w:hAnsiTheme="majorHAnsi" w:cstheme="majorHAnsi"/>
                <w:b w:val="0"/>
                <w:bCs w:val="0"/>
                <w:sz w:val="22"/>
                <w:szCs w:val="22"/>
              </w:rPr>
              <w:t>2.</w:t>
            </w:r>
          </w:p>
        </w:tc>
        <w:tc>
          <w:tcPr>
            <w:tcW w:w="4104" w:type="dxa"/>
            <w:vAlign w:val="center"/>
          </w:tcPr>
          <w:p w14:paraId="32FBF321" w14:textId="77777777" w:rsidR="001026FD" w:rsidRPr="001026FD" w:rsidRDefault="001026FD" w:rsidP="009B2943">
            <w:pPr>
              <w:pStyle w:val="Pavadinimas"/>
              <w:jc w:val="left"/>
              <w:rPr>
                <w:rFonts w:asciiTheme="majorHAnsi" w:hAnsiTheme="majorHAnsi" w:cstheme="majorHAnsi"/>
                <w:b w:val="0"/>
                <w:bCs w:val="0"/>
                <w:sz w:val="22"/>
                <w:szCs w:val="22"/>
              </w:rPr>
            </w:pPr>
            <w:r w:rsidRPr="001026FD">
              <w:rPr>
                <w:rFonts w:asciiTheme="majorHAnsi" w:hAnsiTheme="majorHAnsi" w:cstheme="majorHAnsi"/>
                <w:b w:val="0"/>
                <w:bCs w:val="0"/>
                <w:sz w:val="22"/>
                <w:szCs w:val="22"/>
              </w:rPr>
              <w:t>Gaisrinės signalizacijos techninės būklės patikrinimas</w:t>
            </w:r>
          </w:p>
        </w:tc>
        <w:tc>
          <w:tcPr>
            <w:tcW w:w="2408" w:type="dxa"/>
          </w:tcPr>
          <w:p w14:paraId="06AAF695" w14:textId="77777777" w:rsidR="001026FD" w:rsidRPr="001026FD" w:rsidRDefault="001026FD" w:rsidP="009B2943">
            <w:pPr>
              <w:pStyle w:val="Pavadinimas"/>
              <w:jc w:val="left"/>
              <w:rPr>
                <w:rFonts w:asciiTheme="majorHAnsi" w:hAnsiTheme="majorHAnsi" w:cstheme="majorHAnsi"/>
                <w:b w:val="0"/>
                <w:bCs w:val="0"/>
                <w:sz w:val="22"/>
                <w:szCs w:val="22"/>
              </w:rPr>
            </w:pPr>
            <w:r w:rsidRPr="001026FD">
              <w:rPr>
                <w:rFonts w:asciiTheme="majorHAnsi" w:hAnsiTheme="majorHAnsi" w:cstheme="majorHAnsi"/>
                <w:b w:val="0"/>
                <w:bCs w:val="0"/>
                <w:sz w:val="22"/>
                <w:szCs w:val="22"/>
              </w:rPr>
              <w:t>Nuodugniai patikrinama sistemos funkcionalumas ir techninė būklė</w:t>
            </w:r>
          </w:p>
        </w:tc>
        <w:tc>
          <w:tcPr>
            <w:tcW w:w="2277" w:type="dxa"/>
          </w:tcPr>
          <w:p w14:paraId="67C27171" w14:textId="77777777" w:rsidR="001026FD" w:rsidRPr="001026FD" w:rsidRDefault="001026FD" w:rsidP="009B2943">
            <w:pPr>
              <w:pStyle w:val="Pavadinimas"/>
              <w:jc w:val="left"/>
              <w:rPr>
                <w:rFonts w:asciiTheme="majorHAnsi" w:hAnsiTheme="majorHAnsi" w:cstheme="majorHAnsi"/>
                <w:b w:val="0"/>
                <w:bCs w:val="0"/>
                <w:sz w:val="22"/>
                <w:szCs w:val="22"/>
              </w:rPr>
            </w:pPr>
            <w:r w:rsidRPr="001026FD">
              <w:rPr>
                <w:rFonts w:asciiTheme="majorHAnsi" w:hAnsiTheme="majorHAnsi" w:cstheme="majorHAnsi"/>
                <w:b w:val="0"/>
                <w:bCs w:val="0"/>
                <w:sz w:val="22"/>
                <w:szCs w:val="22"/>
              </w:rPr>
              <w:t>Patikrinimas vykdomas 4 kartus per metus</w:t>
            </w:r>
          </w:p>
        </w:tc>
      </w:tr>
      <w:tr w:rsidR="001026FD" w:rsidRPr="001026FD" w14:paraId="448A0762" w14:textId="77777777" w:rsidTr="001026FD">
        <w:trPr>
          <w:jc w:val="center"/>
        </w:trPr>
        <w:tc>
          <w:tcPr>
            <w:tcW w:w="704" w:type="dxa"/>
            <w:vAlign w:val="center"/>
          </w:tcPr>
          <w:p w14:paraId="2D0F8B8B" w14:textId="77777777" w:rsidR="001026FD" w:rsidRPr="001026FD" w:rsidRDefault="001026FD" w:rsidP="009B2943">
            <w:pPr>
              <w:pStyle w:val="Pavadinimas"/>
              <w:rPr>
                <w:rFonts w:asciiTheme="majorHAnsi" w:hAnsiTheme="majorHAnsi" w:cstheme="majorHAnsi"/>
                <w:b w:val="0"/>
                <w:sz w:val="22"/>
                <w:szCs w:val="22"/>
              </w:rPr>
            </w:pPr>
            <w:r w:rsidRPr="001026FD">
              <w:rPr>
                <w:rFonts w:asciiTheme="majorHAnsi" w:hAnsiTheme="majorHAnsi" w:cstheme="majorHAnsi"/>
                <w:b w:val="0"/>
                <w:sz w:val="22"/>
                <w:szCs w:val="22"/>
              </w:rPr>
              <w:t>3.</w:t>
            </w:r>
          </w:p>
        </w:tc>
        <w:tc>
          <w:tcPr>
            <w:tcW w:w="4104" w:type="dxa"/>
            <w:vAlign w:val="center"/>
          </w:tcPr>
          <w:p w14:paraId="486924B8" w14:textId="77777777" w:rsidR="001026FD" w:rsidRPr="001026FD" w:rsidRDefault="001026FD" w:rsidP="009B2943">
            <w:pPr>
              <w:pStyle w:val="Pavadinimas"/>
              <w:jc w:val="left"/>
              <w:rPr>
                <w:rFonts w:asciiTheme="majorHAnsi" w:hAnsiTheme="majorHAnsi" w:cstheme="majorHAnsi"/>
                <w:b w:val="0"/>
                <w:sz w:val="22"/>
                <w:szCs w:val="22"/>
              </w:rPr>
            </w:pPr>
            <w:r w:rsidRPr="001026FD">
              <w:rPr>
                <w:rFonts w:asciiTheme="majorHAnsi" w:hAnsiTheme="majorHAnsi" w:cstheme="majorHAnsi"/>
                <w:b w:val="0"/>
                <w:sz w:val="22"/>
                <w:szCs w:val="22"/>
              </w:rPr>
              <w:t xml:space="preserve">Automatinio gesinimo dujomis sistemos </w:t>
            </w:r>
            <w:r w:rsidRPr="001026FD">
              <w:rPr>
                <w:rFonts w:asciiTheme="majorHAnsi" w:hAnsiTheme="majorHAnsi" w:cstheme="majorHAnsi"/>
                <w:b w:val="0"/>
                <w:bCs w:val="0"/>
                <w:sz w:val="22"/>
                <w:szCs w:val="22"/>
              </w:rPr>
              <w:t>techninės būklės patikrinimas</w:t>
            </w:r>
          </w:p>
        </w:tc>
        <w:tc>
          <w:tcPr>
            <w:tcW w:w="2408" w:type="dxa"/>
          </w:tcPr>
          <w:p w14:paraId="04B27CCA" w14:textId="77777777" w:rsidR="001026FD" w:rsidRPr="001026FD" w:rsidRDefault="001026FD" w:rsidP="009B2943">
            <w:pPr>
              <w:pStyle w:val="Pavadinimas"/>
              <w:jc w:val="left"/>
              <w:rPr>
                <w:rFonts w:asciiTheme="majorHAnsi" w:hAnsiTheme="majorHAnsi" w:cstheme="majorHAnsi"/>
                <w:b w:val="0"/>
                <w:bCs w:val="0"/>
                <w:sz w:val="22"/>
                <w:szCs w:val="22"/>
              </w:rPr>
            </w:pPr>
            <w:r w:rsidRPr="001026FD">
              <w:rPr>
                <w:rFonts w:asciiTheme="majorHAnsi" w:hAnsiTheme="majorHAnsi" w:cstheme="majorHAnsi"/>
                <w:b w:val="0"/>
                <w:bCs w:val="0"/>
                <w:sz w:val="22"/>
                <w:szCs w:val="22"/>
              </w:rPr>
              <w:t>Nuodugniai patikrinama sistemos funkcionalumas ir techninė būklė</w:t>
            </w:r>
          </w:p>
        </w:tc>
        <w:tc>
          <w:tcPr>
            <w:tcW w:w="2277" w:type="dxa"/>
          </w:tcPr>
          <w:p w14:paraId="4E6A11F8" w14:textId="77777777" w:rsidR="001026FD" w:rsidRPr="001026FD" w:rsidRDefault="001026FD" w:rsidP="009B2943">
            <w:pPr>
              <w:pStyle w:val="Pavadinimas"/>
              <w:jc w:val="left"/>
              <w:rPr>
                <w:rFonts w:asciiTheme="majorHAnsi" w:hAnsiTheme="majorHAnsi" w:cstheme="majorHAnsi"/>
                <w:b w:val="0"/>
                <w:bCs w:val="0"/>
                <w:sz w:val="22"/>
                <w:szCs w:val="22"/>
              </w:rPr>
            </w:pPr>
            <w:r w:rsidRPr="001026FD">
              <w:rPr>
                <w:rFonts w:asciiTheme="majorHAnsi" w:hAnsiTheme="majorHAnsi" w:cstheme="majorHAnsi"/>
                <w:b w:val="0"/>
                <w:bCs w:val="0"/>
                <w:sz w:val="22"/>
                <w:szCs w:val="22"/>
              </w:rPr>
              <w:t>Patikrinimas vykdomas 3 kartus per metus</w:t>
            </w:r>
          </w:p>
        </w:tc>
      </w:tr>
      <w:tr w:rsidR="001026FD" w:rsidRPr="001026FD" w14:paraId="271E73FC" w14:textId="77777777" w:rsidTr="001026FD">
        <w:trPr>
          <w:trHeight w:val="409"/>
          <w:jc w:val="center"/>
        </w:trPr>
        <w:tc>
          <w:tcPr>
            <w:tcW w:w="704" w:type="dxa"/>
            <w:vAlign w:val="center"/>
          </w:tcPr>
          <w:p w14:paraId="7E4A03F4" w14:textId="77777777" w:rsidR="001026FD" w:rsidRPr="001026FD" w:rsidRDefault="001026FD" w:rsidP="009B2943">
            <w:pPr>
              <w:pStyle w:val="Pavadinimas"/>
              <w:rPr>
                <w:rFonts w:asciiTheme="majorHAnsi" w:eastAsia="Arial Unicode MS" w:hAnsiTheme="majorHAnsi" w:cstheme="majorHAnsi"/>
                <w:b w:val="0"/>
                <w:sz w:val="22"/>
                <w:szCs w:val="22"/>
              </w:rPr>
            </w:pPr>
            <w:r w:rsidRPr="001026FD">
              <w:rPr>
                <w:rFonts w:asciiTheme="majorHAnsi" w:eastAsia="Arial Unicode MS" w:hAnsiTheme="majorHAnsi" w:cstheme="majorHAnsi"/>
                <w:b w:val="0"/>
                <w:sz w:val="22"/>
                <w:szCs w:val="22"/>
              </w:rPr>
              <w:lastRenderedPageBreak/>
              <w:t>4.</w:t>
            </w:r>
          </w:p>
        </w:tc>
        <w:tc>
          <w:tcPr>
            <w:tcW w:w="4104" w:type="dxa"/>
            <w:vAlign w:val="center"/>
          </w:tcPr>
          <w:p w14:paraId="7886A12C" w14:textId="77777777" w:rsidR="001026FD" w:rsidRPr="001026FD" w:rsidRDefault="001026FD" w:rsidP="009B2943">
            <w:pPr>
              <w:pStyle w:val="Pavadinimas"/>
              <w:jc w:val="left"/>
              <w:rPr>
                <w:rFonts w:asciiTheme="majorHAnsi" w:hAnsiTheme="majorHAnsi" w:cstheme="majorHAnsi"/>
                <w:b w:val="0"/>
                <w:sz w:val="22"/>
                <w:szCs w:val="22"/>
              </w:rPr>
            </w:pPr>
            <w:r w:rsidRPr="001026FD">
              <w:rPr>
                <w:rFonts w:asciiTheme="majorHAnsi" w:hAnsiTheme="majorHAnsi" w:cstheme="majorHAnsi"/>
                <w:b w:val="0"/>
                <w:iCs/>
                <w:sz w:val="22"/>
                <w:szCs w:val="22"/>
              </w:rPr>
              <w:t>Apsauginės, gaisrinės signalizacijos, automatinio gesinimo dujomis, vaizdo stebėjimo bei įeigos kontrolės sistemų</w:t>
            </w:r>
            <w:r w:rsidRPr="001026FD">
              <w:rPr>
                <w:rFonts w:asciiTheme="majorHAnsi" w:eastAsia="Arial Unicode MS" w:hAnsiTheme="majorHAnsi" w:cstheme="majorHAnsi"/>
                <w:b w:val="0"/>
                <w:sz w:val="22"/>
                <w:szCs w:val="22"/>
              </w:rPr>
              <w:t xml:space="preserve"> remonto paslaugos</w:t>
            </w:r>
          </w:p>
        </w:tc>
        <w:tc>
          <w:tcPr>
            <w:tcW w:w="2408" w:type="dxa"/>
            <w:vAlign w:val="center"/>
          </w:tcPr>
          <w:p w14:paraId="5FE206CD" w14:textId="77777777" w:rsidR="001026FD" w:rsidRPr="001026FD" w:rsidRDefault="001026FD" w:rsidP="009B2943">
            <w:pPr>
              <w:pStyle w:val="Pavadinimas"/>
              <w:jc w:val="left"/>
              <w:rPr>
                <w:rFonts w:asciiTheme="majorHAnsi" w:hAnsiTheme="majorHAnsi" w:cstheme="majorHAnsi"/>
                <w:b w:val="0"/>
                <w:bCs w:val="0"/>
                <w:sz w:val="22"/>
                <w:szCs w:val="22"/>
              </w:rPr>
            </w:pPr>
            <w:r w:rsidRPr="001026FD">
              <w:rPr>
                <w:rFonts w:asciiTheme="majorHAnsi" w:hAnsiTheme="majorHAnsi" w:cstheme="majorHAnsi"/>
                <w:b w:val="0"/>
                <w:bCs w:val="0"/>
                <w:sz w:val="22"/>
                <w:szCs w:val="22"/>
              </w:rPr>
              <w:t>Remonto paslaugos pagal valandinį įkainį (Eur/val.)</w:t>
            </w:r>
          </w:p>
        </w:tc>
        <w:tc>
          <w:tcPr>
            <w:tcW w:w="2277" w:type="dxa"/>
            <w:vAlign w:val="center"/>
          </w:tcPr>
          <w:p w14:paraId="7D2BBD03" w14:textId="77777777" w:rsidR="001026FD" w:rsidRPr="001026FD" w:rsidRDefault="001026FD" w:rsidP="009B2943">
            <w:pPr>
              <w:pStyle w:val="Pavadinimas"/>
              <w:jc w:val="left"/>
              <w:rPr>
                <w:rFonts w:asciiTheme="majorHAnsi" w:hAnsiTheme="majorHAnsi" w:cstheme="majorHAnsi"/>
                <w:b w:val="0"/>
                <w:sz w:val="22"/>
                <w:szCs w:val="22"/>
              </w:rPr>
            </w:pPr>
            <w:r w:rsidRPr="001026FD">
              <w:rPr>
                <w:rFonts w:asciiTheme="majorHAnsi" w:hAnsiTheme="majorHAnsi" w:cstheme="majorHAnsi"/>
                <w:b w:val="0"/>
                <w:sz w:val="22"/>
                <w:szCs w:val="22"/>
              </w:rPr>
              <w:t>10 val.</w:t>
            </w:r>
          </w:p>
        </w:tc>
      </w:tr>
      <w:bookmarkEnd w:id="0"/>
    </w:tbl>
    <w:p w14:paraId="7F6B6DBF" w14:textId="77777777" w:rsidR="001026FD" w:rsidRPr="001026FD" w:rsidRDefault="001026FD" w:rsidP="001026FD">
      <w:pPr>
        <w:jc w:val="both"/>
        <w:rPr>
          <w:rFonts w:asciiTheme="majorHAnsi" w:hAnsiTheme="majorHAnsi" w:cstheme="majorHAnsi"/>
          <w:sz w:val="22"/>
        </w:rPr>
      </w:pPr>
    </w:p>
    <w:p w14:paraId="575E25EE" w14:textId="77777777" w:rsidR="001026FD" w:rsidRPr="001026FD" w:rsidRDefault="001026FD" w:rsidP="001026FD">
      <w:pPr>
        <w:pStyle w:val="Sraopastraipa"/>
        <w:numPr>
          <w:ilvl w:val="1"/>
          <w:numId w:val="4"/>
        </w:numPr>
        <w:tabs>
          <w:tab w:val="left" w:pos="426"/>
          <w:tab w:val="left" w:pos="567"/>
          <w:tab w:val="left" w:pos="851"/>
        </w:tabs>
        <w:spacing w:after="0" w:line="240" w:lineRule="auto"/>
        <w:ind w:left="0" w:firstLine="0"/>
        <w:jc w:val="both"/>
        <w:rPr>
          <w:rFonts w:asciiTheme="majorHAnsi" w:hAnsiTheme="majorHAnsi" w:cstheme="majorHAnsi"/>
        </w:rPr>
      </w:pPr>
      <w:r w:rsidRPr="001026FD">
        <w:rPr>
          <w:rFonts w:asciiTheme="majorHAnsi" w:hAnsiTheme="majorHAnsi" w:cstheme="majorHAnsi"/>
        </w:rPr>
        <w:t xml:space="preserve">Paslaugų teikėjas privalo turėti 24 valandas per parą ir 7 dienas per savaitę veikiančią aptarnavimo tarnybą. Sugedus </w:t>
      </w:r>
      <w:r w:rsidRPr="001026FD">
        <w:rPr>
          <w:rFonts w:asciiTheme="majorHAnsi" w:hAnsiTheme="majorHAnsi" w:cstheme="majorHAnsi"/>
          <w:iCs/>
        </w:rPr>
        <w:t>apsauginės, gaisrinės signalizacijos, automatinio gesinimo dujomis, vaizdo stebėjimo ar įeigos kontrolės sistemoms</w:t>
      </w:r>
      <w:r w:rsidRPr="001026FD">
        <w:rPr>
          <w:rFonts w:asciiTheme="majorHAnsi" w:hAnsiTheme="majorHAnsi" w:cstheme="majorHAnsi"/>
        </w:rPr>
        <w:t xml:space="preserve"> remontas atliekamas pagal atskirą iškvietimą. Atvykstama ne vėliau nei per 2 valandų nuo iškvietimo. Atlikti darbai įforminami dvišaliu aktu.</w:t>
      </w:r>
    </w:p>
    <w:p w14:paraId="51E20AE1" w14:textId="77777777" w:rsidR="001026FD" w:rsidRPr="001026FD" w:rsidRDefault="001026FD" w:rsidP="001026FD">
      <w:pPr>
        <w:pStyle w:val="Sraopastraipa"/>
        <w:numPr>
          <w:ilvl w:val="1"/>
          <w:numId w:val="4"/>
        </w:numPr>
        <w:tabs>
          <w:tab w:val="left" w:pos="426"/>
          <w:tab w:val="left" w:pos="567"/>
          <w:tab w:val="left" w:pos="851"/>
        </w:tabs>
        <w:spacing w:after="0" w:line="240" w:lineRule="auto"/>
        <w:ind w:left="0" w:firstLine="0"/>
        <w:jc w:val="both"/>
        <w:rPr>
          <w:rFonts w:asciiTheme="majorHAnsi" w:hAnsiTheme="majorHAnsi" w:cstheme="majorHAnsi"/>
        </w:rPr>
      </w:pPr>
      <w:r w:rsidRPr="001026FD">
        <w:rPr>
          <w:rFonts w:asciiTheme="majorHAnsi" w:hAnsiTheme="majorHAnsi" w:cstheme="majorHAnsi"/>
          <w:color w:val="000000"/>
        </w:rPr>
        <w:t>Techninės būklės patikrinimo paslaugos</w:t>
      </w:r>
      <w:r w:rsidRPr="001026FD">
        <w:rPr>
          <w:rFonts w:asciiTheme="majorHAnsi" w:hAnsiTheme="majorHAnsi" w:cstheme="majorHAnsi"/>
        </w:rPr>
        <w:t xml:space="preserve"> turi būti teikiamos </w:t>
      </w:r>
      <w:r w:rsidRPr="001026FD">
        <w:rPr>
          <w:rFonts w:asciiTheme="majorHAnsi" w:hAnsiTheme="majorHAnsi" w:cstheme="majorHAnsi"/>
          <w:color w:val="000000"/>
        </w:rPr>
        <w:t xml:space="preserve">pagal su Klientu suderintą paslaugų teikimo grafiką. </w:t>
      </w:r>
    </w:p>
    <w:p w14:paraId="735A7C9B" w14:textId="08BEBD0E" w:rsidR="0012099D" w:rsidRPr="0012099D" w:rsidRDefault="0012099D" w:rsidP="0012099D">
      <w:pPr>
        <w:pStyle w:val="Sraopastraipa"/>
        <w:numPr>
          <w:ilvl w:val="0"/>
          <w:numId w:val="4"/>
        </w:numPr>
        <w:tabs>
          <w:tab w:val="left" w:pos="426"/>
          <w:tab w:val="left" w:pos="1276"/>
        </w:tabs>
        <w:spacing w:after="0" w:line="240" w:lineRule="auto"/>
        <w:jc w:val="both"/>
        <w:rPr>
          <w:rFonts w:ascii="Calibri Light" w:hAnsi="Calibri Light" w:cs="Calibri Light"/>
          <w:b/>
          <w:bCs/>
        </w:rPr>
      </w:pPr>
      <w:r w:rsidRPr="0012099D">
        <w:rPr>
          <w:rFonts w:ascii="Calibri Light" w:hAnsi="Calibri Light" w:cs="Calibri Light"/>
        </w:rPr>
        <w:t xml:space="preserve"> </w:t>
      </w:r>
      <w:r w:rsidRPr="0012099D">
        <w:rPr>
          <w:rFonts w:ascii="Calibri Light" w:hAnsi="Calibri Light" w:cs="Calibri Light"/>
          <w:b/>
          <w:bCs/>
        </w:rPr>
        <w:t xml:space="preserve">Aplinkos apsaugos kriterijai, kurie taikomi paslaugoms:  </w:t>
      </w:r>
    </w:p>
    <w:p w14:paraId="716B44B6" w14:textId="52FF1387" w:rsidR="0012099D" w:rsidRPr="0012099D" w:rsidRDefault="0012099D" w:rsidP="0012099D">
      <w:pPr>
        <w:jc w:val="both"/>
        <w:rPr>
          <w:rFonts w:asciiTheme="majorHAnsi" w:hAnsiTheme="majorHAnsi" w:cstheme="majorHAnsi"/>
          <w:sz w:val="22"/>
        </w:rPr>
      </w:pPr>
      <w:r w:rsidRPr="0012099D">
        <w:rPr>
          <w:rFonts w:asciiTheme="majorHAnsi" w:hAnsiTheme="majorHAnsi" w:cstheme="majorHAnsi"/>
          <w:sz w:val="22"/>
        </w:rPr>
        <w:t xml:space="preserve">5.1.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w:t>
      </w:r>
    </w:p>
    <w:p w14:paraId="3B37E471" w14:textId="35D84145" w:rsidR="0012099D" w:rsidRPr="0012099D" w:rsidRDefault="00881C89" w:rsidP="00881C89">
      <w:pPr>
        <w:pStyle w:val="Sraopastraipa"/>
        <w:numPr>
          <w:ilvl w:val="1"/>
          <w:numId w:val="5"/>
        </w:numPr>
        <w:ind w:left="0" w:firstLine="0"/>
        <w:jc w:val="both"/>
        <w:rPr>
          <w:rFonts w:asciiTheme="majorHAnsi" w:hAnsiTheme="majorHAnsi" w:cstheme="majorHAnsi"/>
        </w:rPr>
      </w:pPr>
      <w:r>
        <w:rPr>
          <w:rFonts w:asciiTheme="majorHAnsi" w:hAnsiTheme="majorHAnsi" w:cstheme="majorHAnsi"/>
        </w:rPr>
        <w:t>t</w:t>
      </w:r>
      <w:r w:rsidR="0012099D" w:rsidRPr="0012099D">
        <w:rPr>
          <w:rFonts w:asciiTheme="majorHAnsi" w:hAnsiTheme="majorHAnsi" w:cstheme="majorHAnsi"/>
        </w:rPr>
        <w:t>inkamai rūšiuoti susidariusias atliekas, remonto, atsarginių medžiagų ar detalių  keitimo metu susidarančios atliekos būtų tvarkomos pagal galiojančius aplinkos apsaugos teisės aktus;</w:t>
      </w:r>
    </w:p>
    <w:p w14:paraId="1905F499" w14:textId="0578C9C0" w:rsidR="0012099D" w:rsidRDefault="0012099D" w:rsidP="0012099D">
      <w:pPr>
        <w:jc w:val="both"/>
        <w:rPr>
          <w:rFonts w:asciiTheme="majorHAnsi" w:hAnsiTheme="majorHAnsi" w:cstheme="majorHAnsi"/>
          <w:sz w:val="22"/>
        </w:rPr>
      </w:pPr>
      <w:r w:rsidRPr="0012099D">
        <w:rPr>
          <w:rFonts w:asciiTheme="majorHAnsi" w:hAnsiTheme="majorHAnsi" w:cstheme="majorHAnsi"/>
          <w:sz w:val="22"/>
        </w:rPr>
        <w:t xml:space="preserve">5.3. užtikrinti, kad visi panaudoti ir netinkami naudojimui </w:t>
      </w:r>
      <w:r w:rsidR="000E6DCF">
        <w:rPr>
          <w:rFonts w:asciiTheme="majorHAnsi" w:hAnsiTheme="majorHAnsi" w:cstheme="majorHAnsi"/>
          <w:sz w:val="22"/>
        </w:rPr>
        <w:t>įr</w:t>
      </w:r>
      <w:r w:rsidRPr="0012099D">
        <w:rPr>
          <w:rFonts w:asciiTheme="majorHAnsi" w:hAnsiTheme="majorHAnsi" w:cstheme="majorHAnsi"/>
          <w:sz w:val="22"/>
        </w:rPr>
        <w:t>enginiai, detalės, medžiagos būtų perduodamos perdirbimui arba utilizavimui.</w:t>
      </w:r>
    </w:p>
    <w:p w14:paraId="589FF7A5" w14:textId="77777777" w:rsidR="0012099D" w:rsidRDefault="0012099D" w:rsidP="0012099D">
      <w:pPr>
        <w:jc w:val="both"/>
        <w:rPr>
          <w:rFonts w:asciiTheme="majorHAnsi" w:hAnsiTheme="majorHAnsi" w:cstheme="majorHAnsi"/>
          <w:sz w:val="22"/>
        </w:rPr>
      </w:pPr>
    </w:p>
    <w:p w14:paraId="44E9C7D1" w14:textId="14854B21" w:rsidR="005C7C8B" w:rsidRPr="001026FD" w:rsidRDefault="001026FD" w:rsidP="0012099D">
      <w:pPr>
        <w:jc w:val="both"/>
        <w:rPr>
          <w:rFonts w:asciiTheme="majorHAnsi" w:hAnsiTheme="majorHAnsi" w:cstheme="majorHAnsi"/>
          <w:sz w:val="22"/>
        </w:rPr>
      </w:pPr>
      <w:r w:rsidRPr="001026FD">
        <w:rPr>
          <w:rFonts w:asciiTheme="majorHAnsi" w:hAnsiTheme="majorHAnsi" w:cstheme="majorHAnsi"/>
          <w:sz w:val="22"/>
        </w:rPr>
        <w:t xml:space="preserve">                                                                          </w:t>
      </w:r>
      <w:r w:rsidR="005C7C8B" w:rsidRPr="001026FD">
        <w:rPr>
          <w:rFonts w:asciiTheme="majorHAnsi" w:hAnsiTheme="majorHAnsi" w:cstheme="majorHAnsi"/>
          <w:sz w:val="22"/>
        </w:rPr>
        <w:t>________________________</w:t>
      </w:r>
    </w:p>
    <w:p w14:paraId="4CE52A80" w14:textId="3DE37A7A" w:rsidR="005C7C8B" w:rsidRPr="001026FD" w:rsidRDefault="005C6F68" w:rsidP="005C7C8B">
      <w:pPr>
        <w:ind w:firstLine="720"/>
        <w:jc w:val="both"/>
        <w:rPr>
          <w:rFonts w:asciiTheme="majorHAnsi" w:hAnsiTheme="majorHAnsi" w:cstheme="majorHAnsi"/>
          <w:sz w:val="22"/>
        </w:rPr>
      </w:pPr>
      <w:r w:rsidRPr="001026FD">
        <w:rPr>
          <w:rFonts w:asciiTheme="majorHAnsi" w:hAnsiTheme="majorHAnsi" w:cstheme="majorHAnsi"/>
          <w:b/>
          <w:sz w:val="22"/>
        </w:rPr>
        <w:t xml:space="preserve"> </w:t>
      </w:r>
    </w:p>
    <w:p w14:paraId="21A09097" w14:textId="77777777" w:rsidR="005C7C8B" w:rsidRPr="001026FD" w:rsidRDefault="005C7C8B" w:rsidP="005C7C8B">
      <w:pPr>
        <w:rPr>
          <w:rFonts w:asciiTheme="majorHAnsi" w:hAnsiTheme="majorHAnsi" w:cstheme="majorHAnsi"/>
          <w:sz w:val="22"/>
        </w:rPr>
      </w:pPr>
    </w:p>
    <w:p w14:paraId="27D7C766" w14:textId="77777777" w:rsidR="005C7C8B" w:rsidRPr="00A331AA" w:rsidRDefault="005C7C8B" w:rsidP="005C7C8B">
      <w:pPr>
        <w:rPr>
          <w:rFonts w:ascii="Calibri Light" w:hAnsi="Calibri Light" w:cs="Calibri Light"/>
          <w:sz w:val="22"/>
        </w:rPr>
      </w:pPr>
    </w:p>
    <w:p w14:paraId="4A4B0C5C" w14:textId="1C096607" w:rsidR="00683C0C" w:rsidRPr="00A331AA" w:rsidRDefault="00683C0C">
      <w:pPr>
        <w:rPr>
          <w:rFonts w:ascii="Calibri Light" w:hAnsi="Calibri Light" w:cs="Calibri Light"/>
          <w:iCs/>
          <w:sz w:val="22"/>
        </w:rPr>
      </w:pPr>
    </w:p>
    <w:sectPr w:rsidR="00683C0C" w:rsidRPr="00A331AA" w:rsidSect="005C6F68">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420A4EBB"/>
    <w:multiLevelType w:val="multilevel"/>
    <w:tmpl w:val="6C9274A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50FB65A3"/>
    <w:multiLevelType w:val="hybridMultilevel"/>
    <w:tmpl w:val="EC2858E6"/>
    <w:lvl w:ilvl="0" w:tplc="E536C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0E5D85"/>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30B643C"/>
    <w:multiLevelType w:val="multilevel"/>
    <w:tmpl w:val="16AC36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4743979">
    <w:abstractNumId w:val="0"/>
  </w:num>
  <w:num w:numId="2" w16cid:durableId="1794522845">
    <w:abstractNumId w:val="3"/>
  </w:num>
  <w:num w:numId="3" w16cid:durableId="801994136">
    <w:abstractNumId w:val="2"/>
  </w:num>
  <w:num w:numId="4" w16cid:durableId="215354534">
    <w:abstractNumId w:val="1"/>
  </w:num>
  <w:num w:numId="5" w16cid:durableId="977610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MjE3NzM1AzKMLZR0lIJTi4sz8/NACgxrAZV9BTAsAAAA"/>
  </w:docVars>
  <w:rsids>
    <w:rsidRoot w:val="009F69B1"/>
    <w:rsid w:val="00002A8D"/>
    <w:rsid w:val="00037267"/>
    <w:rsid w:val="000C583A"/>
    <w:rsid w:val="000D77EF"/>
    <w:rsid w:val="000E1C43"/>
    <w:rsid w:val="000E6DCF"/>
    <w:rsid w:val="001026FD"/>
    <w:rsid w:val="001047CF"/>
    <w:rsid w:val="00111AC3"/>
    <w:rsid w:val="0012099D"/>
    <w:rsid w:val="001828A7"/>
    <w:rsid w:val="001D3FDB"/>
    <w:rsid w:val="001D7FEB"/>
    <w:rsid w:val="001E7A02"/>
    <w:rsid w:val="0029411E"/>
    <w:rsid w:val="00321874"/>
    <w:rsid w:val="00321D12"/>
    <w:rsid w:val="00326B6E"/>
    <w:rsid w:val="003C3231"/>
    <w:rsid w:val="004304ED"/>
    <w:rsid w:val="004440E7"/>
    <w:rsid w:val="00452D65"/>
    <w:rsid w:val="004A53C7"/>
    <w:rsid w:val="004C58AF"/>
    <w:rsid w:val="00541156"/>
    <w:rsid w:val="0057797F"/>
    <w:rsid w:val="005C6F68"/>
    <w:rsid w:val="005C7C8B"/>
    <w:rsid w:val="00683C0C"/>
    <w:rsid w:val="0070488B"/>
    <w:rsid w:val="00711411"/>
    <w:rsid w:val="00735D34"/>
    <w:rsid w:val="00825FAC"/>
    <w:rsid w:val="00881C89"/>
    <w:rsid w:val="00897EA6"/>
    <w:rsid w:val="008D3B2D"/>
    <w:rsid w:val="00995FF6"/>
    <w:rsid w:val="009F69B1"/>
    <w:rsid w:val="00A331AA"/>
    <w:rsid w:val="00B21BE6"/>
    <w:rsid w:val="00B225EC"/>
    <w:rsid w:val="00BC1F15"/>
    <w:rsid w:val="00D12884"/>
    <w:rsid w:val="00D26FFB"/>
    <w:rsid w:val="00D40DF5"/>
    <w:rsid w:val="00DC38BE"/>
    <w:rsid w:val="00E14947"/>
    <w:rsid w:val="00E53C87"/>
    <w:rsid w:val="00E66666"/>
    <w:rsid w:val="00E7788A"/>
    <w:rsid w:val="00F8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3">
    <w:name w:val="heading 3"/>
    <w:basedOn w:val="prastasis"/>
    <w:next w:val="prastasis"/>
    <w:link w:val="Antrat3Diagrama"/>
    <w:qFormat/>
    <w:rsid w:val="00A331AA"/>
    <w:pPr>
      <w:keepNext/>
      <w:suppressAutoHyphens w:val="0"/>
      <w:autoSpaceDN/>
      <w:spacing w:after="0" w:line="240" w:lineRule="auto"/>
      <w:jc w:val="center"/>
      <w:textAlignment w:val="auto"/>
      <w:outlineLvl w:val="2"/>
    </w:pPr>
    <w:rPr>
      <w:rFonts w:eastAsia="Times New Roman"/>
      <w:i/>
      <w:iCs/>
      <w:noProof/>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3Diagrama">
    <w:name w:val="Antraštė 3 Diagrama"/>
    <w:basedOn w:val="Numatytasispastraiposriftas"/>
    <w:link w:val="Antrat3"/>
    <w:rsid w:val="00A331AA"/>
    <w:rPr>
      <w:rFonts w:ascii="Times New Roman" w:eastAsia="Times New Roman" w:hAnsi="Times New Roman" w:cs="Times New Roman"/>
      <w:i/>
      <w:iCs/>
      <w:noProof/>
      <w:sz w:val="28"/>
      <w:szCs w:val="24"/>
      <w:lang w:val="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Lentele"/>
    <w:basedOn w:val="prastasis"/>
    <w:link w:val="SraopastraipaDiagrama"/>
    <w:uiPriority w:val="34"/>
    <w:qFormat/>
    <w:rsid w:val="00A331AA"/>
    <w:pPr>
      <w:suppressAutoHyphens w:val="0"/>
      <w:autoSpaceDN/>
      <w:spacing w:after="160" w:line="259" w:lineRule="auto"/>
      <w:ind w:left="720"/>
      <w:contextualSpacing/>
      <w:textAlignment w:val="auto"/>
    </w:pPr>
    <w:rPr>
      <w:rFonts w:ascii="Calibri" w:hAnsi="Calibr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331AA"/>
    <w:rPr>
      <w:rFonts w:ascii="Calibri" w:eastAsia="Calibri" w:hAnsi="Calibri" w:cs="Times New Roman"/>
      <w:lang w:val="lt-LT"/>
    </w:rPr>
  </w:style>
  <w:style w:type="paragraph" w:styleId="Pavadinimas">
    <w:name w:val="Title"/>
    <w:basedOn w:val="prastasis"/>
    <w:link w:val="PavadinimasDiagrama"/>
    <w:qFormat/>
    <w:rsid w:val="001026FD"/>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1026FD"/>
    <w:rPr>
      <w:rFonts w:ascii="Times New Roman" w:eastAsia="Times New Roman" w:hAnsi="Times New Roman" w:cs="Times New Roman"/>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2A8D"/>
    <w:rsid w:val="00037267"/>
    <w:rsid w:val="00064217"/>
    <w:rsid w:val="000C583A"/>
    <w:rsid w:val="000E4A95"/>
    <w:rsid w:val="0010031B"/>
    <w:rsid w:val="001047CF"/>
    <w:rsid w:val="001828A7"/>
    <w:rsid w:val="001B41E4"/>
    <w:rsid w:val="001D7FEB"/>
    <w:rsid w:val="0020343C"/>
    <w:rsid w:val="004304ED"/>
    <w:rsid w:val="00434E8B"/>
    <w:rsid w:val="004A53C7"/>
    <w:rsid w:val="00541156"/>
    <w:rsid w:val="0057797F"/>
    <w:rsid w:val="005B4FFA"/>
    <w:rsid w:val="005B51A6"/>
    <w:rsid w:val="005E1C2C"/>
    <w:rsid w:val="0070488B"/>
    <w:rsid w:val="00743892"/>
    <w:rsid w:val="00764A39"/>
    <w:rsid w:val="007F7220"/>
    <w:rsid w:val="0082763A"/>
    <w:rsid w:val="00897EA6"/>
    <w:rsid w:val="008A75A7"/>
    <w:rsid w:val="008D3B2D"/>
    <w:rsid w:val="009C6CA6"/>
    <w:rsid w:val="00AC789D"/>
    <w:rsid w:val="00B21BE6"/>
    <w:rsid w:val="00B225EC"/>
    <w:rsid w:val="00BD1B19"/>
    <w:rsid w:val="00C232F5"/>
    <w:rsid w:val="00C5199B"/>
    <w:rsid w:val="00D7642B"/>
    <w:rsid w:val="00DE4D7B"/>
    <w:rsid w:val="00E25E51"/>
    <w:rsid w:val="00EA743B"/>
    <w:rsid w:val="00F01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3355</Words>
  <Characters>1913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7</cp:revision>
  <dcterms:created xsi:type="dcterms:W3CDTF">2025-08-11T08:24:00Z</dcterms:created>
  <dcterms:modified xsi:type="dcterms:W3CDTF">2025-08-13T12:04:00Z</dcterms:modified>
</cp:coreProperties>
</file>