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BED0" w14:textId="77777777" w:rsidR="00157E21" w:rsidRPr="0055559E" w:rsidRDefault="00157E21" w:rsidP="00157E21">
      <w:pPr>
        <w:keepNext/>
        <w:spacing w:line="240" w:lineRule="auto"/>
        <w:jc w:val="center"/>
        <w:outlineLvl w:val="0"/>
        <w:rPr>
          <w:rFonts w:ascii="Times New Roman" w:eastAsia="Times New Roman" w:hAnsi="Times New Roman" w:cs="Times New Roman"/>
          <w:b/>
          <w:sz w:val="24"/>
          <w:szCs w:val="24"/>
        </w:rPr>
      </w:pPr>
      <w:r w:rsidRPr="0055559E">
        <w:rPr>
          <w:rFonts w:ascii="Times New Roman" w:eastAsia="Times New Roman" w:hAnsi="Times New Roman" w:cs="Times New Roman"/>
          <w:b/>
          <w:sz w:val="24"/>
          <w:szCs w:val="24"/>
        </w:rPr>
        <w:t>TECHNINĖ SPECIFIKACIJA</w:t>
      </w:r>
    </w:p>
    <w:p w14:paraId="03ECF1DB" w14:textId="77777777" w:rsidR="00157E21" w:rsidRPr="0055559E" w:rsidRDefault="00157E21" w:rsidP="00157E21">
      <w:pPr>
        <w:spacing w:line="360" w:lineRule="auto"/>
        <w:ind w:left="181" w:right="-17"/>
        <w:jc w:val="center"/>
        <w:rPr>
          <w:rFonts w:ascii="Times New Roman" w:eastAsia="Times New Roman" w:hAnsi="Times New Roman" w:cs="Times New Roman"/>
          <w:b/>
          <w:sz w:val="24"/>
          <w:szCs w:val="24"/>
          <w:lang w:eastAsia="en-US"/>
        </w:rPr>
      </w:pPr>
    </w:p>
    <w:p w14:paraId="34070C31" w14:textId="77777777" w:rsidR="00157E21" w:rsidRPr="0055559E" w:rsidRDefault="00157E21" w:rsidP="00157E21">
      <w:pPr>
        <w:spacing w:line="240" w:lineRule="auto"/>
        <w:ind w:left="181" w:right="-17"/>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kontekstas ir teisinis pagrindas</w:t>
      </w:r>
    </w:p>
    <w:p w14:paraId="0D6B7F08" w14:textId="00EEEA3F" w:rsidR="00157E21" w:rsidRPr="0055559E" w:rsidRDefault="00157E21" w:rsidP="00157E21">
      <w:pPr>
        <w:spacing w:line="288" w:lineRule="auto"/>
        <w:ind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Atsižvelgiant į ES biologinės įvairovės strategiją</w:t>
      </w:r>
      <w:r w:rsidRPr="0055559E">
        <w:rPr>
          <w:rFonts w:ascii="Times New Roman" w:eastAsia="Times New Roman" w:hAnsi="Times New Roman" w:cs="Times New Roman"/>
          <w:sz w:val="24"/>
          <w:szCs w:val="24"/>
          <w:vertAlign w:val="superscript"/>
          <w:lang w:eastAsia="en-US"/>
        </w:rPr>
        <w:footnoteReference w:id="1"/>
      </w:r>
      <w:r w:rsidRPr="0055559E">
        <w:rPr>
          <w:rFonts w:ascii="Times New Roman" w:eastAsia="Times New Roman" w:hAnsi="Times New Roman" w:cs="Times New Roman"/>
          <w:sz w:val="24"/>
          <w:szCs w:val="24"/>
          <w:lang w:eastAsia="en-US"/>
        </w:rPr>
        <w:t xml:space="preserve">,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w:t>
      </w:r>
      <w:proofErr w:type="spellStart"/>
      <w:r w:rsidRPr="0055559E">
        <w:rPr>
          <w:rFonts w:ascii="Times New Roman" w:eastAsia="Times New Roman" w:hAnsi="Times New Roman" w:cs="Times New Roman"/>
          <w:sz w:val="24"/>
          <w:szCs w:val="24"/>
          <w:lang w:eastAsia="en-US"/>
        </w:rPr>
        <w:t>įžuvintų</w:t>
      </w:r>
      <w:proofErr w:type="spellEnd"/>
      <w:r w:rsidRPr="0055559E">
        <w:rPr>
          <w:rFonts w:ascii="Times New Roman" w:eastAsia="Times New Roman" w:hAnsi="Times New Roman" w:cs="Times New Roman"/>
          <w:sz w:val="24"/>
          <w:szCs w:val="24"/>
          <w:lang w:eastAsia="en-US"/>
        </w:rPr>
        <w:t xml:space="preserve"> akvakultūros tvenkinių teritorijoje būtų taikomos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priemonės, skirtos aplinkos, biologinės įvairovės apsaugai ir gerinimui. Programoje numatyta remti akvakultūros teikiamas </w:t>
      </w:r>
      <w:proofErr w:type="spellStart"/>
      <w:r w:rsidRPr="0055559E">
        <w:rPr>
          <w:rFonts w:ascii="Times New Roman" w:eastAsia="Times New Roman" w:hAnsi="Times New Roman" w:cs="Times New Roman"/>
          <w:sz w:val="24"/>
          <w:szCs w:val="24"/>
          <w:lang w:eastAsia="en-US"/>
        </w:rPr>
        <w:t>ekosistemines</w:t>
      </w:r>
      <w:proofErr w:type="spellEnd"/>
      <w:r w:rsidRPr="0055559E">
        <w:rPr>
          <w:rFonts w:ascii="Times New Roman" w:eastAsia="Times New Roman" w:hAnsi="Times New Roman" w:cs="Times New Roman"/>
          <w:sz w:val="24"/>
          <w:szCs w:val="24"/>
          <w:lang w:eastAsia="en-US"/>
        </w:rPr>
        <w:t xml:space="preserve"> paslaugas skatinant aplinkosaugines funkcijas atliekančios akvakultūros plėtojimą, remiant biologinės įvairovės išsaugojimui ir poveikio natūraliems vandens telkiniams mažinimui reikalingų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įgyvendinimą.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planuose. Metinė kompensacija už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įgyvendinimą susideda iš dviejų dalių: papildomos išlaidos dėl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planų įgyvendinimo ir papildomos išlaidos </w:t>
      </w:r>
      <w:r w:rsidR="00944F5E" w:rsidRPr="00944F5E">
        <w:rPr>
          <w:rFonts w:ascii="Times New Roman" w:eastAsia="Times New Roman" w:hAnsi="Times New Roman" w:cs="Times New Roman"/>
          <w:sz w:val="22"/>
          <w:szCs w:val="22"/>
          <w:lang w:eastAsia="en-US"/>
        </w:rPr>
        <w:t xml:space="preserve">ir (arba) </w:t>
      </w:r>
      <w:r w:rsidRPr="0055559E">
        <w:rPr>
          <w:rFonts w:ascii="Times New Roman" w:eastAsia="Times New Roman" w:hAnsi="Times New Roman" w:cs="Times New Roman"/>
          <w:sz w:val="24"/>
          <w:szCs w:val="24"/>
          <w:lang w:eastAsia="en-US"/>
        </w:rPr>
        <w:t xml:space="preserve">negautos pajamos dėl paukščių daromos žalos. Kompensacijos už paukščių žalą mokamos tik tiems, kas įgyvendina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planus. Kompensacijos dalis dėl paukščių daromos žalos atitinkamais metais apskaičiuojama atsižvelgiant į faktinę saugotinų žalą akvakultūrai darančių paukščių gausą (pagal </w:t>
      </w:r>
      <w:proofErr w:type="spellStart"/>
      <w:r w:rsidRPr="0055559E">
        <w:rPr>
          <w:rFonts w:ascii="Times New Roman" w:eastAsia="Times New Roman" w:hAnsi="Times New Roman" w:cs="Times New Roman"/>
          <w:sz w:val="24"/>
          <w:szCs w:val="24"/>
          <w:lang w:eastAsia="en-US"/>
        </w:rPr>
        <w:t>paukščiadienius</w:t>
      </w:r>
      <w:proofErr w:type="spellEnd"/>
      <w:r w:rsidRPr="0055559E">
        <w:rPr>
          <w:rFonts w:ascii="Times New Roman" w:eastAsia="Times New Roman" w:hAnsi="Times New Roman" w:cs="Times New Roman"/>
          <w:sz w:val="24"/>
          <w:szCs w:val="24"/>
          <w:lang w:eastAsia="en-US"/>
        </w:rPr>
        <w:t xml:space="preserve">).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Programos įgyvendinimą. Įvertinus 2024 m. duomenis, nustatyta, kad didžiausias paukščių skaičius tvenkinių akvakultūros ūkiuose buvo fiksuotas </w:t>
      </w:r>
      <w:r>
        <w:rPr>
          <w:rFonts w:ascii="Times New Roman" w:eastAsia="Times New Roman" w:hAnsi="Times New Roman" w:cs="Times New Roman"/>
          <w:sz w:val="24"/>
          <w:szCs w:val="24"/>
          <w:lang w:eastAsia="en-US"/>
        </w:rPr>
        <w:t>rugpjūčio</w:t>
      </w:r>
      <w:r w:rsidRPr="0055559E">
        <w:rPr>
          <w:rFonts w:ascii="Times New Roman" w:eastAsia="Times New Roman" w:hAnsi="Times New Roman" w:cs="Times New Roman"/>
          <w:sz w:val="24"/>
          <w:szCs w:val="24"/>
          <w:lang w:eastAsia="en-US"/>
        </w:rPr>
        <w:t xml:space="preserve"> – lapkričio mėnesiais. Siekiant surinkti objektyviausius duomenis ir stebėti jų dinamiką, 2025 m. tikslinga pakartoti paukščių skaičiavimą </w:t>
      </w:r>
      <w:r w:rsidR="00863C02">
        <w:rPr>
          <w:rFonts w:ascii="Times New Roman" w:eastAsia="Times New Roman" w:hAnsi="Times New Roman" w:cs="Times New Roman"/>
          <w:sz w:val="24"/>
          <w:szCs w:val="24"/>
          <w:lang w:eastAsia="en-US"/>
        </w:rPr>
        <w:t xml:space="preserve">pagal atskirus mėnesius </w:t>
      </w:r>
      <w:r w:rsidRPr="0055559E">
        <w:rPr>
          <w:rFonts w:ascii="Times New Roman" w:eastAsia="Times New Roman" w:hAnsi="Times New Roman" w:cs="Times New Roman"/>
          <w:sz w:val="24"/>
          <w:szCs w:val="24"/>
          <w:lang w:eastAsia="en-US"/>
        </w:rPr>
        <w:t xml:space="preserve">intensyviausiu jų lankymosi tvenkinių akvakultūros ūkiuose laikotarpiu. </w:t>
      </w:r>
    </w:p>
    <w:p w14:paraId="6FF51777" w14:textId="77777777" w:rsidR="00157E21" w:rsidRPr="0055559E" w:rsidRDefault="00157E21" w:rsidP="00157E21">
      <w:pPr>
        <w:spacing w:line="259"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br w:type="page"/>
      </w:r>
    </w:p>
    <w:p w14:paraId="28922DF6" w14:textId="77777777" w:rsidR="00157E21" w:rsidRPr="0055559E" w:rsidRDefault="00157E21" w:rsidP="00157E21">
      <w:pPr>
        <w:spacing w:line="288" w:lineRule="auto"/>
        <w:ind w:firstLine="731"/>
        <w:jc w:val="both"/>
        <w:rPr>
          <w:rFonts w:ascii="Times New Roman" w:eastAsia="Times New Roman" w:hAnsi="Times New Roman" w:cs="Times New Roman"/>
          <w:sz w:val="24"/>
          <w:szCs w:val="24"/>
          <w:lang w:eastAsia="en-US"/>
        </w:rPr>
      </w:pPr>
    </w:p>
    <w:p w14:paraId="0AFA086B" w14:textId="77777777" w:rsidR="00157E21" w:rsidRPr="0055559E" w:rsidRDefault="00157E21" w:rsidP="00157E21">
      <w:pPr>
        <w:tabs>
          <w:tab w:val="left" w:pos="1134"/>
        </w:tabs>
        <w:spacing w:line="288" w:lineRule="auto"/>
        <w:ind w:firstLine="731"/>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tikslas ir uždaviniai</w:t>
      </w:r>
    </w:p>
    <w:p w14:paraId="3521A060" w14:textId="61567DB2" w:rsidR="00157E21" w:rsidRPr="0055559E" w:rsidRDefault="00157E21" w:rsidP="00157E21">
      <w:pPr>
        <w:numPr>
          <w:ilvl w:val="0"/>
          <w:numId w:val="2"/>
        </w:numPr>
        <w:spacing w:after="0" w:line="288" w:lineRule="auto"/>
        <w:ind w:left="0" w:firstLine="731"/>
        <w:jc w:val="both"/>
        <w:rPr>
          <w:rFonts w:ascii="Times New Roman" w:eastAsia="Times New Roman" w:hAnsi="Times New Roman" w:cs="Times New Roman"/>
          <w:sz w:val="24"/>
          <w:szCs w:val="24"/>
          <w:lang w:eastAsia="en-US"/>
        </w:rPr>
      </w:pPr>
      <w:bookmarkStart w:id="0" w:name="_Hlk149143850"/>
      <w:r w:rsidRPr="0055559E">
        <w:rPr>
          <w:rFonts w:ascii="Times New Roman" w:eastAsia="Times New Roman" w:hAnsi="Times New Roman" w:cs="Times New Roman"/>
          <w:sz w:val="24"/>
          <w:szCs w:val="24"/>
          <w:lang w:eastAsia="en-US"/>
        </w:rPr>
        <w:t>Tyrimo tikslas – surinkti patikimus duomenis apie žalą akvakultūros ūkiams darančių paukščių gausą 2025 m rug</w:t>
      </w:r>
      <w:r w:rsidR="00C80B9E">
        <w:rPr>
          <w:rFonts w:ascii="Times New Roman" w:eastAsia="Times New Roman" w:hAnsi="Times New Roman" w:cs="Times New Roman"/>
          <w:sz w:val="24"/>
          <w:szCs w:val="24"/>
          <w:lang w:eastAsia="en-US"/>
        </w:rPr>
        <w:t>sėjo</w:t>
      </w:r>
      <w:r w:rsidRPr="0055559E">
        <w:rPr>
          <w:rFonts w:ascii="Times New Roman" w:eastAsia="Times New Roman" w:hAnsi="Times New Roman" w:cs="Times New Roman"/>
          <w:sz w:val="24"/>
          <w:szCs w:val="24"/>
          <w:lang w:eastAsia="en-US"/>
        </w:rPr>
        <w:t xml:space="preserve"> – spalio mėnesiais (priklausomai nuo Sutarties pasirašymo datos, skaičiavimo laikotarpiai gali pasislinkti,</w:t>
      </w:r>
      <w:r w:rsidRPr="0055559E">
        <w:t xml:space="preserve"> </w:t>
      </w:r>
      <w:r w:rsidRPr="0055559E">
        <w:rPr>
          <w:rFonts w:ascii="Times New Roman" w:eastAsia="Times New Roman" w:hAnsi="Times New Roman" w:cs="Times New Roman"/>
          <w:sz w:val="24"/>
          <w:szCs w:val="24"/>
          <w:lang w:eastAsia="en-US"/>
        </w:rPr>
        <w:t xml:space="preserve">pavyzdžiui jei nespėjama paukščių skaičiavimo atlikti </w:t>
      </w:r>
      <w:r w:rsidR="00F85EEF">
        <w:rPr>
          <w:rFonts w:ascii="Times New Roman" w:eastAsia="Times New Roman" w:hAnsi="Times New Roman" w:cs="Times New Roman"/>
          <w:sz w:val="24"/>
          <w:szCs w:val="24"/>
          <w:lang w:eastAsia="en-US"/>
        </w:rPr>
        <w:t>2 kartus</w:t>
      </w:r>
      <w:r w:rsidR="00CB687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rug</w:t>
      </w:r>
      <w:r w:rsidR="000A28C9">
        <w:rPr>
          <w:rFonts w:ascii="Times New Roman" w:eastAsia="Times New Roman" w:hAnsi="Times New Roman" w:cs="Times New Roman"/>
          <w:sz w:val="24"/>
          <w:szCs w:val="24"/>
          <w:lang w:eastAsia="en-US"/>
        </w:rPr>
        <w:t>sėjo</w:t>
      </w:r>
      <w:r w:rsidRPr="0055559E">
        <w:rPr>
          <w:rFonts w:ascii="Times New Roman" w:eastAsia="Times New Roman" w:hAnsi="Times New Roman" w:cs="Times New Roman"/>
          <w:sz w:val="24"/>
          <w:szCs w:val="24"/>
          <w:lang w:eastAsia="en-US"/>
        </w:rPr>
        <w:t xml:space="preserve"> mėnesį, </w:t>
      </w:r>
      <w:r w:rsidR="00CB6872">
        <w:rPr>
          <w:rFonts w:ascii="Times New Roman" w:eastAsia="Times New Roman" w:hAnsi="Times New Roman" w:cs="Times New Roman"/>
          <w:sz w:val="24"/>
          <w:szCs w:val="24"/>
          <w:lang w:eastAsia="en-US"/>
        </w:rPr>
        <w:t>skaičiavimai atliekami 1 kartą rugsėjo mėnesį</w:t>
      </w:r>
      <w:r w:rsidR="00C1785C">
        <w:rPr>
          <w:rFonts w:ascii="Times New Roman" w:eastAsia="Times New Roman" w:hAnsi="Times New Roman" w:cs="Times New Roman"/>
          <w:sz w:val="24"/>
          <w:szCs w:val="24"/>
          <w:lang w:eastAsia="en-US"/>
        </w:rPr>
        <w:t xml:space="preserve">, </w:t>
      </w:r>
      <w:r w:rsidR="00B24D4B">
        <w:rPr>
          <w:rFonts w:ascii="Times New Roman" w:eastAsia="Times New Roman" w:hAnsi="Times New Roman" w:cs="Times New Roman"/>
          <w:sz w:val="24"/>
          <w:szCs w:val="24"/>
          <w:lang w:eastAsia="en-US"/>
        </w:rPr>
        <w:t xml:space="preserve">2 kartus </w:t>
      </w:r>
      <w:r w:rsidR="00B24D4B" w:rsidRPr="0055559E">
        <w:rPr>
          <w:rFonts w:ascii="Times New Roman" w:eastAsia="Times New Roman" w:hAnsi="Times New Roman" w:cs="Times New Roman"/>
          <w:sz w:val="24"/>
          <w:szCs w:val="24"/>
          <w:lang w:eastAsia="en-US"/>
        </w:rPr>
        <w:t>spalio mėnesį</w:t>
      </w:r>
      <w:r w:rsidR="00B3310E">
        <w:rPr>
          <w:rFonts w:ascii="Times New Roman" w:eastAsia="Times New Roman" w:hAnsi="Times New Roman" w:cs="Times New Roman"/>
          <w:sz w:val="24"/>
          <w:szCs w:val="24"/>
          <w:lang w:eastAsia="en-US"/>
        </w:rPr>
        <w:t>,</w:t>
      </w:r>
      <w:r w:rsidR="00B24D4B" w:rsidRPr="0055559E">
        <w:rPr>
          <w:rFonts w:ascii="Times New Roman" w:eastAsia="Times New Roman" w:hAnsi="Times New Roman" w:cs="Times New Roman"/>
          <w:sz w:val="24"/>
          <w:szCs w:val="24"/>
          <w:lang w:eastAsia="en-US"/>
        </w:rPr>
        <w:t xml:space="preserve"> </w:t>
      </w:r>
      <w:r w:rsidR="00B3310E">
        <w:rPr>
          <w:rFonts w:ascii="Times New Roman" w:eastAsia="Times New Roman" w:hAnsi="Times New Roman" w:cs="Times New Roman"/>
          <w:sz w:val="24"/>
          <w:szCs w:val="24"/>
          <w:lang w:eastAsia="en-US"/>
        </w:rPr>
        <w:t xml:space="preserve">1 kartą </w:t>
      </w:r>
      <w:r w:rsidR="00D623A3">
        <w:rPr>
          <w:rFonts w:ascii="Times New Roman" w:eastAsia="Times New Roman" w:hAnsi="Times New Roman" w:cs="Times New Roman"/>
          <w:sz w:val="24"/>
          <w:szCs w:val="24"/>
          <w:lang w:eastAsia="en-US"/>
        </w:rPr>
        <w:t>iki lapkričio 15 d.</w:t>
      </w:r>
      <w:r w:rsidR="00267BBE">
        <w:rPr>
          <w:rFonts w:ascii="Times New Roman" w:eastAsia="Times New Roman" w:hAnsi="Times New Roman" w:cs="Times New Roman"/>
          <w:sz w:val="24"/>
          <w:szCs w:val="24"/>
          <w:lang w:eastAsia="en-US"/>
        </w:rPr>
        <w:t>,</w:t>
      </w:r>
      <w:r w:rsidRPr="0055559E">
        <w:rPr>
          <w:rFonts w:ascii="Times New Roman" w:eastAsia="Times New Roman" w:hAnsi="Times New Roman" w:cs="Times New Roman"/>
          <w:sz w:val="24"/>
          <w:szCs w:val="24"/>
          <w:lang w:eastAsia="en-US"/>
        </w:rPr>
        <w:t xml:space="preserve"> iš viso </w:t>
      </w:r>
      <w:r w:rsidR="00E109EB" w:rsidRPr="0055559E">
        <w:rPr>
          <w:rFonts w:ascii="Times New Roman" w:eastAsia="Times New Roman" w:hAnsi="Times New Roman" w:cs="Times New Roman"/>
          <w:sz w:val="24"/>
          <w:szCs w:val="24"/>
          <w:lang w:eastAsia="en-US"/>
        </w:rPr>
        <w:t>atliekant</w:t>
      </w:r>
      <w:r w:rsidR="00E109EB">
        <w:rPr>
          <w:rFonts w:ascii="Times New Roman" w:eastAsia="Times New Roman" w:hAnsi="Times New Roman" w:cs="Times New Roman"/>
          <w:sz w:val="24"/>
          <w:szCs w:val="24"/>
          <w:lang w:eastAsia="en-US"/>
        </w:rPr>
        <w:t xml:space="preserve"> </w:t>
      </w:r>
      <w:r w:rsidR="00267BBE">
        <w:rPr>
          <w:rFonts w:ascii="Times New Roman" w:eastAsia="Times New Roman" w:hAnsi="Times New Roman" w:cs="Times New Roman"/>
          <w:sz w:val="24"/>
          <w:szCs w:val="24"/>
          <w:lang w:eastAsia="en-US"/>
        </w:rPr>
        <w:t>4</w:t>
      </w:r>
      <w:r w:rsidRPr="0055559E">
        <w:rPr>
          <w:rFonts w:ascii="Times New Roman" w:eastAsia="Times New Roman" w:hAnsi="Times New Roman" w:cs="Times New Roman"/>
          <w:sz w:val="24"/>
          <w:szCs w:val="24"/>
          <w:lang w:eastAsia="en-US"/>
        </w:rPr>
        <w:t xml:space="preserve"> paukščių skaičiavimus, grafiką iš anksto suderinus su ministerija), akvakultūros ūkiuose dalyvaujančiuose įgyvendinant Programos priemonę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įgyvendinimas“. Duomenys bus laikomi patikimais, jei jie bus renkami pagal 5 punkte nurodytą tvarką ir pristatytą metodiką.</w:t>
      </w:r>
    </w:p>
    <w:bookmarkEnd w:id="0"/>
    <w:p w14:paraId="661262DB" w14:textId="77777777" w:rsidR="00157E21" w:rsidRPr="0055559E" w:rsidRDefault="00157E21" w:rsidP="00157E21">
      <w:pPr>
        <w:numPr>
          <w:ilvl w:val="0"/>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uždaviniai: </w:t>
      </w:r>
    </w:p>
    <w:p w14:paraId="6A675F8C" w14:textId="63D6C215" w:rsidR="00157E21" w:rsidRPr="0055559E" w:rsidRDefault="00157E21" w:rsidP="00157E21">
      <w:pPr>
        <w:numPr>
          <w:ilvl w:val="1"/>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 gulbė nebylė), individų apskaitą 4 punkte nurodytų akvakultūros ūkių žuvininkystės tvenkiniuose </w:t>
      </w:r>
      <w:r w:rsidR="00ED20A6">
        <w:rPr>
          <w:rFonts w:ascii="Times New Roman" w:eastAsia="Times New Roman" w:hAnsi="Times New Roman" w:cs="Times New Roman"/>
          <w:sz w:val="24"/>
          <w:szCs w:val="24"/>
          <w:lang w:eastAsia="en-US"/>
        </w:rPr>
        <w:t>4</w:t>
      </w:r>
      <w:r w:rsidRPr="0055559E">
        <w:rPr>
          <w:rFonts w:ascii="Times New Roman" w:eastAsia="Times New Roman" w:hAnsi="Times New Roman" w:cs="Times New Roman"/>
          <w:sz w:val="24"/>
          <w:szCs w:val="24"/>
          <w:lang w:eastAsia="en-US"/>
        </w:rPr>
        <w:t xml:space="preserve"> kartus, pradedant nuo 2025 m. rug</w:t>
      </w:r>
      <w:r w:rsidR="00ED20A6">
        <w:rPr>
          <w:rFonts w:ascii="Times New Roman" w:eastAsia="Times New Roman" w:hAnsi="Times New Roman" w:cs="Times New Roman"/>
          <w:sz w:val="24"/>
          <w:szCs w:val="24"/>
          <w:lang w:eastAsia="en-US"/>
        </w:rPr>
        <w:t>sėjo</w:t>
      </w:r>
      <w:r w:rsidRPr="0055559E">
        <w:rPr>
          <w:rFonts w:ascii="Times New Roman" w:eastAsia="Times New Roman" w:hAnsi="Times New Roman" w:cs="Times New Roman"/>
          <w:sz w:val="24"/>
          <w:szCs w:val="24"/>
          <w:lang w:eastAsia="en-US"/>
        </w:rPr>
        <w:t xml:space="preserve"> mėnesio (arba, priklausomai nuo sutarties pasirašymo datos, kitą mėnesį, kaip tai nurodyta </w:t>
      </w:r>
      <w:r w:rsidR="00960DCD">
        <w:rPr>
          <w:rFonts w:ascii="Times New Roman" w:eastAsia="Times New Roman" w:hAnsi="Times New Roman" w:cs="Times New Roman"/>
          <w:sz w:val="24"/>
          <w:szCs w:val="24"/>
          <w:lang w:eastAsia="en-US"/>
        </w:rPr>
        <w:t>techninės specifikacijos 4</w:t>
      </w:r>
      <w:r w:rsidR="0013116E">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sz w:val="24"/>
          <w:szCs w:val="24"/>
          <w:lang w:eastAsia="en-US"/>
        </w:rPr>
        <w:t>punkt</w:t>
      </w:r>
      <w:r w:rsidR="0013116E">
        <w:rPr>
          <w:rFonts w:ascii="Times New Roman" w:eastAsia="Times New Roman" w:hAnsi="Times New Roman" w:cs="Times New Roman"/>
          <w:sz w:val="24"/>
          <w:szCs w:val="24"/>
          <w:lang w:eastAsia="en-US"/>
        </w:rPr>
        <w:t>e</w:t>
      </w:r>
      <w:r w:rsidRPr="0055559E">
        <w:rPr>
          <w:rFonts w:ascii="Times New Roman" w:hAnsi="Times New Roman" w:cs="Times New Roman"/>
          <w:bCs/>
          <w:sz w:val="24"/>
          <w:szCs w:val="24"/>
        </w:rPr>
        <w:t xml:space="preserve">). </w:t>
      </w:r>
    </w:p>
    <w:p w14:paraId="1AC95E98" w14:textId="4DB0CF0F" w:rsidR="00157E21" w:rsidRPr="0055559E" w:rsidRDefault="00157E21" w:rsidP="00157E21">
      <w:pPr>
        <w:numPr>
          <w:ilvl w:val="1"/>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laikantis 5 punkte nurodytos metodikos, apskaičiuoti 2.1 papunktyje nurodytų paukščių rūšių (kiekvienos atskirai) dienų, kai sulesama akvakultūros produkcija arba žuvų pašarai (toliau – </w:t>
      </w:r>
      <w:proofErr w:type="spellStart"/>
      <w:r w:rsidRPr="0055559E">
        <w:rPr>
          <w:rFonts w:ascii="Times New Roman" w:eastAsia="Times New Roman" w:hAnsi="Times New Roman" w:cs="Times New Roman"/>
          <w:sz w:val="24"/>
          <w:szCs w:val="24"/>
          <w:lang w:eastAsia="en-US"/>
        </w:rPr>
        <w:t>paukščiadieniai</w:t>
      </w:r>
      <w:proofErr w:type="spellEnd"/>
      <w:r w:rsidRPr="0055559E">
        <w:rPr>
          <w:rFonts w:ascii="Times New Roman" w:eastAsia="Times New Roman" w:hAnsi="Times New Roman" w:cs="Times New Roman"/>
          <w:sz w:val="24"/>
          <w:szCs w:val="24"/>
          <w:lang w:eastAsia="en-US"/>
        </w:rPr>
        <w:t xml:space="preserve">), skaičių kiekviename 4 punkte nurodytame akvakultūros ūkyje 2025 m </w:t>
      </w:r>
      <w:r w:rsidR="00277E35" w:rsidRPr="0055559E">
        <w:rPr>
          <w:rFonts w:ascii="Times New Roman" w:eastAsia="Times New Roman" w:hAnsi="Times New Roman" w:cs="Times New Roman"/>
          <w:sz w:val="24"/>
          <w:szCs w:val="24"/>
          <w:lang w:eastAsia="en-US"/>
        </w:rPr>
        <w:t>rug</w:t>
      </w:r>
      <w:r w:rsidR="00277E35">
        <w:rPr>
          <w:rFonts w:ascii="Times New Roman" w:eastAsia="Times New Roman" w:hAnsi="Times New Roman" w:cs="Times New Roman"/>
          <w:sz w:val="24"/>
          <w:szCs w:val="24"/>
          <w:lang w:eastAsia="en-US"/>
        </w:rPr>
        <w:t>sėjo</w:t>
      </w:r>
      <w:r w:rsidR="00277E35" w:rsidRPr="0055559E">
        <w:rPr>
          <w:rFonts w:ascii="Times New Roman" w:eastAsia="Times New Roman" w:hAnsi="Times New Roman" w:cs="Times New Roman"/>
          <w:sz w:val="24"/>
          <w:szCs w:val="24"/>
          <w:lang w:eastAsia="en-US"/>
        </w:rPr>
        <w:t xml:space="preserve"> – spalio mėnesiais </w:t>
      </w:r>
      <w:r w:rsidRPr="0055559E">
        <w:rPr>
          <w:rFonts w:ascii="Times New Roman" w:eastAsia="Times New Roman" w:hAnsi="Times New Roman" w:cs="Times New Roman"/>
          <w:sz w:val="24"/>
          <w:szCs w:val="24"/>
          <w:lang w:eastAsia="en-US"/>
        </w:rPr>
        <w:t xml:space="preserve">(arba kitais mėnesiais, kaip tai nurodyta </w:t>
      </w:r>
      <w:r w:rsidR="00FF179E">
        <w:rPr>
          <w:rFonts w:ascii="Times New Roman" w:eastAsia="Times New Roman" w:hAnsi="Times New Roman" w:cs="Times New Roman"/>
          <w:sz w:val="24"/>
          <w:szCs w:val="24"/>
          <w:lang w:eastAsia="en-US"/>
        </w:rPr>
        <w:t>Techninės specifikacijos</w:t>
      </w:r>
      <w:r w:rsidR="00174423">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sz w:val="24"/>
          <w:szCs w:val="24"/>
          <w:lang w:eastAsia="en-US"/>
        </w:rPr>
        <w:t>1 punkte</w:t>
      </w:r>
      <w:r w:rsidRPr="0055559E">
        <w:rPr>
          <w:rFonts w:ascii="Times New Roman" w:hAnsi="Times New Roman" w:cs="Times New Roman"/>
          <w:bCs/>
          <w:sz w:val="24"/>
          <w:szCs w:val="24"/>
        </w:rPr>
        <w:t>)</w:t>
      </w:r>
      <w:r w:rsidRPr="0055559E">
        <w:rPr>
          <w:rFonts w:ascii="Times New Roman" w:eastAsia="Times New Roman" w:hAnsi="Times New Roman" w:cs="Times New Roman"/>
          <w:sz w:val="24"/>
          <w:szCs w:val="24"/>
          <w:lang w:eastAsia="en-US"/>
        </w:rPr>
        <w:t xml:space="preserve"> mėn.</w:t>
      </w:r>
    </w:p>
    <w:p w14:paraId="3A3EB3CD" w14:textId="77777777" w:rsidR="00157E21" w:rsidRPr="0055559E" w:rsidRDefault="00157E21" w:rsidP="00157E21">
      <w:pPr>
        <w:numPr>
          <w:ilvl w:val="1"/>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2.1 papunktyje nurodytus duomenis teikti ministerijai (Tyrimą kuruojančiam ministerijos atstovui) už ataskaitinį mėnesį iki einamojo mėnesio 20 d. Duomenis numatoma viešinti. </w:t>
      </w:r>
    </w:p>
    <w:p w14:paraId="12849D5C" w14:textId="77777777" w:rsidR="00157E21" w:rsidRPr="0055559E" w:rsidRDefault="00157E21" w:rsidP="00157E21">
      <w:pPr>
        <w:numPr>
          <w:ilvl w:val="1"/>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2.2 papunktyje nurodytus duomenis pateikti Nacionalinei mokėjimo agentūrai prie Žemės ūkio ministerijos (toliau – agentūra) per vieną mėnesį nuo paskutinio paukščių skaičiavimo mėnesio paskutinės dienos.</w:t>
      </w:r>
    </w:p>
    <w:p w14:paraId="04959CC1" w14:textId="77777777" w:rsidR="00157E21" w:rsidRPr="0055559E" w:rsidRDefault="00157E21" w:rsidP="00157E21">
      <w:pPr>
        <w:numPr>
          <w:ilvl w:val="0"/>
          <w:numId w:val="2"/>
        </w:numPr>
        <w:spacing w:after="0" w:line="288" w:lineRule="auto"/>
        <w:ind w:left="0" w:firstLine="731"/>
        <w:jc w:val="both"/>
        <w:rPr>
          <w:rFonts w:ascii="Times New Roman" w:eastAsia="Times New Roman" w:hAnsi="Times New Roman" w:cs="Times New Roman"/>
          <w:iCs/>
          <w:sz w:val="24"/>
          <w:szCs w:val="24"/>
          <w:lang w:eastAsia="en-US"/>
        </w:rPr>
      </w:pPr>
      <w:r w:rsidRPr="0055559E">
        <w:rPr>
          <w:rFonts w:ascii="Times New Roman" w:eastAsia="Times New Roman" w:hAnsi="Times New Roman" w:cs="Times New Roman"/>
          <w:iCs/>
          <w:sz w:val="24"/>
          <w:szCs w:val="24"/>
          <w:lang w:eastAsia="en-US"/>
        </w:rPr>
        <w:t>Ministerijai, agentūrai ar kitoms oficialioms institucijoms paprašius, duomenis ir rezultatus paaiškinti.</w:t>
      </w:r>
    </w:p>
    <w:p w14:paraId="7AAB52C7" w14:textId="77777777" w:rsidR="00157E21" w:rsidRPr="0055559E" w:rsidRDefault="00157E21" w:rsidP="00157E21">
      <w:pPr>
        <w:spacing w:after="0" w:line="288" w:lineRule="auto"/>
        <w:ind w:left="731"/>
        <w:jc w:val="both"/>
        <w:rPr>
          <w:rFonts w:ascii="Times New Roman" w:eastAsia="Times New Roman" w:hAnsi="Times New Roman" w:cs="Times New Roman"/>
          <w:iCs/>
          <w:sz w:val="24"/>
          <w:szCs w:val="24"/>
          <w:lang w:eastAsia="en-US"/>
        </w:rPr>
      </w:pPr>
    </w:p>
    <w:p w14:paraId="1993A51D" w14:textId="77777777" w:rsidR="00157E21" w:rsidRPr="0055559E" w:rsidRDefault="00157E21" w:rsidP="00157E21">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organizavimas, rezultatai, terminai</w:t>
      </w:r>
    </w:p>
    <w:p w14:paraId="50321716" w14:textId="3112A2FB" w:rsidR="00157E21" w:rsidRPr="0055559E" w:rsidRDefault="00157E21" w:rsidP="00157E21">
      <w:pPr>
        <w:numPr>
          <w:ilvl w:val="0"/>
          <w:numId w:val="2"/>
        </w:numPr>
        <w:spacing w:after="0" w:line="288" w:lineRule="auto"/>
        <w:ind w:left="0" w:firstLine="731"/>
        <w:jc w:val="both"/>
        <w:rPr>
          <w:rFonts w:ascii="Times New Roman" w:eastAsia="Times New Roman" w:hAnsi="Times New Roman" w:cs="Times New Roman"/>
          <w:sz w:val="24"/>
          <w:szCs w:val="24"/>
          <w:lang w:eastAsia="en-US"/>
        </w:rPr>
      </w:pPr>
      <w:r w:rsidRPr="001313D7">
        <w:rPr>
          <w:rFonts w:ascii="Times New Roman" w:eastAsia="Times New Roman" w:hAnsi="Times New Roman" w:cs="Times New Roman"/>
          <w:sz w:val="24"/>
          <w:szCs w:val="24"/>
          <w:lang w:eastAsia="en-US"/>
        </w:rPr>
        <w:t>Ministerija paslaugos teikėjui priede „Ūkių duomenys“ pateikia akvakultūros ūkių,</w:t>
      </w:r>
      <w:r w:rsidRPr="0055559E">
        <w:rPr>
          <w:rFonts w:ascii="Times New Roman" w:eastAsia="Times New Roman" w:hAnsi="Times New Roman" w:cs="Times New Roman"/>
          <w:sz w:val="24"/>
          <w:szCs w:val="24"/>
          <w:lang w:eastAsia="en-US"/>
        </w:rPr>
        <w:t xml:space="preserve"> dalyvaujančių įgyvendinant Programos priemonę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įgyvendinimas“, kuriuose turės būti atliekama paukščių apskaita, sąrašą. Akvakultūros ūkių skaičius 18. Preliminarus vieno akvakultūros ūkio akvakultūros tvenkinių, kuriuose įgyvendinami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planai, plotas nuo 114 iki 1123 ha.  Po sutarties įsigaliojimo, paslaugos teikėjui paprašius, ministerija pateikia kitus akvakultūros ūkių duomenis, reikalingus paukščių apskaitai atlikti.</w:t>
      </w:r>
    </w:p>
    <w:p w14:paraId="2CAC80C2" w14:textId="77777777" w:rsidR="00157E21" w:rsidRPr="0055559E" w:rsidRDefault="00157E21" w:rsidP="00157E21">
      <w:pPr>
        <w:numPr>
          <w:ilvl w:val="0"/>
          <w:numId w:val="2"/>
        </w:numPr>
        <w:spacing w:after="0" w:line="288" w:lineRule="auto"/>
        <w:ind w:left="0" w:firstLine="731"/>
        <w:jc w:val="both"/>
        <w:rPr>
          <w:rFonts w:ascii="Times New Roman" w:eastAsia="Times New Roman" w:hAnsi="Times New Roman" w:cs="Times New Roman"/>
          <w:sz w:val="24"/>
          <w:szCs w:val="24"/>
          <w:lang w:eastAsia="en-US"/>
        </w:rPr>
      </w:pPr>
      <w:bookmarkStart w:id="1" w:name="_Hlk149143950"/>
      <w:r w:rsidRPr="0055559E">
        <w:rPr>
          <w:rFonts w:ascii="Times New Roman" w:eastAsia="Times New Roman" w:hAnsi="Times New Roman" w:cs="Times New Roman"/>
          <w:color w:val="000000"/>
          <w:sz w:val="24"/>
          <w:szCs w:val="24"/>
          <w:lang w:eastAsia="en-US"/>
        </w:rPr>
        <w:t xml:space="preserve">Paslaugų teikėjas turi parengti įvadinę tyrimo ataskaitą. Šioje ataskaitoje pateikiama 2.1–2.2 uždaviniams atlikti siūloma metodika (siekiant atitikti tyrimo tikslą, surinkti patikimus duomenis): bendras veiklų organizavimo pagal sutartį planas, paukščių apskaitų vykdymo tvarkaraštis, duomenų rinkimo, </w:t>
      </w:r>
      <w:proofErr w:type="spellStart"/>
      <w:r w:rsidRPr="0055559E">
        <w:rPr>
          <w:rFonts w:ascii="Times New Roman" w:eastAsia="Times New Roman" w:hAnsi="Times New Roman" w:cs="Times New Roman"/>
          <w:color w:val="000000"/>
          <w:sz w:val="24"/>
          <w:szCs w:val="24"/>
          <w:lang w:eastAsia="en-US"/>
        </w:rPr>
        <w:t>paukščiadienių</w:t>
      </w:r>
      <w:proofErr w:type="spellEnd"/>
      <w:r w:rsidRPr="0055559E">
        <w:rPr>
          <w:rFonts w:ascii="Times New Roman" w:eastAsia="Times New Roman" w:hAnsi="Times New Roman" w:cs="Times New Roman"/>
          <w:color w:val="000000"/>
          <w:sz w:val="24"/>
          <w:szCs w:val="24"/>
          <w:lang w:eastAsia="en-US"/>
        </w:rPr>
        <w:t xml:space="preserve"> apskaičiavimo metodai, taip pat pateikiamas paukščių </w:t>
      </w:r>
      <w:r w:rsidRPr="0055559E">
        <w:rPr>
          <w:rFonts w:ascii="Times New Roman" w:eastAsia="Times New Roman" w:hAnsi="Times New Roman" w:cs="Times New Roman"/>
          <w:color w:val="000000"/>
          <w:sz w:val="24"/>
          <w:szCs w:val="24"/>
          <w:lang w:eastAsia="en-US"/>
        </w:rPr>
        <w:lastRenderedPageBreak/>
        <w:t xml:space="preserve">apskaitų vykdytojų sąrašas. Rengiant duomenų rinkimo ir </w:t>
      </w:r>
      <w:proofErr w:type="spellStart"/>
      <w:r w:rsidRPr="0055559E">
        <w:rPr>
          <w:rFonts w:ascii="Times New Roman" w:eastAsia="Times New Roman" w:hAnsi="Times New Roman" w:cs="Times New Roman"/>
          <w:color w:val="000000"/>
          <w:sz w:val="24"/>
          <w:szCs w:val="24"/>
          <w:lang w:eastAsia="en-US"/>
        </w:rPr>
        <w:t>paukščiadienių</w:t>
      </w:r>
      <w:proofErr w:type="spellEnd"/>
      <w:r w:rsidRPr="0055559E">
        <w:rPr>
          <w:rFonts w:ascii="Times New Roman" w:eastAsia="Times New Roman" w:hAnsi="Times New Roman" w:cs="Times New Roman"/>
          <w:color w:val="000000"/>
          <w:sz w:val="24"/>
          <w:szCs w:val="24"/>
          <w:lang w:eastAsia="en-US"/>
        </w:rPr>
        <w:t xml:space="preserve"> apskaičiavimo metodą reikia laikytis šių nuostatų:</w:t>
      </w:r>
    </w:p>
    <w:p w14:paraId="70D45D2D" w14:textId="08F64FBA" w:rsidR="00157E21" w:rsidRPr="0055559E" w:rsidRDefault="00157E21" w:rsidP="00157E21">
      <w:pPr>
        <w:numPr>
          <w:ilvl w:val="1"/>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paukščių apskaita akvakultūros tvenkiniuose (kuriuose įgyvendinami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planai) atliekama reguliariai, paukščių gausumas skaičiuojamas 2 kartus per mėnesį (pirmasis mėnesio skaičiavimas atliekamas nuo 1 iki 15 mėnesio dienos imtinai, antrasis skaičiavimas atliekamas nuo 16 iki paskutinės mėnesio dienos imtinai), išskyrus pirmąjį ir paskutinįjį paukščių skaičiavimo mėnesį, kai priklausomai nuo sutarties pasirašymo dienos arba nuo jau atlikto paukščių skaičiavimų kiekio (iš viso atliekami </w:t>
      </w:r>
      <w:r w:rsidR="00377201">
        <w:rPr>
          <w:rFonts w:ascii="Times New Roman" w:eastAsia="Times New Roman" w:hAnsi="Times New Roman" w:cs="Times New Roman"/>
          <w:sz w:val="24"/>
          <w:szCs w:val="24"/>
          <w:lang w:eastAsia="en-US"/>
        </w:rPr>
        <w:t>4</w:t>
      </w:r>
      <w:r w:rsidRPr="0055559E">
        <w:rPr>
          <w:rFonts w:ascii="Times New Roman" w:eastAsia="Times New Roman" w:hAnsi="Times New Roman" w:cs="Times New Roman"/>
          <w:sz w:val="24"/>
          <w:szCs w:val="24"/>
          <w:lang w:eastAsia="en-US"/>
        </w:rPr>
        <w:t xml:space="preserve"> paukščių skaičiavimai), paukščių gausumas gali būti skaičiuojamas vieną kartą per mėnesį.    </w:t>
      </w:r>
    </w:p>
    <w:p w14:paraId="1E078B39" w14:textId="77777777" w:rsidR="00157E21" w:rsidRPr="0055559E" w:rsidRDefault="00157E21" w:rsidP="00157E21">
      <w:pPr>
        <w:numPr>
          <w:ilvl w:val="1"/>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siekiant objektyviai įvertinti akvakultūros ūkiams daromą žalą, </w:t>
      </w:r>
      <w:proofErr w:type="spellStart"/>
      <w:r w:rsidRPr="0055559E">
        <w:rPr>
          <w:rFonts w:ascii="Times New Roman" w:eastAsia="Times New Roman" w:hAnsi="Times New Roman" w:cs="Times New Roman"/>
          <w:sz w:val="24"/>
          <w:szCs w:val="24"/>
          <w:lang w:eastAsia="en-US"/>
        </w:rPr>
        <w:t>žuvilesių</w:t>
      </w:r>
      <w:proofErr w:type="spellEnd"/>
      <w:r w:rsidRPr="0055559E">
        <w:rPr>
          <w:rFonts w:ascii="Times New Roman" w:eastAsia="Times New Roman" w:hAnsi="Times New Roman" w:cs="Times New Roman"/>
          <w:sz w:val="24"/>
          <w:szCs w:val="24"/>
          <w:lang w:eastAsia="en-US"/>
        </w:rPr>
        <w:t xml:space="preserve"> paukščių </w:t>
      </w:r>
      <w:proofErr w:type="spellStart"/>
      <w:r w:rsidRPr="0055559E">
        <w:rPr>
          <w:rFonts w:ascii="Times New Roman" w:eastAsia="Times New Roman" w:hAnsi="Times New Roman" w:cs="Times New Roman"/>
          <w:sz w:val="24"/>
          <w:szCs w:val="24"/>
          <w:lang w:eastAsia="en-US"/>
        </w:rPr>
        <w:t>paukščiadieniai</w:t>
      </w:r>
      <w:proofErr w:type="spellEnd"/>
      <w:r w:rsidRPr="0055559E">
        <w:rPr>
          <w:rFonts w:ascii="Times New Roman" w:eastAsia="Times New Roman" w:hAnsi="Times New Roman" w:cs="Times New Roman"/>
          <w:sz w:val="24"/>
          <w:szCs w:val="24"/>
          <w:lang w:eastAsia="en-US"/>
        </w:rPr>
        <w:t xml:space="preserve"> skaičiuojami atskiruose tvenkiniuose (žymint paukščių skaičių kiekviename tvenkinyje atskirai). Atitinkamos rūšies </w:t>
      </w:r>
      <w:proofErr w:type="spellStart"/>
      <w:r w:rsidRPr="0055559E">
        <w:rPr>
          <w:rFonts w:ascii="Times New Roman" w:eastAsia="Times New Roman" w:hAnsi="Times New Roman" w:cs="Times New Roman"/>
          <w:sz w:val="24"/>
          <w:szCs w:val="24"/>
          <w:lang w:eastAsia="en-US"/>
        </w:rPr>
        <w:t>paukščiadieniai</w:t>
      </w:r>
      <w:proofErr w:type="spellEnd"/>
      <w:r w:rsidRPr="0055559E">
        <w:rPr>
          <w:rFonts w:ascii="Times New Roman" w:eastAsia="Times New Roman" w:hAnsi="Times New Roman" w:cs="Times New Roman"/>
          <w:sz w:val="24"/>
          <w:szCs w:val="24"/>
          <w:lang w:eastAsia="en-US"/>
        </w:rPr>
        <w:t xml:space="preserve"> neskaičiuojami didesnės žuvies tvenkiniuose, jei atitinkama </w:t>
      </w:r>
      <w:proofErr w:type="spellStart"/>
      <w:r w:rsidRPr="0055559E">
        <w:rPr>
          <w:rFonts w:ascii="Times New Roman" w:eastAsia="Times New Roman" w:hAnsi="Times New Roman" w:cs="Times New Roman"/>
          <w:sz w:val="24"/>
          <w:szCs w:val="24"/>
          <w:lang w:eastAsia="en-US"/>
        </w:rPr>
        <w:t>žuvilesių</w:t>
      </w:r>
      <w:proofErr w:type="spellEnd"/>
      <w:r w:rsidRPr="0055559E">
        <w:rPr>
          <w:rFonts w:ascii="Times New Roman" w:eastAsia="Times New Roman" w:hAnsi="Times New Roman" w:cs="Times New Roman"/>
          <w:sz w:val="24"/>
          <w:szCs w:val="24"/>
          <w:lang w:eastAsia="en-US"/>
        </w:rPr>
        <w:t xml:space="preserve"> paukščių rūšis žalos nebedaro (pagrindžiama 5 punkte nurodytoje įvadinėje ataskaitoje prie duomenų rinkimo, </w:t>
      </w:r>
      <w:proofErr w:type="spellStart"/>
      <w:r w:rsidRPr="0055559E">
        <w:rPr>
          <w:rFonts w:ascii="Times New Roman" w:eastAsia="Times New Roman" w:hAnsi="Times New Roman" w:cs="Times New Roman"/>
          <w:sz w:val="24"/>
          <w:szCs w:val="24"/>
          <w:lang w:eastAsia="en-US"/>
        </w:rPr>
        <w:t>paukščiadienių</w:t>
      </w:r>
      <w:proofErr w:type="spellEnd"/>
      <w:r w:rsidRPr="0055559E">
        <w:rPr>
          <w:rFonts w:ascii="Times New Roman" w:eastAsia="Times New Roman" w:hAnsi="Times New Roman" w:cs="Times New Roman"/>
          <w:sz w:val="24"/>
          <w:szCs w:val="24"/>
          <w:lang w:eastAsia="en-US"/>
        </w:rPr>
        <w:t xml:space="preserve"> apskaičiavimo metodų). Tais atvejais, kai surinkti daugiau duomenų ir atlikti detalesnius skaičiavimus per daug sudėtinga, turi būti pasiūlomi ir pritaikomi metodai objektyviai įvertinti </w:t>
      </w:r>
      <w:proofErr w:type="spellStart"/>
      <w:r w:rsidRPr="0055559E">
        <w:rPr>
          <w:rFonts w:ascii="Times New Roman" w:eastAsia="Times New Roman" w:hAnsi="Times New Roman" w:cs="Times New Roman"/>
          <w:sz w:val="24"/>
          <w:szCs w:val="24"/>
          <w:lang w:eastAsia="en-US"/>
        </w:rPr>
        <w:t>žuvilesių</w:t>
      </w:r>
      <w:proofErr w:type="spellEnd"/>
      <w:r w:rsidRPr="0055559E">
        <w:rPr>
          <w:rFonts w:ascii="Times New Roman" w:eastAsia="Times New Roman" w:hAnsi="Times New Roman" w:cs="Times New Roman"/>
          <w:sz w:val="24"/>
          <w:szCs w:val="24"/>
          <w:lang w:eastAsia="en-US"/>
        </w:rPr>
        <w:t xml:space="preserve"> paukščių </w:t>
      </w:r>
      <w:proofErr w:type="spellStart"/>
      <w:r w:rsidRPr="0055559E">
        <w:rPr>
          <w:rFonts w:ascii="Times New Roman" w:eastAsia="Times New Roman" w:hAnsi="Times New Roman" w:cs="Times New Roman"/>
          <w:sz w:val="24"/>
          <w:szCs w:val="24"/>
          <w:lang w:eastAsia="en-US"/>
        </w:rPr>
        <w:t>paukščiadienius</w:t>
      </w:r>
      <w:proofErr w:type="spellEnd"/>
      <w:r w:rsidRPr="0055559E">
        <w:rPr>
          <w:rFonts w:ascii="Times New Roman" w:eastAsia="Times New Roman" w:hAnsi="Times New Roman" w:cs="Times New Roman"/>
          <w:sz w:val="24"/>
          <w:szCs w:val="24"/>
          <w:lang w:eastAsia="en-US"/>
        </w:rPr>
        <w:t xml:space="preserve">. </w:t>
      </w:r>
    </w:p>
    <w:bookmarkEnd w:id="1"/>
    <w:p w14:paraId="2274D78F" w14:textId="77777777" w:rsidR="00157E21" w:rsidRPr="0055559E" w:rsidRDefault="00157E21" w:rsidP="00157E21">
      <w:pPr>
        <w:numPr>
          <w:ilvl w:val="0"/>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Paukščių apskaitos duomenys turi būti kaupiami elektronine forma pateikiant (bet neapsiribojant) šiuos parametrus: apskaitos vykdymo metus, konkrečią apskaitos datą, žuvininkystės ūkį, vietovę (nurodant jos taškų duomenis Lietuvos koordinačių sistemoje), pateikiant geografiniu žymeniu pažymėtos nuotraukas, garso, vaizdo įrašus, dokumentus ir (ar) kitus įrodymus apie vietovėje stebėtas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2.1 papunktyje nurodytas paukščių rūšis ir individų kiekį, vienetais išskirstant pagal suaugusius ir jauniklius, taip pat turi būti pateiktas bendras individų skaičius pagal paukščių rūšį žalos skaičiavimui, kai paukščių jaunikliai skaičiuojami kaip pusė suaugusio individo, iki kol pasiekia suaugusio paukščio dydį. Pvz., 2 gulbės nebylės ir 6 jaunikliai yra 5 individai iki rugpjūčio mėn. Duomenų formatas turi būti suderinamas su geografinėmis informacinėmis sistemomis (GIS) ir įgalinantis automatinį duomenų apdorojimą bei eksportą (pvz., </w:t>
      </w:r>
      <w:r w:rsidRPr="0055559E">
        <w:rPr>
          <w:rFonts w:ascii="Times New Roman" w:eastAsia="Times New Roman" w:hAnsi="Times New Roman" w:cs="Times New Roman"/>
          <w:i/>
          <w:iCs/>
          <w:sz w:val="24"/>
          <w:szCs w:val="24"/>
          <w:lang w:eastAsia="en-US"/>
        </w:rPr>
        <w:t>GDB</w:t>
      </w:r>
      <w:r w:rsidRPr="0055559E">
        <w:rPr>
          <w:rFonts w:ascii="Times New Roman" w:eastAsia="Times New Roman" w:hAnsi="Times New Roman" w:cs="Times New Roman"/>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Shape</w:t>
      </w:r>
      <w:proofErr w:type="spellEnd"/>
      <w:r w:rsidRPr="0055559E">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i/>
          <w:iCs/>
          <w:sz w:val="24"/>
          <w:szCs w:val="24"/>
          <w:lang w:eastAsia="en-US"/>
        </w:rPr>
        <w:t>MS Excel</w:t>
      </w:r>
      <w:r w:rsidRPr="0055559E">
        <w:rPr>
          <w:rFonts w:ascii="Times New Roman" w:eastAsia="Times New Roman" w:hAnsi="Times New Roman" w:cs="Times New Roman"/>
          <w:sz w:val="24"/>
          <w:szCs w:val="24"/>
          <w:lang w:eastAsia="en-US"/>
        </w:rPr>
        <w:t xml:space="preserve">). Paslaugų teikėjas privalo užtikrinti duomenų kokybę ir patikimumą. Taip pat paslaugų teikėjas privalo visus tyrimo metu surinktus duomenis perduoti ministerijai ir agentūrai, kaip nustatyta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2.3–2.4 papunkčiuose. </w:t>
      </w:r>
    </w:p>
    <w:p w14:paraId="777E5838" w14:textId="77777777" w:rsidR="00157E21" w:rsidRPr="0055559E" w:rsidRDefault="00157E21" w:rsidP="00157E21">
      <w:pPr>
        <w:numPr>
          <w:ilvl w:val="0"/>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Rezultatai ir terminai, kuriuos turi įvykdyti paslaugų teikėjas:</w:t>
      </w:r>
    </w:p>
    <w:p w14:paraId="450B634A" w14:textId="77777777" w:rsidR="00157E21" w:rsidRPr="0055559E" w:rsidRDefault="00157E21" w:rsidP="00157E21">
      <w:pPr>
        <w:numPr>
          <w:ilvl w:val="1"/>
          <w:numId w:val="2"/>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įvadinė ataskaita pateikiama per 10 darbo dienų nuo sutarties pasirašymo. </w:t>
      </w:r>
    </w:p>
    <w:p w14:paraId="60ECECF7" w14:textId="44D5A892" w:rsidR="00157E21" w:rsidRPr="0055559E" w:rsidRDefault="00157E21" w:rsidP="00B5338A">
      <w:pPr>
        <w:numPr>
          <w:ilvl w:val="1"/>
          <w:numId w:val="2"/>
        </w:numPr>
        <w:spacing w:after="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duomenys teikiami ministerijai ir agentūrai 2.3–2.4 papunkčiuose nustatyta tvarka. </w:t>
      </w:r>
      <w:r w:rsidRPr="0055559E">
        <w:rPr>
          <w:rFonts w:ascii="Times New Roman" w:eastAsia="Times New Roman" w:hAnsi="Times New Roman" w:cs="Times New Roman"/>
          <w:color w:val="000000"/>
          <w:sz w:val="24"/>
          <w:szCs w:val="24"/>
          <w:lang w:eastAsia="en-US"/>
        </w:rPr>
        <w:t xml:space="preserve">Ministerijos arba jos įgalioti atstovai gali </w:t>
      </w:r>
      <w:r w:rsidR="00994399">
        <w:rPr>
          <w:rFonts w:ascii="Times New Roman" w:eastAsia="Times New Roman" w:hAnsi="Times New Roman" w:cs="Times New Roman"/>
          <w:color w:val="000000"/>
          <w:sz w:val="24"/>
          <w:szCs w:val="24"/>
          <w:lang w:eastAsia="en-US"/>
        </w:rPr>
        <w:t xml:space="preserve">dalyvauti / </w:t>
      </w:r>
      <w:r w:rsidRPr="0055559E">
        <w:rPr>
          <w:rFonts w:ascii="Times New Roman" w:eastAsia="Times New Roman" w:hAnsi="Times New Roman" w:cs="Times New Roman"/>
          <w:color w:val="000000"/>
          <w:sz w:val="24"/>
          <w:szCs w:val="24"/>
          <w:lang w:eastAsia="en-US"/>
        </w:rPr>
        <w:t>atlikti patikras paukščių apskaitų vykdymo vietose.</w:t>
      </w:r>
    </w:p>
    <w:p w14:paraId="7C4BACD3" w14:textId="77777777" w:rsidR="00157E21" w:rsidRPr="0055559E" w:rsidRDefault="00157E21" w:rsidP="00B5338A">
      <w:pPr>
        <w:numPr>
          <w:ilvl w:val="1"/>
          <w:numId w:val="2"/>
        </w:numPr>
        <w:spacing w:after="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Galutinė tyrimo ataskaita, su kuria pateikiama visa informacija pagal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 punkte nurodytus uždavinius, pateikiama iki 2025 m. gruodžio 31 d.</w:t>
      </w:r>
    </w:p>
    <w:p w14:paraId="7E320678" w14:textId="328E5C08" w:rsidR="00157E21" w:rsidRPr="0055559E" w:rsidRDefault="00157E21" w:rsidP="00157E21">
      <w:pPr>
        <w:numPr>
          <w:ilvl w:val="0"/>
          <w:numId w:val="2"/>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Įvadinė ir galutinė ataskaitos pateikiamos lietuvių kalba, ataskaitos ir jų priedai bei duomenys, nurodyti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2.3–2.4 papunkčiuose, pateikiami skaitmenine forma (</w:t>
      </w:r>
      <w:proofErr w:type="spellStart"/>
      <w:r w:rsidRPr="0055559E">
        <w:rPr>
          <w:rFonts w:ascii="Times New Roman" w:eastAsia="Times New Roman" w:hAnsi="Times New Roman" w:cs="Times New Roman"/>
          <w:i/>
          <w:iCs/>
          <w:sz w:val="24"/>
          <w:szCs w:val="24"/>
          <w:lang w:eastAsia="en-US"/>
        </w:rPr>
        <w:t>pdf</w:t>
      </w:r>
      <w:proofErr w:type="spellEnd"/>
      <w:r w:rsidRPr="0055559E">
        <w:rPr>
          <w:rFonts w:ascii="Times New Roman" w:eastAsia="Times New Roman" w:hAnsi="Times New Roman" w:cs="Times New Roman"/>
          <w:i/>
          <w:iCs/>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docx</w:t>
      </w:r>
      <w:proofErr w:type="spellEnd"/>
      <w:r w:rsidRPr="0055559E">
        <w:rPr>
          <w:rFonts w:ascii="Times New Roman" w:eastAsia="Times New Roman" w:hAnsi="Times New Roman" w:cs="Times New Roman"/>
          <w:i/>
          <w:iCs/>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xlsx</w:t>
      </w:r>
      <w:proofErr w:type="spellEnd"/>
      <w:r w:rsidRPr="0055559E">
        <w:rPr>
          <w:rFonts w:ascii="Times New Roman" w:eastAsia="Times New Roman" w:hAnsi="Times New Roman" w:cs="Times New Roman"/>
          <w:i/>
          <w:iCs/>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ppt</w:t>
      </w:r>
      <w:proofErr w:type="spellEnd"/>
      <w:r w:rsidRPr="0055559E">
        <w:rPr>
          <w:rFonts w:ascii="Times New Roman" w:eastAsia="Times New Roman" w:hAnsi="Times New Roman" w:cs="Times New Roman"/>
          <w:sz w:val="24"/>
          <w:szCs w:val="24"/>
          <w:lang w:eastAsia="en-US"/>
        </w:rPr>
        <w:t xml:space="preserve"> arba jiems prilygintais formatais).</w:t>
      </w:r>
    </w:p>
    <w:p w14:paraId="602F387B" w14:textId="77777777" w:rsidR="00157E21" w:rsidRPr="0055559E" w:rsidRDefault="00157E21" w:rsidP="00157E21">
      <w:pPr>
        <w:numPr>
          <w:ilvl w:val="0"/>
          <w:numId w:val="2"/>
        </w:numPr>
        <w:spacing w:after="120" w:line="245" w:lineRule="auto"/>
        <w:ind w:left="0" w:firstLine="709"/>
        <w:jc w:val="both"/>
        <w:rPr>
          <w:rFonts w:ascii="Times New Roman" w:eastAsia="Times New Roman" w:hAnsi="Times New Roman" w:cs="Times New Roman"/>
          <w:sz w:val="24"/>
          <w:szCs w:val="24"/>
          <w:lang w:eastAsia="en-US"/>
        </w:rPr>
      </w:pPr>
      <w:bookmarkStart w:id="2" w:name="_Hlk149143878"/>
      <w:r w:rsidRPr="0055559E">
        <w:rPr>
          <w:rFonts w:ascii="Times New Roman" w:eastAsia="Times New Roman" w:hAnsi="Times New Roman" w:cs="Times New Roman"/>
          <w:sz w:val="24"/>
          <w:szCs w:val="24"/>
          <w:lang w:eastAsia="en-US"/>
        </w:rPr>
        <w:t xml:space="preserve">Ministerija per 10 darbo dienų nuo įvadinės ar galutinės ataskaitos pateikimo rašytine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w:t>
      </w:r>
      <w:r w:rsidRPr="0055559E">
        <w:rPr>
          <w:rFonts w:ascii="Times New Roman" w:eastAsia="Times New Roman" w:hAnsi="Times New Roman" w:cs="Times New Roman"/>
          <w:sz w:val="24"/>
          <w:szCs w:val="24"/>
          <w:lang w:eastAsia="en-US"/>
        </w:rPr>
        <w:lastRenderedPageBreak/>
        <w:t>atitinkama ataskaita patikslinta ar pataisyta. Gavusi patikslintas ar pataisytas ataskaitas ministerija per 10 darbo dienų įvertins, ar į pastabas tinkamai atsižvelgta,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2"/>
    <w:p w14:paraId="0E96AF83" w14:textId="77777777" w:rsidR="00157E21" w:rsidRPr="0055559E" w:rsidRDefault="00157E21" w:rsidP="00157E21">
      <w:pPr>
        <w:numPr>
          <w:ilvl w:val="0"/>
          <w:numId w:val="2"/>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Užsakovui paprašius, paslaugų teikėjas bent po vieną kartą be papildomo užmokesčio pristatys ataskaitas ministerijos darbuotojams ir kitų su Programos įgyvendinimu susijusių institucijų ar partnerių atstovams (pvz., agentūros, Lietuvos Respublikos aplinkos ministerijos, stebėsenos komiteto nariams ar kt.), Pristatymų laikas ir sąlygos derinami atskiru ministerijos ir paslaugų teikėjo susitarimu.</w:t>
      </w:r>
    </w:p>
    <w:p w14:paraId="45D7EC7C" w14:textId="77777777" w:rsidR="00157E21" w:rsidRPr="0055559E" w:rsidRDefault="00157E21" w:rsidP="00157E21">
      <w:pPr>
        <w:numPr>
          <w:ilvl w:val="0"/>
          <w:numId w:val="2"/>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Maksimaliai naudai gauti ministerija užtikrins, kad paslaugų teikėjui būtų prieinama visa jos ir jai pavaldžių institucijų turima informacija, duomenys ir dokumentai, reikalingi tyrimui atlikti.</w:t>
      </w:r>
    </w:p>
    <w:p w14:paraId="07983E39" w14:textId="77777777" w:rsidR="00157E21" w:rsidRPr="0055559E" w:rsidRDefault="00157E21" w:rsidP="00157E21">
      <w:pPr>
        <w:numPr>
          <w:ilvl w:val="0"/>
          <w:numId w:val="2"/>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Tyrimo ataskaitos, pristatymų medžiaga ir 2.3 papunktyje nurodyta informacija bus viešinama ministerijos tinklalapyje. Savo nuožiūra ministerija, nepažeisdama teisės aktų reikalavimų, gali viešinti ir kitą su tyrimu susijusią medžiagą bei duomenis.</w:t>
      </w:r>
    </w:p>
    <w:p w14:paraId="7697B6C5" w14:textId="77777777" w:rsidR="00157E21" w:rsidRPr="0055559E" w:rsidRDefault="00157E21" w:rsidP="00157E21">
      <w:pPr>
        <w:tabs>
          <w:tab w:val="left" w:pos="1134"/>
        </w:tabs>
        <w:overflowPunct w:val="0"/>
        <w:autoSpaceDE w:val="0"/>
        <w:autoSpaceDN w:val="0"/>
        <w:adjustRightInd w:val="0"/>
        <w:spacing w:after="120" w:line="245" w:lineRule="auto"/>
        <w:ind w:left="709" w:firstLine="709"/>
        <w:jc w:val="both"/>
        <w:textAlignment w:val="baseline"/>
        <w:rPr>
          <w:rFonts w:ascii="Times New Roman" w:eastAsia="Arial Unicode MS" w:hAnsi="Times New Roman" w:cs="Times New Roman"/>
          <w:b/>
          <w:sz w:val="24"/>
          <w:szCs w:val="24"/>
          <w:lang w:eastAsia="en-US"/>
        </w:rPr>
      </w:pPr>
    </w:p>
    <w:p w14:paraId="354B87E5" w14:textId="77777777" w:rsidR="00157E21" w:rsidRPr="0055559E" w:rsidRDefault="00157E21" w:rsidP="00157E21">
      <w:pPr>
        <w:tabs>
          <w:tab w:val="left" w:pos="1276"/>
        </w:tabs>
        <w:spacing w:after="120" w:line="245" w:lineRule="auto"/>
        <w:ind w:left="709" w:firstLine="709"/>
        <w:jc w:val="both"/>
        <w:rPr>
          <w:rFonts w:ascii="Times New Roman" w:eastAsia="Arial Unicode MS" w:hAnsi="Times New Roman" w:cs="Times New Roman"/>
          <w:b/>
          <w:sz w:val="24"/>
          <w:szCs w:val="24"/>
          <w:lang w:eastAsia="en-US"/>
        </w:rPr>
      </w:pPr>
      <w:r w:rsidRPr="0055559E">
        <w:rPr>
          <w:rFonts w:ascii="Times New Roman" w:eastAsia="Arial Unicode MS" w:hAnsi="Times New Roman" w:cs="Times New Roman"/>
          <w:b/>
          <w:sz w:val="24"/>
          <w:szCs w:val="24"/>
          <w:lang w:eastAsia="en-US"/>
        </w:rPr>
        <w:t>Susiję teisės aktai, metodiniai dokumentai, šaltiniai</w:t>
      </w:r>
    </w:p>
    <w:p w14:paraId="2DA93E6D" w14:textId="77777777" w:rsidR="00157E21" w:rsidRPr="0055559E" w:rsidRDefault="00157E21" w:rsidP="00157E21">
      <w:pPr>
        <w:numPr>
          <w:ilvl w:val="1"/>
          <w:numId w:val="1"/>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imes New Roman" w:hAnsi="Times New Roman" w:cs="Times New Roman"/>
          <w:sz w:val="24"/>
          <w:szCs w:val="24"/>
          <w:lang w:val="pt-BR" w:eastAsia="en-US"/>
        </w:rPr>
        <w:t xml:space="preserve">ES </w:t>
      </w:r>
      <w:r w:rsidRPr="0055559E">
        <w:rPr>
          <w:rFonts w:ascii="Times New Roman" w:eastAsia="Times New Roman" w:hAnsi="Times New Roman" w:cs="Times New Roman"/>
          <w:sz w:val="24"/>
          <w:szCs w:val="24"/>
          <w:lang w:eastAsia="en-US"/>
        </w:rPr>
        <w:t>reglamentai</w:t>
      </w:r>
      <w:r w:rsidRPr="0055559E">
        <w:rPr>
          <w:rFonts w:ascii="Times New Roman" w:eastAsia="Times New Roman" w:hAnsi="Times New Roman" w:cs="Times New Roman"/>
          <w:sz w:val="24"/>
          <w:szCs w:val="24"/>
          <w:lang w:val="pt-BR" w:eastAsia="en-US"/>
        </w:rPr>
        <w:t>: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Europos jūrų reikalų, žvejybos ir akvakultūros fondas ir iš dalies keičiamas Reglamentas (ES) Nr. 2017/1004.</w:t>
      </w:r>
    </w:p>
    <w:p w14:paraId="50CC9418" w14:textId="77777777" w:rsidR="00157E21" w:rsidRPr="0055559E" w:rsidRDefault="00157E21" w:rsidP="00157E21">
      <w:pPr>
        <w:numPr>
          <w:ilvl w:val="1"/>
          <w:numId w:val="1"/>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imes New Roman" w:hAnsi="Times New Roman" w:cs="Times New Roman"/>
          <w:sz w:val="24"/>
          <w:szCs w:val="24"/>
          <w:lang w:val="pt-BR" w:eastAsia="en-US"/>
        </w:rPr>
        <w:t xml:space="preserve">Lietuvos žuvininkystės sektoriaus 2021–2027 metų programa (toliau – Žuvininkystės programa), patvirtinta 2022 m. spalio 31 d. Europos Komisijos įgyvendinimo sprendimu C (2022) 8008. </w:t>
      </w:r>
    </w:p>
    <w:p w14:paraId="535A34E9" w14:textId="77777777" w:rsidR="00157E21" w:rsidRPr="0055559E" w:rsidRDefault="00157E21" w:rsidP="00157E21">
      <w:pPr>
        <w:numPr>
          <w:ilvl w:val="1"/>
          <w:numId w:val="1"/>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heme="minorHAnsi" w:hAnsi="Times New Roman" w:cs="Times New Roman"/>
          <w:bCs/>
          <w:kern w:val="2"/>
          <w:sz w:val="24"/>
          <w:szCs w:val="24"/>
          <w:lang w:eastAsia="en-US"/>
          <w14:ligatures w14:val="standardContextual"/>
        </w:rPr>
        <w:t>Parengti fiksuotųjų dydžių tyrimai EJRŽAF lėšomis finansuojamoms veikloms</w:t>
      </w:r>
    </w:p>
    <w:p w14:paraId="46ACA077" w14:textId="77777777" w:rsidR="00157E21" w:rsidRPr="0055559E" w:rsidRDefault="00157E21" w:rsidP="00157E21">
      <w:pPr>
        <w:spacing w:after="120" w:line="245" w:lineRule="auto"/>
        <w:contextualSpacing/>
        <w:jc w:val="both"/>
        <w:rPr>
          <w:rFonts w:ascii="Times New Roman" w:eastAsia="Times New Roman" w:hAnsi="Times New Roman" w:cs="Times New Roman"/>
          <w:sz w:val="24"/>
          <w:szCs w:val="24"/>
          <w:lang w:val="pt-BR" w:eastAsia="en-US"/>
        </w:rPr>
      </w:pPr>
      <w:hyperlink r:id="rId7" w:anchor="c-47/t-81" w:history="1">
        <w:r w:rsidRPr="0055559E">
          <w:rPr>
            <w:rFonts w:ascii="Times New Roman" w:eastAsia="Calibri" w:hAnsi="Times New Roman" w:cs="Times New Roman"/>
            <w:kern w:val="2"/>
            <w:sz w:val="24"/>
            <w:szCs w:val="24"/>
            <w:lang w:eastAsia="en-US"/>
            <w14:ligatures w14:val="standardContextual"/>
          </w:rPr>
          <w:t>https://www.esf.lt/veiklos-sritys/metodines-pagalbos-centras/parengti-fiksuotuju-dydziu-tyrimai/1105#c-47/t-81</w:t>
        </w:r>
      </w:hyperlink>
      <w:r w:rsidRPr="0055559E">
        <w:rPr>
          <w:rFonts w:ascii="Times New Roman" w:eastAsia="Times New Roman" w:hAnsi="Times New Roman" w:cs="Times New Roman"/>
          <w:sz w:val="24"/>
          <w:szCs w:val="24"/>
          <w:lang w:val="pt-BR" w:eastAsia="en-US"/>
        </w:rPr>
        <w:t>.</w:t>
      </w:r>
    </w:p>
    <w:p w14:paraId="6794DC8E" w14:textId="77777777" w:rsidR="00157E21" w:rsidRPr="0055559E" w:rsidRDefault="00157E21" w:rsidP="00157E21">
      <w:pPr>
        <w:numPr>
          <w:ilvl w:val="0"/>
          <w:numId w:val="3"/>
        </w:numPr>
        <w:spacing w:after="120" w:line="245" w:lineRule="auto"/>
        <w:contextualSpacing/>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Nacionalinės mokėjimo agentūros prie Žemės ūkio ministerijos informacija (statistika) </w:t>
      </w:r>
      <w:hyperlink r:id="rId8" w:history="1">
        <w:r w:rsidRPr="0055559E">
          <w:t>www.parama.zuvininkystei.lt</w:t>
        </w:r>
      </w:hyperlink>
      <w:r w:rsidRPr="0055559E">
        <w:rPr>
          <w:rFonts w:ascii="Times New Roman" w:eastAsia="Times New Roman" w:hAnsi="Times New Roman" w:cs="Times New Roman"/>
          <w:sz w:val="24"/>
          <w:szCs w:val="24"/>
          <w:lang w:eastAsia="en-US"/>
        </w:rPr>
        <w:t>.</w:t>
      </w:r>
    </w:p>
    <w:p w14:paraId="54DE1FEE" w14:textId="77777777" w:rsidR="00157E21" w:rsidRPr="0055559E" w:rsidRDefault="00157E21" w:rsidP="00157E21">
      <w:pPr>
        <w:numPr>
          <w:ilvl w:val="0"/>
          <w:numId w:val="3"/>
        </w:numPr>
        <w:spacing w:after="120" w:line="245" w:lineRule="auto"/>
        <w:contextualSpacing/>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VĮ Žemės ūkio duomenų centro informacija (deklaravimo duomenys, statistika, žemėlapiai): https://zudc.lt/.</w:t>
      </w:r>
    </w:p>
    <w:p w14:paraId="687BE053" w14:textId="77777777" w:rsidR="00157E21" w:rsidRPr="0055559E" w:rsidRDefault="00157E21" w:rsidP="00157E21">
      <w:pPr>
        <w:spacing w:after="120" w:line="245" w:lineRule="auto"/>
        <w:ind w:firstLine="480"/>
        <w:jc w:val="both"/>
        <w:rPr>
          <w:rFonts w:ascii="Times New Roman" w:eastAsia="Times New Roman" w:hAnsi="Times New Roman" w:cs="Times New Roman"/>
          <w:sz w:val="24"/>
          <w:szCs w:val="24"/>
          <w:lang w:eastAsia="en-US"/>
        </w:rPr>
      </w:pPr>
      <w:r w:rsidRPr="0055559E">
        <w:rPr>
          <w:rFonts w:ascii="Times New Roman" w:hAnsi="Times New Roman" w:cs="Times New Roman"/>
          <w:sz w:val="24"/>
          <w:szCs w:val="24"/>
        </w:rPr>
        <w:t xml:space="preserve">Atliekamas žaliasis pirkimas. Pirkimas vykdomas vadovaujantis </w:t>
      </w:r>
      <w:hyperlink r:id="rId9" w:history="1">
        <w:r w:rsidRPr="0055559E">
          <w:rPr>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w:t>
        </w:r>
        <w:r w:rsidRPr="0055559E">
          <w:rPr>
            <w:rFonts w:ascii="Times New Roman" w:hAnsi="Times New Roman" w:cs="Times New Roman"/>
            <w:sz w:val="24"/>
            <w:szCs w:val="24"/>
          </w:rPr>
          <w:lastRenderedPageBreak/>
          <w:t>kriterijų, kuriuos perkančiosios organizacijos ir perkantieji subjektai turi taikyti pirkdami prekes, paslaugas ar darbus, taikymo tvarkos aprašo patvirtinimo“ pakeitimo</w:t>
        </w:r>
      </w:hyperlink>
      <w:r w:rsidRPr="0055559E">
        <w:rPr>
          <w:rFonts w:ascii="Times New Roman" w:hAnsi="Times New Roman" w:cs="Times New Roman"/>
          <w:sz w:val="24"/>
          <w:szCs w:val="24"/>
        </w:rPr>
        <w:t>“ 4.4.3</w:t>
      </w:r>
      <w:r w:rsidRPr="0055559E">
        <w:rPr>
          <w:rFonts w:ascii="Times New Roman" w:hAnsi="Times New Roman" w:cs="Times New Roman"/>
          <w:i/>
          <w:sz w:val="24"/>
          <w:szCs w:val="24"/>
        </w:rPr>
        <w:t xml:space="preserve"> </w:t>
      </w:r>
      <w:r w:rsidRPr="0055559E">
        <w:rPr>
          <w:rFonts w:ascii="Times New Roman" w:hAnsi="Times New Roman" w:cs="Times New Roman"/>
          <w:iCs/>
          <w:sz w:val="24"/>
          <w:szCs w:val="24"/>
        </w:rPr>
        <w:t>pap</w:t>
      </w:r>
      <w:r w:rsidRPr="0055559E">
        <w:rPr>
          <w:rFonts w:ascii="Times New Roman" w:hAnsi="Times New Roman" w:cs="Times New Roman"/>
          <w:sz w:val="24"/>
          <w:szCs w:val="24"/>
        </w:rPr>
        <w:t>unkčiu.</w:t>
      </w:r>
    </w:p>
    <w:p w14:paraId="7359BB72" w14:textId="77777777" w:rsidR="00157E21" w:rsidRPr="0055559E" w:rsidRDefault="00157E21" w:rsidP="00157E21">
      <w:pPr>
        <w:tabs>
          <w:tab w:val="left" w:pos="900"/>
        </w:tabs>
        <w:spacing w:line="240" w:lineRule="auto"/>
        <w:rPr>
          <w:rFonts w:ascii="Times New Roman" w:eastAsia="Times New Roman" w:hAnsi="Times New Roman" w:cs="Times New Roman"/>
          <w:sz w:val="24"/>
          <w:szCs w:val="24"/>
        </w:rPr>
      </w:pPr>
    </w:p>
    <w:p w14:paraId="3C9D6CB0" w14:textId="77777777" w:rsidR="00767B6D" w:rsidRDefault="00767B6D"/>
    <w:sectPr w:rsidR="00767B6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02E8" w14:textId="77777777" w:rsidR="00A143C3" w:rsidRDefault="00A143C3" w:rsidP="00157E21">
      <w:pPr>
        <w:spacing w:after="0" w:line="240" w:lineRule="auto"/>
      </w:pPr>
      <w:r>
        <w:separator/>
      </w:r>
    </w:p>
  </w:endnote>
  <w:endnote w:type="continuationSeparator" w:id="0">
    <w:p w14:paraId="6F4F966A" w14:textId="77777777" w:rsidR="00A143C3" w:rsidRDefault="00A143C3" w:rsidP="0015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4AC7" w14:textId="77777777" w:rsidR="00A143C3" w:rsidRDefault="00A143C3" w:rsidP="00157E21">
      <w:pPr>
        <w:spacing w:after="0" w:line="240" w:lineRule="auto"/>
      </w:pPr>
      <w:r>
        <w:separator/>
      </w:r>
    </w:p>
  </w:footnote>
  <w:footnote w:type="continuationSeparator" w:id="0">
    <w:p w14:paraId="575B4B33" w14:textId="77777777" w:rsidR="00A143C3" w:rsidRDefault="00A143C3" w:rsidP="00157E21">
      <w:pPr>
        <w:spacing w:after="0" w:line="240" w:lineRule="auto"/>
      </w:pPr>
      <w:r>
        <w:continuationSeparator/>
      </w:r>
    </w:p>
  </w:footnote>
  <w:footnote w:id="1">
    <w:p w14:paraId="547908D0" w14:textId="77777777" w:rsidR="00157E21" w:rsidRDefault="00157E21" w:rsidP="00157E21">
      <w:pPr>
        <w:pStyle w:val="Puslapioinaostekstas"/>
      </w:pPr>
      <w:r>
        <w:rPr>
          <w:rStyle w:val="Puslapioinaosnuoroda"/>
        </w:rPr>
        <w:footnoteRef/>
      </w:r>
      <w:r>
        <w:t xml:space="preserve"> Patvirtinta EK sprendimu </w:t>
      </w:r>
      <w:r w:rsidRPr="001062D7">
        <w:t>COM (2020) 380 (galutinis)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898369263">
    <w:abstractNumId w:val="2"/>
  </w:num>
  <w:num w:numId="2" w16cid:durableId="489833627">
    <w:abstractNumId w:val="1"/>
  </w:num>
  <w:num w:numId="3" w16cid:durableId="171593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21"/>
    <w:rsid w:val="000A28C9"/>
    <w:rsid w:val="0013116E"/>
    <w:rsid w:val="001313D7"/>
    <w:rsid w:val="00157E21"/>
    <w:rsid w:val="00174423"/>
    <w:rsid w:val="001C5CEB"/>
    <w:rsid w:val="00267BBE"/>
    <w:rsid w:val="00277E35"/>
    <w:rsid w:val="002C5247"/>
    <w:rsid w:val="002C5A99"/>
    <w:rsid w:val="00353310"/>
    <w:rsid w:val="00377201"/>
    <w:rsid w:val="004115BD"/>
    <w:rsid w:val="005119A3"/>
    <w:rsid w:val="00527197"/>
    <w:rsid w:val="00667364"/>
    <w:rsid w:val="00685E0C"/>
    <w:rsid w:val="00715EFA"/>
    <w:rsid w:val="00737F75"/>
    <w:rsid w:val="00767B6D"/>
    <w:rsid w:val="007B7B0F"/>
    <w:rsid w:val="00863C02"/>
    <w:rsid w:val="00944F5E"/>
    <w:rsid w:val="00960DCD"/>
    <w:rsid w:val="00994399"/>
    <w:rsid w:val="00A143C3"/>
    <w:rsid w:val="00A350A6"/>
    <w:rsid w:val="00B24D4B"/>
    <w:rsid w:val="00B3310E"/>
    <w:rsid w:val="00B5338A"/>
    <w:rsid w:val="00C1785C"/>
    <w:rsid w:val="00C80B9E"/>
    <w:rsid w:val="00CB6872"/>
    <w:rsid w:val="00D623A3"/>
    <w:rsid w:val="00DA0BB1"/>
    <w:rsid w:val="00E109EB"/>
    <w:rsid w:val="00E607C2"/>
    <w:rsid w:val="00EA345D"/>
    <w:rsid w:val="00ED20A6"/>
    <w:rsid w:val="00F120A2"/>
    <w:rsid w:val="00F3388C"/>
    <w:rsid w:val="00F85EEF"/>
    <w:rsid w:val="00FD6A3F"/>
    <w:rsid w:val="00FF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0886"/>
  <w15:chartTrackingRefBased/>
  <w15:docId w15:val="{1BB36A9A-2288-49BB-8BE4-22C188A0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E2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5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7E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7E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7E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7E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7E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7E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7E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7E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7E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7E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7E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7E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7E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7E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7E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7E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7E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7E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7E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7E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7E21"/>
    <w:rPr>
      <w:i/>
      <w:iCs/>
      <w:color w:val="404040" w:themeColor="text1" w:themeTint="BF"/>
    </w:rPr>
  </w:style>
  <w:style w:type="paragraph" w:styleId="Sraopastraipa">
    <w:name w:val="List Paragraph"/>
    <w:basedOn w:val="prastasis"/>
    <w:uiPriority w:val="34"/>
    <w:qFormat/>
    <w:rsid w:val="00157E21"/>
    <w:pPr>
      <w:ind w:left="720"/>
      <w:contextualSpacing/>
    </w:pPr>
  </w:style>
  <w:style w:type="character" w:styleId="Rykuspabraukimas">
    <w:name w:val="Intense Emphasis"/>
    <w:basedOn w:val="Numatytasispastraiposriftas"/>
    <w:uiPriority w:val="21"/>
    <w:qFormat/>
    <w:rsid w:val="00157E21"/>
    <w:rPr>
      <w:i/>
      <w:iCs/>
      <w:color w:val="0F4761" w:themeColor="accent1" w:themeShade="BF"/>
    </w:rPr>
  </w:style>
  <w:style w:type="paragraph" w:styleId="Iskirtacitata">
    <w:name w:val="Intense Quote"/>
    <w:basedOn w:val="prastasis"/>
    <w:next w:val="prastasis"/>
    <w:link w:val="IskirtacitataDiagrama"/>
    <w:uiPriority w:val="30"/>
    <w:qFormat/>
    <w:rsid w:val="0015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7E21"/>
    <w:rPr>
      <w:i/>
      <w:iCs/>
      <w:color w:val="0F4761" w:themeColor="accent1" w:themeShade="BF"/>
    </w:rPr>
  </w:style>
  <w:style w:type="character" w:styleId="Rykinuoroda">
    <w:name w:val="Intense Reference"/>
    <w:basedOn w:val="Numatytasispastraiposriftas"/>
    <w:uiPriority w:val="32"/>
    <w:qFormat/>
    <w:rsid w:val="00157E21"/>
    <w:rPr>
      <w:b/>
      <w:bCs/>
      <w:smallCaps/>
      <w:color w:val="0F4761" w:themeColor="accent1" w:themeShade="BF"/>
      <w:spacing w:val="5"/>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157E2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157E21"/>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157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3" Type="http://schemas.openxmlformats.org/officeDocument/2006/relationships/settings" Target="settings.xml"/><Relationship Id="rId7" Type="http://schemas.openxmlformats.org/officeDocument/2006/relationships/hyperlink" Target="https://www.esf.lt/veiklos-sritys/metodines-pagalbos-centras/parengti-fiksuotuju-dydziu-tyrimai/1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8587</Words>
  <Characters>4896</Characters>
  <Application>Microsoft Office Word</Application>
  <DocSecurity>0</DocSecurity>
  <Lines>40</Lines>
  <Paragraphs>26</Paragraphs>
  <ScaleCrop>false</ScaleCrop>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Vasaitienė</dc:creator>
  <cp:keywords/>
  <dc:description/>
  <cp:lastModifiedBy>Dalia Sereikaitė</cp:lastModifiedBy>
  <cp:revision>2</cp:revision>
  <dcterms:created xsi:type="dcterms:W3CDTF">2025-08-14T10:30:00Z</dcterms:created>
  <dcterms:modified xsi:type="dcterms:W3CDTF">2025-08-14T10:30:00Z</dcterms:modified>
</cp:coreProperties>
</file>