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28718183" w:rsidR="00B70A0A" w:rsidRPr="00E179EB" w:rsidRDefault="00307DFB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50B35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650B35">
                  <w:rPr>
                    <w:sz w:val="22"/>
                    <w:szCs w:val="22"/>
                  </w:rPr>
                  <w:t>UAB Vilniaus kogeneracinė jėgainė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11CFA4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50B35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535514AE" w:rsidR="008D1431" w:rsidRPr="00E179EB" w:rsidRDefault="00307DFB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650B35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54AC4" w14:textId="53E416E8" w:rsidR="00650B35" w:rsidRPr="00650B35" w:rsidRDefault="00650B35" w:rsidP="000C7EA2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650B35">
              <w:rPr>
                <w:b/>
                <w:bCs/>
                <w:i/>
                <w:iCs/>
                <w:color w:val="auto"/>
                <w:sz w:val="22"/>
                <w:szCs w:val="22"/>
              </w:rPr>
              <w:t>Hidraulinės sistemos techninė priežiūra, remontas ir atsarginės dalys</w:t>
            </w:r>
            <w:r w:rsidRPr="00650B35">
              <w:rPr>
                <w:b/>
                <w:bCs/>
                <w:i/>
                <w:iCs/>
                <w:color w:val="auto"/>
                <w:sz w:val="22"/>
                <w:szCs w:val="22"/>
              </w:rPr>
              <w:t>/</w:t>
            </w:r>
            <w:r w:rsidRPr="00650B35">
              <w:rPr>
                <w:b/>
                <w:bCs/>
                <w:i/>
                <w:iCs/>
                <w:color w:val="auto"/>
                <w:sz w:val="22"/>
                <w:szCs w:val="22"/>
              </w:rPr>
              <w:t>medžiagos</w:t>
            </w:r>
          </w:p>
          <w:p w14:paraId="0F6A50C8" w14:textId="7A816D97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6101F3">
                  <w:rPr>
                    <w:sz w:val="22"/>
                    <w:szCs w:val="22"/>
                  </w:rPr>
                  <w:t>tiekti reikiamas prekes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599DC8F2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307DFB">
                  <w:rPr>
                    <w:rFonts w:ascii="Arial" w:hAnsi="Arial" w:cs="Arial"/>
                  </w:rPr>
                  <w:t>3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7B50272D" w:rsidR="00B70A0A" w:rsidRPr="006101F3" w:rsidRDefault="00B70A0A" w:rsidP="006101F3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101F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101F3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73EB9E0B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101F3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E179EB">
              <w:rPr>
                <w:rFonts w:ascii="Arial" w:eastAsia="Trebuchet MS" w:hAnsi="Arial" w:cs="Arial"/>
              </w:rPr>
              <w:t>know-how</w:t>
            </w:r>
            <w:proofErr w:type="spellEnd"/>
            <w:r w:rsidRPr="00E179EB">
              <w:rPr>
                <w:rFonts w:ascii="Arial" w:eastAsia="Trebuchet MS" w:hAnsi="Arial" w:cs="Arial"/>
              </w:rPr>
              <w:t>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1BA27313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101F3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101F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teisės dėl išvadų viešo skelbimo ar skelbiamos informacijos turinio. Išvadose gali būti pateikta nuasmeninta iš dalyvių Rinkos konsultacijos metu gauta ir apibendrinta informacija.</w:t>
            </w:r>
          </w:p>
          <w:p w14:paraId="5F8F880B" w14:textId="2DEB172D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lastRenderedPageBreak/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6101F3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20BCA554" w:rsidR="00B70A0A" w:rsidRPr="006101F3" w:rsidRDefault="00307DFB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6101F3" w:rsidRPr="006101F3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6101F3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6101F3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493B130A" w:rsidR="00B70A0A" w:rsidRPr="006101F3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6101F3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6101F3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6101F3" w:rsidRPr="006101F3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6101F3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6101F3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6101F3">
              <w:rPr>
                <w:rFonts w:ascii="Arial" w:eastAsia="Trebuchet MS" w:hAnsi="Arial" w:cs="Arial"/>
              </w:rPr>
              <w:t>Vadovaujantis VPĮ 27 str. 3 - 4 d.</w:t>
            </w:r>
            <w:r w:rsidR="6BF245FC" w:rsidRPr="006101F3">
              <w:rPr>
                <w:rFonts w:ascii="Arial" w:eastAsia="Trebuchet MS" w:hAnsi="Arial" w:cs="Arial"/>
              </w:rPr>
              <w:t xml:space="preserve"> / PĮ 39 str. 3-</w:t>
            </w:r>
            <w:r w:rsidRPr="006101F3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871F" w14:textId="7845FB1D" w:rsidR="00156821" w:rsidRPr="006101F3" w:rsidRDefault="00AD3054" w:rsidP="00781CBF">
            <w:pPr>
              <w:spacing w:after="0"/>
              <w:rPr>
                <w:rFonts w:ascii="Arial" w:hAnsi="Arial" w:cs="Arial"/>
              </w:rPr>
            </w:pPr>
            <w:r w:rsidRPr="006101F3">
              <w:rPr>
                <w:rFonts w:ascii="Arial" w:hAnsi="Arial" w:cs="Arial"/>
              </w:rPr>
              <w:t xml:space="preserve">Priedas Nr. 1 – </w:t>
            </w:r>
            <w:r w:rsidR="006101F3" w:rsidRPr="006101F3">
              <w:rPr>
                <w:rFonts w:ascii="Arial" w:hAnsi="Arial" w:cs="Arial"/>
              </w:rPr>
              <w:t>Techninė specifikacija su priedu.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even" r:id="rId11"/>
      <w:headerReference w:type="default" r:id="rId12"/>
      <w:headerReference w:type="first" r:id="rId13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2023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67EE9E51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548A21E5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9F4E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0BAD11C3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50CB359B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04AD" w14:textId="7A9BC8BA" w:rsidR="00650B35" w:rsidRDefault="00650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0CC" w14:textId="50F06EFD" w:rsidR="00310834" w:rsidRPr="00E5161A" w:rsidRDefault="00307DFB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  <w:sdt>
      <w:sdtPr>
        <w:rPr>
          <w:rFonts w:ascii="Segoe UI" w:hAnsi="Segoe UI" w:cs="Segoe UI"/>
          <w:sz w:val="20"/>
          <w:szCs w:val="20"/>
        </w:rPr>
        <w:id w:val="-2060543087"/>
        <w:docPartObj>
          <w:docPartGallery w:val="Page Numbers (Top of Page)"/>
          <w:docPartUnique/>
        </w:docPartObj>
      </w:sdtPr>
      <w:sdtEndPr/>
      <w:sdtContent>
        <w:r w:rsidR="00F22D88"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sdtContent>
    </w:sdt>
  </w:p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67AC8674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1A3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1925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2A93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DF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5E55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A3D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1F3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B35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575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151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6C90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4C97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4BF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64B4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0AD6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470892"/>
    <w:rsid w:val="004846C4"/>
    <w:rsid w:val="0058744B"/>
    <w:rsid w:val="005B2D6F"/>
    <w:rsid w:val="00641720"/>
    <w:rsid w:val="00716575"/>
    <w:rsid w:val="008348A2"/>
    <w:rsid w:val="008E2BE8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192504FE944CEE8527C569BE855849">
    <w:name w:val="E3192504FE944CEE8527C569BE855849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857DE38ACDD645B0B46E14B1D6D37FC5">
    <w:name w:val="857DE38ACDD645B0B46E14B1D6D37FC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F56AA8F6BE14128BB54AA0517C98CC6">
    <w:name w:val="6F56AA8F6BE14128BB54AA0517C98CC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A7CDC118EA1484B9276002E7648D976">
    <w:name w:val="AA7CDC118EA1484B9276002E7648D976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FFDC0C91F14C4F7AA2DCC2637CD1C4C31">
    <w:name w:val="FFDC0C91F14C4F7AA2DCC2637CD1C4C3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86</cp:revision>
  <cp:lastPrinted>2019-09-03T10:36:00Z</cp:lastPrinted>
  <dcterms:created xsi:type="dcterms:W3CDTF">2024-03-18T06:13:00Z</dcterms:created>
  <dcterms:modified xsi:type="dcterms:W3CDTF">2025-08-14T10:45:00Z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