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668682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2EA54A24" w:rsidR="00D526C8" w:rsidRPr="00AD6063" w:rsidRDefault="00D526C8" w:rsidP="007872DE">
          <w:pPr>
            <w:jc w:val="center"/>
            <w:rPr>
              <w:sz w:val="26"/>
              <w:szCs w:val="26"/>
            </w:rPr>
          </w:pPr>
          <w:r w:rsidRPr="00AD6063">
            <w:rPr>
              <w:rFonts w:cstheme="minorHAnsi"/>
              <w:b/>
              <w:bCs/>
              <w:sz w:val="26"/>
              <w:szCs w:val="26"/>
            </w:rPr>
            <w:t>„</w:t>
          </w:r>
          <w:r w:rsidR="007872DE" w:rsidRPr="007872DE">
            <w:rPr>
              <w:rFonts w:cstheme="minorHAnsi"/>
              <w:b/>
              <w:bCs/>
              <w:sz w:val="26"/>
              <w:szCs w:val="26"/>
            </w:rPr>
            <w:t>Vytauto g., Zarasų m. lauko vandentiekio ir buities nuotekų inžinerinių tinklų projekto parengimas, projekto vykdymo priežiūros atlikimo paslauga ir rangos 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4415F85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297A80">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13C81868"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DE0F6A">
        <w:rPr>
          <w:rFonts w:cstheme="minorHAnsi"/>
        </w:rPr>
        <w:t>4.</w:t>
      </w:r>
      <w:r w:rsidR="005B0939">
        <w:rPr>
          <w:rFonts w:cstheme="minorHAnsi"/>
        </w:rPr>
        <w:t>4</w:t>
      </w:r>
      <w:r w:rsidR="00062686">
        <w:rPr>
          <w:rFonts w:cstheme="minorHAnsi"/>
        </w:rPr>
        <w:t>.</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98EFB60" w:rsidR="00FB3C75" w:rsidRPr="00AD6063" w:rsidRDefault="4A330118" w:rsidP="00297A80">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334650" w:rsidRPr="00334650">
        <w:rPr>
          <w:rFonts w:cstheme="minorHAnsi"/>
          <w:b/>
          <w:bCs/>
        </w:rPr>
        <w:t>Vytauto g., Zarasų m. lauko vandentiekio ir buities nuotekų inžinerinių tinklų projekto parengim</w:t>
      </w:r>
      <w:r w:rsidR="00334650">
        <w:rPr>
          <w:rFonts w:cstheme="minorHAnsi"/>
          <w:b/>
          <w:bCs/>
        </w:rPr>
        <w:t>ą</w:t>
      </w:r>
      <w:r w:rsidR="00334650" w:rsidRPr="00334650">
        <w:rPr>
          <w:rFonts w:cstheme="minorHAnsi"/>
          <w:b/>
          <w:bCs/>
        </w:rPr>
        <w:t>, projekto vykdymo priežiūros atlikimo paslaug</w:t>
      </w:r>
      <w:r w:rsidR="00334650">
        <w:rPr>
          <w:rFonts w:cstheme="minorHAnsi"/>
          <w:b/>
          <w:bCs/>
        </w:rPr>
        <w:t>ą</w:t>
      </w:r>
      <w:r w:rsidR="00334650" w:rsidRPr="00334650">
        <w:rPr>
          <w:rFonts w:cstheme="minorHAnsi"/>
          <w:b/>
          <w:bCs/>
        </w:rPr>
        <w:t xml:space="preserve"> ir rangos </w:t>
      </w:r>
      <w:r w:rsidR="00297A80" w:rsidRPr="00334650">
        <w:rPr>
          <w:rFonts w:eastAsia="Calibri" w:cstheme="minorHAnsi"/>
          <w:b/>
          <w:bCs/>
        </w:rPr>
        <w:t>darbus</w:t>
      </w:r>
      <w:r w:rsidR="00062686" w:rsidRPr="00334650">
        <w:rPr>
          <w:rFonts w:eastAsia="Calibri" w:cstheme="minorHAnsi"/>
          <w:b/>
          <w:bCs/>
        </w:rPr>
        <w:t>.</w:t>
      </w:r>
      <w:r w:rsidR="00E74843" w:rsidRPr="00334650">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BB1967B" w14:textId="76D94837" w:rsidR="00334650" w:rsidRDefault="00FB3C75" w:rsidP="00334650">
      <w:pPr>
        <w:pStyle w:val="Betarp"/>
        <w:numPr>
          <w:ilvl w:val="1"/>
          <w:numId w:val="21"/>
        </w:numPr>
        <w:ind w:left="0" w:firstLine="709"/>
        <w:contextualSpacing/>
        <w:rPr>
          <w:rFonts w:cstheme="minorHAnsi"/>
        </w:rPr>
      </w:pPr>
      <w:r w:rsidRPr="003B1865">
        <w:rPr>
          <w:rFonts w:cstheme="minorHAnsi"/>
        </w:rPr>
        <w:t>Pirkimo objektas į</w:t>
      </w:r>
      <w:r w:rsidR="00CE49F9">
        <w:rPr>
          <w:rFonts w:cstheme="minorHAnsi"/>
        </w:rPr>
        <w:t xml:space="preserve"> </w:t>
      </w:r>
      <w:r w:rsidRPr="003B1865">
        <w:rPr>
          <w:rFonts w:cstheme="minorHAnsi"/>
        </w:rPr>
        <w:t>dalis</w:t>
      </w:r>
      <w:r w:rsidR="00334650">
        <w:rPr>
          <w:rFonts w:cstheme="minorHAnsi"/>
        </w:rPr>
        <w:t xml:space="preserve"> neskaidomas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7D7E8123" w:rsidR="003943EC" w:rsidRPr="00297A80" w:rsidRDefault="003943EC" w:rsidP="00334650">
      <w:pPr>
        <w:pStyle w:val="Betarp"/>
        <w:numPr>
          <w:ilvl w:val="1"/>
          <w:numId w:val="21"/>
        </w:numPr>
        <w:ind w:left="0" w:firstLine="709"/>
        <w:contextualSpacing/>
        <w:rPr>
          <w:rFonts w:cstheme="minorHAnsi"/>
        </w:rPr>
      </w:pPr>
      <w:r w:rsidRPr="00297A8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02F92146" w:rsidR="00260FBE" w:rsidRPr="00817AB9" w:rsidRDefault="00334650" w:rsidP="00260FBE">
      <w:pPr>
        <w:pStyle w:val="Sraopastraipa"/>
        <w:numPr>
          <w:ilvl w:val="1"/>
          <w:numId w:val="21"/>
        </w:numPr>
        <w:spacing w:line="240" w:lineRule="auto"/>
        <w:ind w:left="0" w:firstLine="697"/>
        <w:rPr>
          <w:rFonts w:cstheme="minorHAnsi"/>
        </w:rPr>
      </w:pPr>
      <w:r w:rsidRPr="00403906">
        <w:rPr>
          <w:color w:val="000000" w:themeColor="text1"/>
        </w:rPr>
        <w:t>Tiekėjams nustatomi kvalifikacijos reikalavimai ir reikalavimai dėl kokybės vadybos sistemos ir (arba) aplinkos apsaugos vadybos sistemos standartų laikymosi</w:t>
      </w:r>
      <w:r>
        <w:rPr>
          <w:color w:val="000000" w:themeColor="text1"/>
        </w:rPr>
        <w:t>.</w:t>
      </w:r>
      <w:r w:rsidRPr="00817AB9">
        <w:rPr>
          <w:rFonts w:cstheme="minorHAnsi"/>
        </w:rPr>
        <w:t xml:space="preserve"> </w:t>
      </w:r>
      <w:r w:rsidR="00260FBE"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p>
    <w:p w14:paraId="6EE509AD" w14:textId="07C92F4B"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334650">
        <w:rPr>
          <w:rFonts w:cstheme="minorHAnsi"/>
          <w:b/>
          <w:bCs/>
        </w:rPr>
        <w:t>80000,00 Eur su PVM</w:t>
      </w:r>
      <w:r w:rsidR="00E76AB0">
        <w:rPr>
          <w:rFonts w:cstheme="minorHAnsi"/>
        </w:rPr>
        <w:t>.</w:t>
      </w:r>
      <w:r>
        <w:rPr>
          <w:rFonts w:cstheme="minorHAnsi"/>
        </w:rPr>
        <w:t xml:space="preserve">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tbl>
      <w:tblPr>
        <w:tblStyle w:val="Lentelstinklelis"/>
        <w:tblW w:w="0" w:type="auto"/>
        <w:tblInd w:w="709" w:type="dxa"/>
        <w:tblLook w:val="04A0" w:firstRow="1" w:lastRow="0" w:firstColumn="1" w:lastColumn="0" w:noHBand="0" w:noVBand="1"/>
      </w:tblPr>
      <w:tblGrid>
        <w:gridCol w:w="987"/>
        <w:gridCol w:w="2552"/>
        <w:gridCol w:w="3827"/>
        <w:gridCol w:w="2726"/>
      </w:tblGrid>
      <w:tr w:rsidR="000553C7" w:rsidRPr="00DE0F6A" w14:paraId="39AE4A8A" w14:textId="77777777" w:rsidTr="00DE0F6A">
        <w:tc>
          <w:tcPr>
            <w:tcW w:w="987" w:type="dxa"/>
          </w:tcPr>
          <w:p w14:paraId="54A588E9" w14:textId="48A140EC"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eastAsia="Arial" w:cstheme="minorHAnsi"/>
                <w:b/>
                <w:bCs/>
                <w:sz w:val="22"/>
                <w:szCs w:val="22"/>
              </w:rPr>
              <w:t>Eil. Nr.</w:t>
            </w:r>
          </w:p>
        </w:tc>
        <w:tc>
          <w:tcPr>
            <w:tcW w:w="2552" w:type="dxa"/>
          </w:tcPr>
          <w:p w14:paraId="6D82388B" w14:textId="6E162731"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cstheme="minorHAnsi"/>
                <w:b/>
                <w:bCs/>
                <w:color w:val="000000"/>
                <w:sz w:val="22"/>
                <w:szCs w:val="22"/>
              </w:rPr>
              <w:t>Kvalifikacijos reikalavimas</w:t>
            </w:r>
          </w:p>
        </w:tc>
        <w:tc>
          <w:tcPr>
            <w:tcW w:w="3827" w:type="dxa"/>
          </w:tcPr>
          <w:p w14:paraId="37C02DE6" w14:textId="749A9C96"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cstheme="minorHAnsi"/>
                <w:b/>
                <w:bCs/>
                <w:color w:val="000000"/>
                <w:sz w:val="22"/>
                <w:szCs w:val="22"/>
              </w:rPr>
              <w:t>Atitiktį reikalavimui įrodantys dokumentai</w:t>
            </w:r>
          </w:p>
        </w:tc>
        <w:tc>
          <w:tcPr>
            <w:tcW w:w="2726" w:type="dxa"/>
          </w:tcPr>
          <w:p w14:paraId="76D2FBC8" w14:textId="77777777" w:rsidR="000553C7" w:rsidRPr="00DE0F6A" w:rsidRDefault="000553C7" w:rsidP="000553C7">
            <w:pPr>
              <w:autoSpaceDE w:val="0"/>
              <w:autoSpaceDN w:val="0"/>
              <w:adjustRightInd w:val="0"/>
              <w:ind w:firstLine="0"/>
              <w:jc w:val="center"/>
              <w:rPr>
                <w:rFonts w:asciiTheme="minorHAnsi" w:cstheme="minorHAnsi"/>
                <w:b/>
                <w:bCs/>
                <w:color w:val="000000"/>
                <w:sz w:val="22"/>
                <w:szCs w:val="22"/>
              </w:rPr>
            </w:pPr>
            <w:r w:rsidRPr="00DE0F6A">
              <w:rPr>
                <w:rFonts w:asciiTheme="minorHAnsi" w:cstheme="minorHAnsi"/>
                <w:b/>
                <w:bCs/>
                <w:color w:val="000000"/>
                <w:sz w:val="22"/>
                <w:szCs w:val="22"/>
              </w:rPr>
              <w:t>Subjektas, kuris turi atitikti reikalavimą</w:t>
            </w:r>
          </w:p>
          <w:p w14:paraId="62AD9EB4" w14:textId="77777777"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p>
        </w:tc>
      </w:tr>
      <w:tr w:rsidR="00A84058" w14:paraId="6B0EA429" w14:textId="77777777" w:rsidTr="00DE0F6A">
        <w:tc>
          <w:tcPr>
            <w:tcW w:w="987" w:type="dxa"/>
          </w:tcPr>
          <w:p w14:paraId="6E6E603B" w14:textId="74C3C6A7" w:rsidR="00A84058" w:rsidRDefault="00A84058" w:rsidP="00A84058">
            <w:pPr>
              <w:tabs>
                <w:tab w:val="left" w:pos="568"/>
              </w:tabs>
              <w:spacing w:line="276" w:lineRule="auto"/>
              <w:ind w:firstLine="0"/>
              <w:jc w:val="left"/>
              <w:rPr>
                <w:rFonts w:eastAsia="Arial" w:cstheme="minorHAnsi"/>
              </w:rPr>
            </w:pPr>
            <w:r>
              <w:rPr>
                <w:rFonts w:eastAsia="Arial" w:cstheme="minorHAnsi"/>
              </w:rPr>
              <w:t>1.</w:t>
            </w:r>
          </w:p>
        </w:tc>
        <w:tc>
          <w:tcPr>
            <w:tcW w:w="2552" w:type="dxa"/>
          </w:tcPr>
          <w:p w14:paraId="1E478E17" w14:textId="3FFE9BBC" w:rsidR="00A84058" w:rsidRDefault="00A84058" w:rsidP="00A84058">
            <w:pPr>
              <w:autoSpaceDE w:val="0"/>
              <w:autoSpaceDN w:val="0"/>
              <w:adjustRightInd w:val="0"/>
              <w:ind w:firstLine="29"/>
              <w:rPr>
                <w:rFonts w:ascii="Calibri" w:hAnsi="Calibri" w:cs="Calibri"/>
                <w:color w:val="000000"/>
                <w:sz w:val="21"/>
                <w:szCs w:val="21"/>
              </w:rPr>
            </w:pPr>
            <w:r w:rsidRPr="00AB4814">
              <w:rPr>
                <w:rFonts w:ascii="Calibri" w:hAnsi="Calibri" w:cs="Calibri"/>
                <w:color w:val="000000"/>
                <w:sz w:val="21"/>
                <w:szCs w:val="21"/>
              </w:rPr>
              <w:t xml:space="preserve">Turėti teisę būti </w:t>
            </w:r>
            <w:r w:rsidRPr="00AB4814">
              <w:rPr>
                <w:rFonts w:ascii="Calibri" w:hAnsi="Calibri" w:cs="Calibri"/>
                <w:b/>
                <w:bCs/>
                <w:color w:val="000000"/>
                <w:sz w:val="21"/>
                <w:szCs w:val="21"/>
              </w:rPr>
              <w:t>ypatingojo statinio statybos rangovu</w:t>
            </w:r>
            <w:r w:rsidRPr="00AB4814">
              <w:rPr>
                <w:rFonts w:ascii="Calibri" w:hAnsi="Calibri" w:cs="Calibri"/>
                <w:color w:val="000000"/>
                <w:sz w:val="21"/>
                <w:szCs w:val="21"/>
              </w:rPr>
              <w:t>. Statinių grupės</w:t>
            </w:r>
            <w:r>
              <w:rPr>
                <w:rFonts w:ascii="Calibri" w:hAnsi="Calibri" w:cs="Calibri"/>
                <w:color w:val="000000"/>
                <w:sz w:val="21"/>
                <w:szCs w:val="21"/>
              </w:rPr>
              <w:t xml:space="preserve"> – inžineriniai tinklai, pogrupis – vandentiekio tinklai</w:t>
            </w:r>
            <w:r w:rsidR="00E40B2F">
              <w:rPr>
                <w:rFonts w:ascii="Calibri" w:hAnsi="Calibri" w:cs="Calibri"/>
                <w:color w:val="000000"/>
                <w:sz w:val="21"/>
                <w:szCs w:val="21"/>
              </w:rPr>
              <w:t>, nuotekos</w:t>
            </w:r>
          </w:p>
          <w:p w14:paraId="5129232B" w14:textId="1486851C" w:rsidR="00A84058" w:rsidRPr="00BA3105" w:rsidRDefault="00A84058" w:rsidP="00A84058">
            <w:pPr>
              <w:autoSpaceDE w:val="0"/>
              <w:autoSpaceDN w:val="0"/>
              <w:adjustRightInd w:val="0"/>
              <w:ind w:firstLine="0"/>
              <w:rPr>
                <w:rFonts w:ascii="Calibri" w:hAnsi="Calibri" w:cs="Calibri"/>
                <w:b/>
                <w:bCs/>
                <w:color w:val="000000"/>
                <w:sz w:val="21"/>
                <w:szCs w:val="21"/>
                <w:u w:val="single"/>
              </w:rPr>
            </w:pPr>
            <w:r>
              <w:rPr>
                <w:rFonts w:ascii="Calibri" w:hAnsi="Calibri" w:cs="Calibri"/>
                <w:b/>
                <w:bCs/>
                <w:color w:val="000000"/>
                <w:sz w:val="21"/>
                <w:szCs w:val="21"/>
                <w:u w:val="single"/>
              </w:rPr>
              <w:t>T</w:t>
            </w:r>
            <w:r w:rsidRPr="00BA3105">
              <w:rPr>
                <w:rFonts w:ascii="Calibri" w:hAnsi="Calibri" w:cs="Calibri"/>
                <w:b/>
                <w:bCs/>
                <w:color w:val="000000"/>
                <w:sz w:val="21"/>
                <w:szCs w:val="21"/>
                <w:u w:val="single"/>
              </w:rPr>
              <w:t xml:space="preserve">aip pat minėti </w:t>
            </w:r>
            <w:r>
              <w:rPr>
                <w:rFonts w:ascii="Calibri" w:hAnsi="Calibri" w:cs="Calibri"/>
                <w:b/>
                <w:bCs/>
                <w:color w:val="000000"/>
                <w:sz w:val="21"/>
                <w:szCs w:val="21"/>
                <w:u w:val="single"/>
              </w:rPr>
              <w:t>statiniai</w:t>
            </w:r>
            <w:r w:rsidRPr="00BA3105">
              <w:rPr>
                <w:rFonts w:ascii="Calibri" w:hAnsi="Calibri" w:cs="Calibri"/>
                <w:b/>
                <w:bCs/>
                <w:color w:val="000000"/>
                <w:sz w:val="21"/>
                <w:szCs w:val="21"/>
                <w:u w:val="single"/>
              </w:rPr>
              <w:t xml:space="preserve"> esantys kultūros paveldo objekto teritorijoje, jo apsaugos zonoje, kultūros paveldo vietovėje.</w:t>
            </w:r>
          </w:p>
          <w:p w14:paraId="1B6E97F2" w14:textId="6A791CD5" w:rsidR="00A84058" w:rsidRDefault="00A84058" w:rsidP="00A84058">
            <w:pPr>
              <w:tabs>
                <w:tab w:val="left" w:pos="568"/>
              </w:tabs>
              <w:spacing w:line="276" w:lineRule="auto"/>
              <w:ind w:firstLine="0"/>
              <w:jc w:val="left"/>
              <w:rPr>
                <w:rFonts w:eastAsia="Arial" w:cstheme="minorHAnsi"/>
              </w:rPr>
            </w:pPr>
          </w:p>
        </w:tc>
        <w:tc>
          <w:tcPr>
            <w:tcW w:w="3827" w:type="dxa"/>
          </w:tcPr>
          <w:p w14:paraId="5A7F9FF6" w14:textId="77777777" w:rsidR="00A84058" w:rsidRDefault="00A84058" w:rsidP="00A84058">
            <w:pPr>
              <w:autoSpaceDE w:val="0"/>
              <w:autoSpaceDN w:val="0"/>
              <w:adjustRightInd w:val="0"/>
              <w:ind w:firstLine="0"/>
              <w:rPr>
                <w:rFonts w:asciiTheme="minorHAnsi" w:cstheme="minorHAnsi"/>
                <w:color w:val="000000"/>
                <w:sz w:val="21"/>
                <w:szCs w:val="21"/>
              </w:rPr>
            </w:pPr>
            <w:r>
              <w:rPr>
                <w:rFonts w:asciiTheme="minorHAnsi" w:cstheme="minorHAnsi"/>
                <w:b/>
                <w:bCs/>
                <w:sz w:val="21"/>
                <w:szCs w:val="21"/>
              </w:rPr>
              <w:t xml:space="preserve">Pateikiama: </w:t>
            </w:r>
            <w:r>
              <w:rPr>
                <w:rFonts w:asciiTheme="minorHAnsi" w:cstheme="minorHAnsi"/>
                <w:color w:val="000000"/>
                <w:sz w:val="21"/>
                <w:szCs w:val="21"/>
              </w:rPr>
              <w:t xml:space="preserve">Lietuvos Respublikoje ir trečiosiose šalyse įsteigtiems juridiniams asmenims, kitoms organizacijoms ar jų padaliniams SSVA (iki 2022-04-30 SPSC) išduoti </w:t>
            </w:r>
            <w:r w:rsidRPr="00AB4814">
              <w:rPr>
                <w:rFonts w:asciiTheme="minorHAnsi" w:cstheme="minorHAnsi"/>
                <w:b/>
                <w:bCs/>
                <w:color w:val="000000"/>
                <w:sz w:val="21"/>
                <w:szCs w:val="21"/>
              </w:rPr>
              <w:t>kvalifikacijos atestatai</w:t>
            </w:r>
            <w:r>
              <w:rPr>
                <w:rFonts w:asciiTheme="minorHAnsi" w:cstheme="minorHAnsi"/>
                <w:color w:val="000000"/>
                <w:sz w:val="21"/>
                <w:szCs w:val="21"/>
              </w:rPr>
              <w:t xml:space="preserve"> ar užsienio šalies tiekėjams* išduoti teisės pripažinimo dokumentai, arba užsienio šalies tiekėjų* kilmės šalies kompetentingų institucijų išduoti dokumentai, patvirtinantys jų kilmės valstybėje turimą teisę užsiimti analogiškų statinių statybos veikla, </w:t>
            </w:r>
            <w:r>
              <w:rPr>
                <w:rFonts w:asciiTheme="minorHAnsi" w:cstheme="minorHAnsi"/>
                <w:color w:val="000000"/>
                <w:sz w:val="21"/>
                <w:szCs w:val="21"/>
                <w:u w:val="single"/>
              </w:rPr>
              <w:t xml:space="preserve">arba nuorodos į nacionalines duomenų bazes bet kurioje valstybėje narėje, prie kurių pirkimo vykdytojas turės galimybę tiesiogiai ir neatlygintinai prisijungęs susipažinti su reikalaujamais dokumentais ir (ar) informacija. </w:t>
            </w:r>
            <w:r>
              <w:rPr>
                <w:rFonts w:asciiTheme="minorHAnsi" w:cstheme="minorHAnsi"/>
                <w:color w:val="000000"/>
                <w:sz w:val="21"/>
                <w:szCs w:val="21"/>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darbų pradžios. Pirkimo vykdytojas informaciją apie išduotus kvalifikacijos dokumentus pasitikrina SSVA registruose https://www.ssva.lt/cms/registrai</w:t>
            </w:r>
            <w:r>
              <w:rPr>
                <w:rFonts w:asciiTheme="minorHAnsi" w:cstheme="minorHAnsi"/>
                <w:color w:val="000000"/>
                <w:sz w:val="21"/>
                <w:szCs w:val="21"/>
              </w:rPr>
              <w:b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w:t>
            </w:r>
            <w:r>
              <w:rPr>
                <w:rFonts w:asciiTheme="minorHAnsi" w:cstheme="minorHAnsi"/>
                <w:color w:val="000000"/>
                <w:sz w:val="21"/>
                <w:szCs w:val="21"/>
              </w:rPr>
              <w:lastRenderedPageBreak/>
              <w:t>Lietuvos Respublikos teritorijoje, pripažinus jų kilmės valstybėje turimą teisę užsiimti analogiškų statinių statybos veikla.</w:t>
            </w:r>
          </w:p>
          <w:p w14:paraId="6D288FA2" w14:textId="77777777" w:rsidR="00A84058" w:rsidRDefault="00A84058" w:rsidP="00A84058">
            <w:pPr>
              <w:autoSpaceDE w:val="0"/>
              <w:autoSpaceDN w:val="0"/>
              <w:adjustRightInd w:val="0"/>
              <w:rPr>
                <w:rFonts w:asciiTheme="minorHAnsi" w:cstheme="minorHAnsi"/>
                <w:color w:val="000000"/>
                <w:sz w:val="21"/>
                <w:szCs w:val="21"/>
              </w:rPr>
            </w:pPr>
          </w:p>
          <w:p w14:paraId="7CC7D097" w14:textId="481B2FF0" w:rsidR="00A84058" w:rsidRDefault="00A84058" w:rsidP="00A84058">
            <w:pPr>
              <w:tabs>
                <w:tab w:val="left" w:pos="568"/>
              </w:tabs>
              <w:spacing w:line="276" w:lineRule="auto"/>
              <w:ind w:firstLine="0"/>
              <w:jc w:val="left"/>
              <w:rPr>
                <w:rFonts w:eastAsia="Arial" w:cstheme="minorHAnsi"/>
              </w:rPr>
            </w:pPr>
            <w:r>
              <w:rPr>
                <w:rFonts w:asciiTheme="minorHAnsi" w:cstheme="minorHAnsi"/>
                <w:b/>
                <w:bCs/>
                <w:i/>
                <w:iCs/>
                <w:sz w:val="21"/>
                <w:szCs w:val="21"/>
              </w:rPr>
              <w:t>CVP IS priemonėmis pateikiamos skaitmeninės dokumentų kopijos.</w:t>
            </w:r>
          </w:p>
        </w:tc>
        <w:tc>
          <w:tcPr>
            <w:tcW w:w="2726" w:type="dxa"/>
          </w:tcPr>
          <w:p w14:paraId="14316115" w14:textId="77777777" w:rsidR="00A84058" w:rsidRPr="00CF2A76" w:rsidRDefault="00A84058" w:rsidP="00A84058">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lastRenderedPageBreak/>
              <w:t>-  jeigu pasiūlymą teikia ūkio subjektų grupė – reikalavimą turi atitikti ūkio subjektų grupės nario (-</w:t>
            </w:r>
            <w:proofErr w:type="spellStart"/>
            <w:r w:rsidRPr="00CF2A76">
              <w:rPr>
                <w:rFonts w:ascii="Calibri" w:hAnsi="Calibri" w:cs="Calibri"/>
                <w:color w:val="000000"/>
                <w:sz w:val="22"/>
                <w:szCs w:val="22"/>
              </w:rPr>
              <w:t>ių</w:t>
            </w:r>
            <w:proofErr w:type="spellEnd"/>
            <w:r w:rsidRPr="00CF2A76">
              <w:rPr>
                <w:rFonts w:ascii="Calibri" w:hAnsi="Calibri" w:cs="Calibri"/>
                <w:color w:val="000000"/>
                <w:sz w:val="22"/>
                <w:szCs w:val="22"/>
              </w:rPr>
              <w:t>) specialistai, atsižvelgiant į jų prisiimamus įsipareigojimus pirkimo sutarčiai vykdyti;</w:t>
            </w:r>
          </w:p>
          <w:p w14:paraId="456630DB" w14:textId="77777777" w:rsidR="00A84058" w:rsidRPr="00CF2A76" w:rsidRDefault="00A84058" w:rsidP="00A84058">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t>- tiekėjas gali remtis kitų ūkio subjektų pajėgumais tik tuo atveju, jeigu tie subjektai (jų darbuotojai) patys vykdys tą pirkimo sutarties dalį, kuriai reikia jų turimų pajėgumų;</w:t>
            </w:r>
          </w:p>
          <w:p w14:paraId="189A1B1B" w14:textId="7C6D0D4F" w:rsidR="00A84058" w:rsidRDefault="00A84058" w:rsidP="00A84058">
            <w:pPr>
              <w:tabs>
                <w:tab w:val="left" w:pos="568"/>
              </w:tabs>
              <w:spacing w:line="276" w:lineRule="auto"/>
              <w:ind w:firstLine="0"/>
              <w:jc w:val="left"/>
              <w:rPr>
                <w:rFonts w:eastAsia="Arial" w:cstheme="minorHAnsi"/>
              </w:rPr>
            </w:pPr>
            <w:r w:rsidRPr="00CF2A76">
              <w:rPr>
                <w:rFonts w:ascii="Calibri" w:hAnsi="Calibri" w:cs="Calibri"/>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349F4" w14:paraId="18EC6C63" w14:textId="77777777" w:rsidTr="00DE0F6A">
        <w:tc>
          <w:tcPr>
            <w:tcW w:w="987" w:type="dxa"/>
          </w:tcPr>
          <w:p w14:paraId="71767D64" w14:textId="3FF04243" w:rsidR="002349F4" w:rsidRDefault="002349F4" w:rsidP="00A84058">
            <w:pPr>
              <w:tabs>
                <w:tab w:val="left" w:pos="568"/>
              </w:tabs>
              <w:spacing w:line="276" w:lineRule="auto"/>
              <w:ind w:firstLine="0"/>
              <w:jc w:val="left"/>
              <w:rPr>
                <w:rFonts w:eastAsia="Arial" w:cstheme="minorHAnsi"/>
              </w:rPr>
            </w:pPr>
            <w:r>
              <w:rPr>
                <w:rFonts w:eastAsia="Arial" w:cstheme="minorHAnsi"/>
              </w:rPr>
              <w:t>2.</w:t>
            </w:r>
          </w:p>
        </w:tc>
        <w:tc>
          <w:tcPr>
            <w:tcW w:w="2552" w:type="dxa"/>
          </w:tcPr>
          <w:p w14:paraId="7F2ACD77" w14:textId="77777777" w:rsidR="002349F4" w:rsidRPr="002B1FA6" w:rsidRDefault="002349F4" w:rsidP="002349F4">
            <w:pPr>
              <w:autoSpaceDE w:val="0"/>
              <w:autoSpaceDN w:val="0"/>
              <w:adjustRightInd w:val="0"/>
              <w:ind w:firstLine="29"/>
              <w:rPr>
                <w:rFonts w:ascii="Calibri" w:hAnsi="Calibri" w:cs="Calibri"/>
                <w:color w:val="000000"/>
                <w:sz w:val="21"/>
                <w:szCs w:val="21"/>
              </w:rPr>
            </w:pPr>
            <w:r w:rsidRPr="002B1FA6">
              <w:rPr>
                <w:rFonts w:ascii="Calibri" w:hAnsi="Calibri" w:cs="Calibri"/>
                <w:color w:val="000000"/>
                <w:sz w:val="21"/>
                <w:szCs w:val="21"/>
              </w:rPr>
              <w:t xml:space="preserve">Tiekėjas </w:t>
            </w:r>
            <w:r>
              <w:rPr>
                <w:rFonts w:ascii="Calibri" w:hAnsi="Calibri" w:cs="Calibri"/>
                <w:color w:val="000000"/>
                <w:sz w:val="21"/>
                <w:szCs w:val="21"/>
              </w:rPr>
              <w:t>sutarčiai vykdyti</w:t>
            </w:r>
            <w:r w:rsidRPr="002B1FA6">
              <w:rPr>
                <w:rFonts w:ascii="Calibri" w:hAnsi="Calibri" w:cs="Calibri"/>
                <w:color w:val="000000"/>
                <w:sz w:val="21"/>
                <w:szCs w:val="21"/>
              </w:rPr>
              <w:t xml:space="preserve"> turi turėti bent 1 (vieną) kvalifikuotą ypatingo statinio statybos vadovą, atsakingą už sutarties vykdymą.</w:t>
            </w:r>
          </w:p>
          <w:p w14:paraId="7C63C584" w14:textId="35C3D7AC" w:rsidR="002349F4" w:rsidRDefault="002349F4" w:rsidP="002349F4">
            <w:pPr>
              <w:autoSpaceDE w:val="0"/>
              <w:autoSpaceDN w:val="0"/>
              <w:adjustRightInd w:val="0"/>
              <w:ind w:firstLine="29"/>
              <w:rPr>
                <w:rFonts w:ascii="Calibri" w:hAnsi="Calibri" w:cs="Calibri"/>
                <w:color w:val="000000"/>
                <w:sz w:val="21"/>
                <w:szCs w:val="21"/>
              </w:rPr>
            </w:pPr>
            <w:r w:rsidRPr="00AB4814">
              <w:rPr>
                <w:rFonts w:ascii="Calibri" w:hAnsi="Calibri" w:cs="Calibri"/>
                <w:color w:val="000000"/>
                <w:sz w:val="21"/>
                <w:szCs w:val="21"/>
              </w:rPr>
              <w:t>Statinių grupės</w:t>
            </w:r>
            <w:r>
              <w:rPr>
                <w:rFonts w:ascii="Calibri" w:hAnsi="Calibri" w:cs="Calibri"/>
                <w:color w:val="000000"/>
                <w:sz w:val="21"/>
                <w:szCs w:val="21"/>
              </w:rPr>
              <w:t xml:space="preserve"> – inžineriniai tinklai, pogrupis – vandentiekio tinklai</w:t>
            </w:r>
            <w:r w:rsidR="00E40B2F">
              <w:rPr>
                <w:rFonts w:ascii="Calibri" w:hAnsi="Calibri" w:cs="Calibri"/>
                <w:color w:val="000000"/>
                <w:sz w:val="21"/>
                <w:szCs w:val="21"/>
              </w:rPr>
              <w:t>, nuotekos.</w:t>
            </w:r>
          </w:p>
          <w:p w14:paraId="380A8527" w14:textId="1F83BB86" w:rsidR="002349F4" w:rsidRPr="00BA3105" w:rsidRDefault="002349F4" w:rsidP="002349F4">
            <w:pPr>
              <w:autoSpaceDE w:val="0"/>
              <w:autoSpaceDN w:val="0"/>
              <w:adjustRightInd w:val="0"/>
              <w:ind w:firstLine="29"/>
              <w:rPr>
                <w:rFonts w:ascii="Calibri" w:hAnsi="Calibri" w:cs="Calibri"/>
                <w:b/>
                <w:bCs/>
                <w:color w:val="000000"/>
                <w:sz w:val="21"/>
                <w:szCs w:val="21"/>
                <w:u w:val="single"/>
              </w:rPr>
            </w:pPr>
            <w:r>
              <w:rPr>
                <w:rFonts w:ascii="Calibri" w:hAnsi="Calibri" w:cs="Calibri"/>
                <w:b/>
                <w:bCs/>
                <w:color w:val="000000"/>
                <w:sz w:val="21"/>
                <w:szCs w:val="21"/>
                <w:u w:val="single"/>
              </w:rPr>
              <w:t>T</w:t>
            </w:r>
            <w:r w:rsidRPr="00BA3105">
              <w:rPr>
                <w:rFonts w:ascii="Calibri" w:hAnsi="Calibri" w:cs="Calibri"/>
                <w:b/>
                <w:bCs/>
                <w:color w:val="000000"/>
                <w:sz w:val="21"/>
                <w:szCs w:val="21"/>
                <w:u w:val="single"/>
              </w:rPr>
              <w:t>aip pat minėti statiniai esantys kultūros paveldo objekto teritorijoje, jo apsaugos zonoje, kultūros paveldo vietovėje.</w:t>
            </w:r>
          </w:p>
          <w:p w14:paraId="69B5600F" w14:textId="77777777" w:rsidR="002349F4" w:rsidRPr="00AB4814" w:rsidRDefault="002349F4" w:rsidP="00A84058">
            <w:pPr>
              <w:autoSpaceDE w:val="0"/>
              <w:autoSpaceDN w:val="0"/>
              <w:adjustRightInd w:val="0"/>
              <w:ind w:firstLine="29"/>
              <w:rPr>
                <w:rFonts w:ascii="Calibri" w:hAnsi="Calibri" w:cs="Calibri"/>
                <w:color w:val="000000"/>
              </w:rPr>
            </w:pPr>
          </w:p>
        </w:tc>
        <w:tc>
          <w:tcPr>
            <w:tcW w:w="3827" w:type="dxa"/>
          </w:tcPr>
          <w:p w14:paraId="60C3F6DD" w14:textId="77777777" w:rsidR="002349F4" w:rsidRDefault="002349F4" w:rsidP="002349F4">
            <w:pPr>
              <w:ind w:firstLine="29"/>
              <w:jc w:val="left"/>
              <w:rPr>
                <w:rFonts w:asciiTheme="minorHAnsi" w:cstheme="minorHAnsi"/>
                <w:b/>
                <w:bCs/>
                <w:sz w:val="21"/>
                <w:szCs w:val="21"/>
              </w:rPr>
            </w:pPr>
            <w:r>
              <w:rPr>
                <w:rFonts w:asciiTheme="minorHAnsi" w:cstheme="minorHAnsi"/>
                <w:b/>
                <w:bCs/>
                <w:sz w:val="21"/>
                <w:szCs w:val="21"/>
              </w:rPr>
              <w:t>Pateikiama:</w:t>
            </w:r>
          </w:p>
          <w:p w14:paraId="58E26E53" w14:textId="77777777" w:rsidR="002349F4" w:rsidRDefault="002349F4" w:rsidP="002349F4">
            <w:pPr>
              <w:ind w:firstLine="29"/>
              <w:jc w:val="left"/>
              <w:rPr>
                <w:rFonts w:asciiTheme="minorHAnsi" w:cstheme="minorHAnsi"/>
                <w:sz w:val="21"/>
                <w:szCs w:val="21"/>
              </w:rPr>
            </w:pPr>
            <w:r>
              <w:rPr>
                <w:rFonts w:asciiTheme="minorHAnsi" w:cstheme="minorHAnsi"/>
                <w:sz w:val="21"/>
                <w:szCs w:val="21"/>
              </w:rPr>
              <w:t>- Specialistų sąrašas (</w:t>
            </w:r>
            <w:r>
              <w:rPr>
                <w:rFonts w:asciiTheme="minorHAnsi" w:cstheme="minorHAnsi"/>
                <w:i/>
                <w:iCs/>
                <w:sz w:val="21"/>
                <w:szCs w:val="21"/>
              </w:rPr>
              <w:t>laisva forma</w:t>
            </w:r>
            <w:r>
              <w:rPr>
                <w:rFonts w:asciiTheme="minorHAnsi" w:cstheme="minorHAnsi"/>
                <w:sz w:val="21"/>
                <w:szCs w:val="21"/>
              </w:rPr>
              <w:t>).</w:t>
            </w:r>
          </w:p>
          <w:p w14:paraId="01AF5187" w14:textId="77777777" w:rsidR="002349F4" w:rsidRDefault="002349F4" w:rsidP="002349F4">
            <w:pPr>
              <w:ind w:firstLine="29"/>
              <w:jc w:val="left"/>
              <w:rPr>
                <w:rFonts w:asciiTheme="minorHAnsi" w:cstheme="minorHAnsi"/>
                <w:sz w:val="21"/>
                <w:szCs w:val="21"/>
              </w:rPr>
            </w:pPr>
            <w:r>
              <w:rPr>
                <w:rFonts w:asci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Pr>
                <w:rFonts w:asci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Pr>
                <w:rFonts w:asciiTheme="minorHAnsi" w:cstheme="minorHAnsi"/>
                <w:sz w:val="21"/>
                <w:szCs w:val="21"/>
              </w:rPr>
              <w:t xml:space="preserve"> </w:t>
            </w:r>
          </w:p>
          <w:p w14:paraId="3DD766AF" w14:textId="77777777" w:rsidR="002349F4" w:rsidRDefault="002349F4" w:rsidP="002349F4">
            <w:pPr>
              <w:ind w:firstLine="29"/>
              <w:jc w:val="left"/>
              <w:rPr>
                <w:rFonts w:asciiTheme="minorHAnsi" w:cstheme="minorHAnsi"/>
                <w:sz w:val="21"/>
                <w:szCs w:val="21"/>
              </w:rPr>
            </w:pPr>
            <w:r>
              <w:rPr>
                <w:rFonts w:asci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0B8B1BB9" w14:textId="77777777" w:rsidR="002349F4" w:rsidRDefault="002349F4" w:rsidP="002349F4">
            <w:pPr>
              <w:ind w:firstLine="29"/>
              <w:jc w:val="left"/>
              <w:rPr>
                <w:rFonts w:asciiTheme="minorHAnsi" w:cstheme="minorHAnsi"/>
                <w:sz w:val="21"/>
                <w:szCs w:val="21"/>
              </w:rPr>
            </w:pPr>
          </w:p>
          <w:p w14:paraId="72B35202" w14:textId="77777777" w:rsidR="002349F4" w:rsidRDefault="002349F4" w:rsidP="002349F4">
            <w:pPr>
              <w:ind w:firstLine="29"/>
              <w:jc w:val="left"/>
              <w:rPr>
                <w:rFonts w:asciiTheme="minorHAnsi" w:cstheme="minorHAnsi"/>
                <w:b/>
                <w:bCs/>
                <w:i/>
                <w:iCs/>
                <w:sz w:val="21"/>
                <w:szCs w:val="21"/>
              </w:rPr>
            </w:pPr>
          </w:p>
          <w:p w14:paraId="645E13B4" w14:textId="77777777" w:rsidR="002349F4" w:rsidRDefault="002349F4" w:rsidP="002349F4">
            <w:pPr>
              <w:ind w:firstLine="29"/>
              <w:jc w:val="left"/>
              <w:rPr>
                <w:rFonts w:asciiTheme="minorHAnsi" w:cstheme="minorHAnsi"/>
                <w:i/>
                <w:iCs/>
                <w:sz w:val="21"/>
                <w:szCs w:val="21"/>
              </w:rPr>
            </w:pPr>
            <w:r>
              <w:rPr>
                <w:rFonts w:asciiTheme="minorHAnsi" w:cstheme="minorHAnsi"/>
                <w:b/>
                <w:bCs/>
                <w:i/>
                <w:iCs/>
                <w:sz w:val="21"/>
                <w:szCs w:val="21"/>
              </w:rPr>
              <w:t>Pastabos:</w:t>
            </w:r>
            <w:r>
              <w:rPr>
                <w:rFonts w:asciiTheme="minorHAnsi" w:cstheme="minorHAnsi"/>
                <w:i/>
                <w:iCs/>
                <w:sz w:val="21"/>
                <w:szCs w:val="21"/>
              </w:rPr>
              <w:t xml:space="preserve">  </w:t>
            </w:r>
          </w:p>
          <w:p w14:paraId="0826DFB3" w14:textId="77777777" w:rsidR="002349F4" w:rsidRDefault="002349F4" w:rsidP="002349F4">
            <w:pPr>
              <w:ind w:firstLine="29"/>
              <w:jc w:val="left"/>
              <w:rPr>
                <w:rFonts w:asciiTheme="minorHAnsi" w:cstheme="minorHAnsi"/>
                <w:i/>
                <w:iCs/>
                <w:sz w:val="21"/>
                <w:szCs w:val="21"/>
              </w:rPr>
            </w:pPr>
            <w:r>
              <w:rPr>
                <w:rFonts w:asciiTheme="minorHAnsi" w:cstheme="minorHAnsi"/>
                <w:i/>
                <w:iCs/>
                <w:sz w:val="21"/>
                <w:szCs w:val="21"/>
              </w:rPr>
              <w:t>- Jei kvalifikacija yra grindžiama nurodant specialistą, kuris nėra tiekėjo, jungtinės veiklos partnerio (-</w:t>
            </w:r>
            <w:proofErr w:type="spellStart"/>
            <w:r>
              <w:rPr>
                <w:rFonts w:asciiTheme="minorHAnsi" w:cstheme="minorHAnsi"/>
                <w:i/>
                <w:iCs/>
                <w:sz w:val="21"/>
                <w:szCs w:val="21"/>
              </w:rPr>
              <w:t>ių</w:t>
            </w:r>
            <w:proofErr w:type="spellEnd"/>
            <w:r>
              <w:rPr>
                <w:rFonts w:asciiTheme="minorHAnsi" w:cstheme="minorHAnsi"/>
                <w:i/>
                <w:iCs/>
                <w:sz w:val="21"/>
                <w:szCs w:val="21"/>
              </w:rPr>
              <w:t>) ar subtiekėjo (-ų) darbuotojas, tačiau yra ketinamas įdarbinti sutarties vykdymo metu, tokiu atveju specialistas turi būti išviešintas pasiūlyme</w:t>
            </w:r>
            <w:r>
              <w:rPr>
                <w:rFonts w:asciiTheme="minorHAnsi" w:cstheme="minorHAnsi"/>
                <w:b/>
                <w:bCs/>
                <w:i/>
                <w:iCs/>
                <w:sz w:val="21"/>
                <w:szCs w:val="21"/>
              </w:rPr>
              <w:t xml:space="preserve"> </w:t>
            </w:r>
            <w:r>
              <w:rPr>
                <w:rFonts w:asciiTheme="minorHAnsi" w:cstheme="minorHAnsi"/>
                <w:i/>
                <w:iCs/>
                <w:sz w:val="21"/>
                <w:szCs w:val="21"/>
              </w:rPr>
              <w:t xml:space="preserve">bei tiekėjas privalo pateikti </w:t>
            </w:r>
            <w:r>
              <w:rPr>
                <w:rFonts w:asciiTheme="minorHAnsi" w:cstheme="minorHAnsi"/>
                <w:i/>
                <w:iCs/>
                <w:sz w:val="21"/>
                <w:szCs w:val="21"/>
              </w:rPr>
              <w:lastRenderedPageBreak/>
              <w:t>tiekėjo ir siūlomo specialisto teisinio pobūdžio ryšių pagrindimo dokumento ‒ dvišalio</w:t>
            </w:r>
            <w:r>
              <w:rPr>
                <w:rFonts w:cstheme="minorHAnsi"/>
                <w:i/>
                <w:iCs/>
              </w:rPr>
              <w:t xml:space="preserve"> (tiek</w:t>
            </w:r>
            <w:r>
              <w:rPr>
                <w:rFonts w:cstheme="minorHAnsi"/>
                <w:i/>
                <w:iCs/>
              </w:rPr>
              <w:t>ė</w:t>
            </w:r>
            <w:r>
              <w:rPr>
                <w:rFonts w:cstheme="minorHAnsi"/>
                <w:i/>
                <w:iCs/>
              </w:rPr>
              <w:t>jo ir b</w:t>
            </w:r>
            <w:r>
              <w:rPr>
                <w:rFonts w:cstheme="minorHAnsi"/>
                <w:i/>
                <w:iCs/>
              </w:rPr>
              <w:t>ū</w:t>
            </w:r>
            <w:r>
              <w:rPr>
                <w:rFonts w:cstheme="minorHAnsi"/>
                <w:i/>
                <w:iCs/>
              </w:rPr>
              <w:t>simo darbuotojo (specialisto) pasira</w:t>
            </w:r>
            <w:r>
              <w:rPr>
                <w:rFonts w:cstheme="minorHAnsi"/>
                <w:i/>
                <w:iCs/>
              </w:rPr>
              <w:t>š</w:t>
            </w:r>
            <w:r>
              <w:rPr>
                <w:rFonts w:cstheme="minorHAnsi"/>
                <w:i/>
                <w:iCs/>
              </w:rPr>
              <w:t xml:space="preserve">yto dokumento </w:t>
            </w:r>
            <w:r>
              <w:rPr>
                <w:rFonts w:cstheme="minorHAnsi"/>
                <w:i/>
                <w:iCs/>
              </w:rPr>
              <w:t>‒</w:t>
            </w:r>
            <w:r>
              <w:rPr>
                <w:rFonts w:cstheme="minorHAnsi"/>
                <w:i/>
                <w:iCs/>
              </w:rPr>
              <w:t xml:space="preserve"> ketinimo protokolo ar preliminaraus susitarimo d</w:t>
            </w:r>
            <w:r>
              <w:rPr>
                <w:rFonts w:cstheme="minorHAnsi"/>
                <w:i/>
                <w:iCs/>
              </w:rPr>
              <w:t>ė</w:t>
            </w:r>
            <w:r>
              <w:rPr>
                <w:rFonts w:cstheme="minorHAnsi"/>
                <w:i/>
                <w:iCs/>
              </w:rPr>
              <w:t>l darbo santyki</w:t>
            </w:r>
            <w:r>
              <w:rPr>
                <w:rFonts w:cstheme="minorHAnsi"/>
                <w:i/>
                <w:iCs/>
              </w:rPr>
              <w:t>ų</w:t>
            </w:r>
            <w:r>
              <w:rPr>
                <w:rFonts w:cstheme="minorHAnsi"/>
                <w:i/>
                <w:iCs/>
              </w:rPr>
              <w:t xml:space="preserve"> suk</w:t>
            </w:r>
            <w:r>
              <w:rPr>
                <w:rFonts w:cstheme="minorHAnsi"/>
                <w:i/>
                <w:iCs/>
              </w:rPr>
              <w:t>ū</w:t>
            </w:r>
            <w:r>
              <w:rPr>
                <w:rFonts w:cstheme="minorHAnsi"/>
                <w:i/>
                <w:iCs/>
              </w:rPr>
              <w:t>rimo pagal darbo sutart</w:t>
            </w:r>
            <w:r>
              <w:rPr>
                <w:rFonts w:cstheme="minorHAnsi"/>
                <w:i/>
                <w:iCs/>
              </w:rPr>
              <w:t>į</w:t>
            </w:r>
            <w:r>
              <w:rPr>
                <w:rFonts w:cstheme="minorHAnsi"/>
                <w:i/>
                <w:iCs/>
              </w:rPr>
              <w:t>, kopij</w:t>
            </w:r>
            <w:r>
              <w:rPr>
                <w:rFonts w:cstheme="minorHAnsi"/>
                <w:i/>
                <w:iCs/>
              </w:rPr>
              <w:t>ą</w:t>
            </w:r>
            <w:r>
              <w:rPr>
                <w:rFonts w:cstheme="minorHAnsi"/>
                <w:i/>
                <w:iCs/>
              </w:rPr>
              <w:t>.</w:t>
            </w:r>
          </w:p>
          <w:p w14:paraId="56607A71" w14:textId="77777777" w:rsidR="002349F4" w:rsidRDefault="002349F4" w:rsidP="002349F4">
            <w:pPr>
              <w:ind w:firstLine="29"/>
              <w:jc w:val="left"/>
              <w:rPr>
                <w:rFonts w:asciiTheme="minorHAnsi" w:cstheme="minorHAnsi"/>
                <w:i/>
                <w:iCs/>
                <w:strike/>
                <w:sz w:val="21"/>
                <w:szCs w:val="21"/>
              </w:rPr>
            </w:pPr>
            <w:r>
              <w:rPr>
                <w:rFonts w:asciiTheme="minorHAnsi" w:cstheme="minorHAnsi"/>
                <w:i/>
                <w:iCs/>
                <w:sz w:val="21"/>
                <w:szCs w:val="21"/>
                <w:lang w:eastAsia="zh-CN"/>
              </w:rPr>
              <w:t>- Kvalifikacijos atestatai išduoti iki Statybos įstatymo pasikeitimo (</w:t>
            </w:r>
            <w:proofErr w:type="spellStart"/>
            <w:r>
              <w:rPr>
                <w:rFonts w:asciiTheme="minorHAnsi" w:cstheme="minorHAnsi"/>
                <w:i/>
                <w:iCs/>
                <w:sz w:val="21"/>
                <w:szCs w:val="21"/>
                <w:lang w:eastAsia="zh-CN"/>
              </w:rPr>
              <w:t>t.y</w:t>
            </w:r>
            <w:proofErr w:type="spellEnd"/>
            <w:r>
              <w:rPr>
                <w:rFonts w:asciiTheme="minorHAnsi" w:cstheme="minorHAnsi"/>
                <w:i/>
                <w:iCs/>
                <w:sz w:val="21"/>
                <w:szCs w:val="21"/>
                <w:lang w:eastAsia="zh-CN"/>
              </w:rPr>
              <w:t>. iki 2024-11-02) bus vertinami ir laikomi tinkamais pagal ankstesnius galiojusius teisės aktus</w:t>
            </w:r>
          </w:p>
          <w:p w14:paraId="4E462587" w14:textId="77777777" w:rsidR="002349F4" w:rsidRDefault="002349F4" w:rsidP="002349F4">
            <w:pPr>
              <w:ind w:firstLine="29"/>
              <w:jc w:val="left"/>
              <w:rPr>
                <w:rFonts w:asciiTheme="minorHAnsi" w:cstheme="minorHAnsi"/>
                <w:i/>
                <w:iCs/>
                <w:sz w:val="21"/>
                <w:szCs w:val="21"/>
              </w:rPr>
            </w:pPr>
          </w:p>
          <w:p w14:paraId="6E330DAB" w14:textId="741A9C22" w:rsidR="002349F4" w:rsidRDefault="002349F4" w:rsidP="002349F4">
            <w:pPr>
              <w:autoSpaceDE w:val="0"/>
              <w:autoSpaceDN w:val="0"/>
              <w:adjustRightInd w:val="0"/>
              <w:ind w:firstLine="0"/>
              <w:rPr>
                <w:rFonts w:cstheme="minorHAnsi"/>
                <w:b/>
                <w:bCs/>
              </w:rPr>
            </w:pPr>
            <w:r>
              <w:rPr>
                <w:rFonts w:asciiTheme="minorHAnsi" w:cstheme="minorHAnsi"/>
                <w:b/>
                <w:bCs/>
                <w:i/>
                <w:iCs/>
                <w:sz w:val="21"/>
                <w:szCs w:val="21"/>
              </w:rPr>
              <w:t>CVP IS priemonėmis pateikiamos skaitmeninės dokumentų kopijos.</w:t>
            </w:r>
          </w:p>
        </w:tc>
        <w:tc>
          <w:tcPr>
            <w:tcW w:w="2726" w:type="dxa"/>
          </w:tcPr>
          <w:p w14:paraId="44A2DF7A" w14:textId="77777777" w:rsidR="002349F4" w:rsidRPr="00CF2A76" w:rsidRDefault="002349F4" w:rsidP="002349F4">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lastRenderedPageBreak/>
              <w:t>-  jeigu pasiūlymą teikia ūkio subjektų grupė – reikalavimą turi atitikti ūkio subjektų grupės nario (-</w:t>
            </w:r>
            <w:proofErr w:type="spellStart"/>
            <w:r w:rsidRPr="00CF2A76">
              <w:rPr>
                <w:rFonts w:ascii="Calibri" w:hAnsi="Calibri" w:cs="Calibri"/>
                <w:color w:val="000000"/>
                <w:sz w:val="22"/>
                <w:szCs w:val="22"/>
              </w:rPr>
              <w:t>ių</w:t>
            </w:r>
            <w:proofErr w:type="spellEnd"/>
            <w:r w:rsidRPr="00CF2A76">
              <w:rPr>
                <w:rFonts w:ascii="Calibri" w:hAnsi="Calibri" w:cs="Calibri"/>
                <w:color w:val="000000"/>
                <w:sz w:val="22"/>
                <w:szCs w:val="22"/>
              </w:rPr>
              <w:t>) specialistai, atsižvelgiant į jų prisiimamus įsipareigojimus pirkimo sutarčiai vykdyti;</w:t>
            </w:r>
          </w:p>
          <w:p w14:paraId="37642995" w14:textId="77777777" w:rsidR="002349F4" w:rsidRPr="00CF2A76" w:rsidRDefault="002349F4" w:rsidP="002349F4">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t>- tiekėjas gali remtis kitų ūkio subjektų pajėgumais tik tuo atveju, jeigu tie subjektai (jų darbuotojai) patys vykdys tą pirkimo sutarties dalį, kuriai reikia jų turimų pajėgumų;</w:t>
            </w:r>
          </w:p>
          <w:p w14:paraId="37A03A61" w14:textId="189BFFF0" w:rsidR="002349F4" w:rsidRPr="00CF2A76" w:rsidRDefault="002349F4" w:rsidP="002349F4">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03F1127" w14:textId="019A6342" w:rsidR="00F27F3E" w:rsidRPr="009B043F" w:rsidRDefault="00F27F3E" w:rsidP="00F56AB9">
      <w:pPr>
        <w:tabs>
          <w:tab w:val="left" w:pos="568"/>
        </w:tabs>
        <w:spacing w:line="276" w:lineRule="auto"/>
        <w:ind w:left="709" w:firstLine="0"/>
        <w:jc w:val="center"/>
        <w:rPr>
          <w:rFonts w:eastAsia="Arial" w:cstheme="minorHAnsi"/>
        </w:rPr>
      </w:pP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085EB4EF"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r w:rsidR="00297A80">
        <w:rPr>
          <w:rFonts w:cstheme="minorHAnsi"/>
          <w:sz w:val="28"/>
          <w:szCs w:val="28"/>
        </w:rPr>
        <w:t xml:space="preserve"> </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66C683C6" w:rsidR="00E76AB0" w:rsidRPr="00E76AB0" w:rsidRDefault="00297A80" w:rsidP="00297A80">
      <w:pPr>
        <w:spacing w:line="240" w:lineRule="auto"/>
        <w:jc w:val="center"/>
        <w:rPr>
          <w:rFonts w:cstheme="minorHAnsi"/>
          <w:b/>
          <w:bCs/>
          <w:sz w:val="24"/>
          <w:szCs w:val="24"/>
        </w:rPr>
      </w:pPr>
      <w:r>
        <w:rPr>
          <w:rFonts w:cstheme="minorHAnsi"/>
          <w:b/>
          <w:bCs/>
          <w:sz w:val="24"/>
          <w:szCs w:val="24"/>
        </w:rPr>
        <w:t>Pridedama atskir</w:t>
      </w:r>
      <w:r w:rsidR="006827F8">
        <w:rPr>
          <w:rFonts w:cstheme="minorHAnsi"/>
          <w:b/>
          <w:bCs/>
          <w:sz w:val="24"/>
          <w:szCs w:val="24"/>
        </w:rPr>
        <w:t xml:space="preserve">u </w:t>
      </w:r>
      <w:r>
        <w:rPr>
          <w:rFonts w:cstheme="minorHAnsi"/>
          <w:b/>
          <w:bCs/>
          <w:sz w:val="24"/>
          <w:szCs w:val="24"/>
        </w:rPr>
        <w:t>dokument</w:t>
      </w:r>
      <w:r w:rsidR="006827F8">
        <w:rPr>
          <w:rFonts w:cstheme="minorHAnsi"/>
          <w:b/>
          <w:bCs/>
          <w:sz w:val="24"/>
          <w:szCs w:val="24"/>
        </w:rPr>
        <w:t>u</w:t>
      </w:r>
      <w:r w:rsidR="002E65CC">
        <w:rPr>
          <w:rFonts w:cstheme="minorHAnsi"/>
          <w:b/>
          <w:bCs/>
          <w:sz w:val="24"/>
          <w:szCs w:val="24"/>
        </w:rPr>
        <w:t xml:space="preserve"> </w:t>
      </w:r>
      <w:r w:rsidR="006827F8">
        <w:rPr>
          <w:rFonts w:cstheme="minorHAnsi"/>
          <w:b/>
          <w:bCs/>
          <w:sz w:val="24"/>
          <w:szCs w:val="24"/>
        </w:rPr>
        <w:t>su priklausančiais priedais.</w:t>
      </w:r>
    </w:p>
    <w:p w14:paraId="338EC777" w14:textId="77777777" w:rsidR="00676D5F" w:rsidRPr="00996838" w:rsidRDefault="00676D5F" w:rsidP="00523AF2">
      <w:pPr>
        <w:rPr>
          <w:b/>
          <w:bCs/>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C48332B" w:rsidR="003B1865" w:rsidRPr="00523AF2" w:rsidRDefault="006E50CA" w:rsidP="00E76AB0">
      <w:pPr>
        <w:jc w:val="center"/>
        <w:rPr>
          <w:rFonts w:cstheme="minorHAnsi"/>
          <w:b/>
          <w:bCs/>
          <w:sz w:val="24"/>
          <w:szCs w:val="24"/>
        </w:rPr>
      </w:pPr>
      <w:r w:rsidRPr="00AD6063">
        <w:rPr>
          <w:rFonts w:eastAsia="Calibri" w:cstheme="minorHAnsi"/>
          <w:b/>
          <w:bCs/>
          <w:sz w:val="24"/>
          <w:szCs w:val="24"/>
        </w:rPr>
        <w:t>D</w:t>
      </w:r>
      <w:r w:rsidR="002E65CC">
        <w:rPr>
          <w:rFonts w:eastAsia="Calibri" w:cstheme="minorHAnsi"/>
          <w:b/>
          <w:bCs/>
          <w:sz w:val="24"/>
          <w:szCs w:val="24"/>
        </w:rPr>
        <w:t>ėl</w:t>
      </w:r>
      <w:r w:rsidR="007B222E" w:rsidRPr="00AD6063">
        <w:rPr>
          <w:rFonts w:eastAsia="Calibri" w:cstheme="minorHAnsi"/>
          <w:b/>
          <w:bCs/>
          <w:sz w:val="24"/>
          <w:szCs w:val="24"/>
        </w:rPr>
        <w:t xml:space="preserve"> </w:t>
      </w:r>
      <w:r w:rsidR="006827F8" w:rsidRPr="007872DE">
        <w:rPr>
          <w:rFonts w:cstheme="minorHAnsi"/>
          <w:b/>
          <w:bCs/>
          <w:sz w:val="26"/>
          <w:szCs w:val="26"/>
        </w:rPr>
        <w:t xml:space="preserve">Vytauto g., Zarasų m. lauko vandentiekio ir buities nuotekų inžinerinių tinklų projekto parengimas, projekto vykdymo priežiūros atlikimo paslauga ir rangos </w:t>
      </w:r>
      <w:r w:rsidR="002E65CC" w:rsidRPr="00297A80">
        <w:rPr>
          <w:b/>
          <w:bCs/>
          <w:sz w:val="26"/>
          <w:szCs w:val="26"/>
        </w:rPr>
        <w:t>darb</w:t>
      </w:r>
      <w:r w:rsidR="002E65CC">
        <w:rPr>
          <w:b/>
          <w:bCs/>
          <w:sz w:val="26"/>
          <w:szCs w:val="26"/>
        </w:rPr>
        <w:t>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2665B080" w:rsidR="006F7B31" w:rsidRPr="00F46FE0" w:rsidRDefault="00DC7041" w:rsidP="00F46FE0">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pPr w:leftFromText="180" w:rightFromText="180" w:vertAnchor="text" w:horzAnchor="margin" w:tblpXSpec="center" w:tblpY="14"/>
        <w:tblW w:w="9634" w:type="dxa"/>
        <w:tblInd w:w="0" w:type="dxa"/>
        <w:tblLayout w:type="fixed"/>
        <w:tblLook w:val="0000" w:firstRow="0" w:lastRow="0" w:firstColumn="0" w:lastColumn="0" w:noHBand="0" w:noVBand="0"/>
      </w:tblPr>
      <w:tblGrid>
        <w:gridCol w:w="5098"/>
        <w:gridCol w:w="1560"/>
        <w:gridCol w:w="1275"/>
        <w:gridCol w:w="1701"/>
      </w:tblGrid>
      <w:tr w:rsidR="00F46FE0" w:rsidRPr="00F46FE0" w14:paraId="0417307D" w14:textId="77777777" w:rsidTr="00F46FE0">
        <w:tc>
          <w:tcPr>
            <w:tcW w:w="5098" w:type="dxa"/>
          </w:tcPr>
          <w:p w14:paraId="4F840C78" w14:textId="77777777" w:rsidR="00F46FE0" w:rsidRPr="00F46FE0" w:rsidRDefault="00F46FE0" w:rsidP="00F46FE0">
            <w:pPr>
              <w:ind w:firstLine="0"/>
              <w:jc w:val="center"/>
              <w:rPr>
                <w:rFonts w:asciiTheme="minorHAnsi" w:cstheme="minorHAnsi"/>
                <w:sz w:val="22"/>
                <w:szCs w:val="22"/>
              </w:rPr>
            </w:pPr>
            <w:bookmarkStart w:id="40" w:name="_Hlk519165816"/>
            <w:r w:rsidRPr="00F46FE0">
              <w:rPr>
                <w:rFonts w:asciiTheme="minorHAnsi" w:cstheme="minorHAnsi"/>
                <w:sz w:val="22"/>
                <w:szCs w:val="22"/>
              </w:rPr>
              <w:t>Darbų pavadinimas</w:t>
            </w:r>
          </w:p>
        </w:tc>
        <w:tc>
          <w:tcPr>
            <w:tcW w:w="1560" w:type="dxa"/>
          </w:tcPr>
          <w:p w14:paraId="17DF3F5F" w14:textId="77777777" w:rsidR="00F46FE0" w:rsidRPr="00F46FE0" w:rsidRDefault="00F46FE0" w:rsidP="00F46FE0">
            <w:pPr>
              <w:ind w:firstLine="41"/>
              <w:jc w:val="center"/>
              <w:rPr>
                <w:rFonts w:asciiTheme="minorHAnsi" w:cstheme="minorHAnsi"/>
                <w:sz w:val="22"/>
                <w:szCs w:val="22"/>
              </w:rPr>
            </w:pPr>
            <w:r w:rsidRPr="00F46FE0">
              <w:rPr>
                <w:rFonts w:asciiTheme="minorHAnsi" w:cstheme="minorHAnsi"/>
                <w:sz w:val="22"/>
                <w:szCs w:val="22"/>
              </w:rPr>
              <w:t>Kaina be PVM, Eur</w:t>
            </w:r>
          </w:p>
        </w:tc>
        <w:tc>
          <w:tcPr>
            <w:tcW w:w="1275" w:type="dxa"/>
          </w:tcPr>
          <w:p w14:paraId="6A8EE8F0" w14:textId="77777777" w:rsidR="00F46FE0" w:rsidRPr="00F46FE0" w:rsidRDefault="00F46FE0" w:rsidP="00F46FE0">
            <w:pPr>
              <w:ind w:firstLine="0"/>
              <w:jc w:val="center"/>
              <w:rPr>
                <w:rFonts w:asciiTheme="minorHAnsi" w:cstheme="minorHAnsi"/>
                <w:sz w:val="22"/>
                <w:szCs w:val="22"/>
              </w:rPr>
            </w:pPr>
            <w:r w:rsidRPr="00F46FE0">
              <w:rPr>
                <w:rFonts w:asciiTheme="minorHAnsi" w:cstheme="minorHAnsi"/>
                <w:sz w:val="22"/>
                <w:szCs w:val="22"/>
              </w:rPr>
              <w:t>PVM, Eur</w:t>
            </w:r>
          </w:p>
        </w:tc>
        <w:tc>
          <w:tcPr>
            <w:tcW w:w="1701" w:type="dxa"/>
          </w:tcPr>
          <w:p w14:paraId="078B3FB1" w14:textId="77777777" w:rsidR="00F46FE0" w:rsidRPr="00F46FE0" w:rsidRDefault="00F46FE0" w:rsidP="00F46FE0">
            <w:pPr>
              <w:ind w:firstLine="0"/>
              <w:jc w:val="center"/>
              <w:rPr>
                <w:rFonts w:asciiTheme="minorHAnsi" w:cstheme="minorHAnsi"/>
                <w:sz w:val="22"/>
                <w:szCs w:val="22"/>
              </w:rPr>
            </w:pPr>
            <w:r w:rsidRPr="00F46FE0">
              <w:rPr>
                <w:rFonts w:asciiTheme="minorHAnsi" w:cstheme="minorHAnsi"/>
                <w:sz w:val="22"/>
                <w:szCs w:val="22"/>
              </w:rPr>
              <w:t>Kaina su PVM, Eur</w:t>
            </w:r>
          </w:p>
        </w:tc>
      </w:tr>
      <w:tr w:rsidR="00F46FE0" w:rsidRPr="00F46FE0" w14:paraId="173479A2" w14:textId="77777777" w:rsidTr="00F46FE0">
        <w:tc>
          <w:tcPr>
            <w:tcW w:w="5098" w:type="dxa"/>
          </w:tcPr>
          <w:p w14:paraId="08ABCDF5" w14:textId="77777777" w:rsidR="00F46FE0" w:rsidRPr="00F46FE0" w:rsidRDefault="00F46FE0" w:rsidP="00F46FE0">
            <w:pPr>
              <w:ind w:firstLine="0"/>
              <w:rPr>
                <w:rFonts w:asciiTheme="minorHAnsi" w:cstheme="minorHAnsi"/>
                <w:sz w:val="22"/>
                <w:szCs w:val="22"/>
                <w:lang w:eastAsia="lt-LT"/>
              </w:rPr>
            </w:pPr>
            <w:r w:rsidRPr="00F46FE0">
              <w:rPr>
                <w:rFonts w:asciiTheme="minorHAnsi" w:cstheme="minorHAnsi"/>
                <w:sz w:val="22"/>
                <w:szCs w:val="22"/>
              </w:rPr>
              <w:t xml:space="preserve">Vytauto g., Zarasų m. lauko vandentiekio ir buities nuotekų inžinerinių tinklų statybos techninio darbo projekto </w:t>
            </w:r>
            <w:r w:rsidRPr="00F46FE0">
              <w:rPr>
                <w:rFonts w:asciiTheme="minorHAnsi" w:cstheme="minorHAnsi"/>
                <w:kern w:val="2"/>
                <w:sz w:val="22"/>
                <w:szCs w:val="22"/>
              </w:rPr>
              <w:t>parengimas</w:t>
            </w:r>
            <w:r w:rsidRPr="00F46FE0">
              <w:rPr>
                <w:rFonts w:asciiTheme="minorHAnsi" w:cstheme="minorHAnsi"/>
                <w:sz w:val="22"/>
                <w:szCs w:val="22"/>
              </w:rPr>
              <w:t xml:space="preserve"> </w:t>
            </w:r>
          </w:p>
        </w:tc>
        <w:tc>
          <w:tcPr>
            <w:tcW w:w="1560" w:type="dxa"/>
          </w:tcPr>
          <w:p w14:paraId="4208D95D" w14:textId="77777777" w:rsidR="00F46FE0" w:rsidRPr="00F46FE0" w:rsidRDefault="00F46FE0" w:rsidP="00F46FE0">
            <w:pPr>
              <w:ind w:firstLine="41"/>
              <w:jc w:val="center"/>
              <w:rPr>
                <w:rFonts w:asciiTheme="minorHAnsi" w:cstheme="minorHAnsi"/>
                <w:sz w:val="22"/>
                <w:szCs w:val="22"/>
                <w:lang w:eastAsia="lt-LT"/>
              </w:rPr>
            </w:pPr>
          </w:p>
        </w:tc>
        <w:tc>
          <w:tcPr>
            <w:tcW w:w="1275" w:type="dxa"/>
          </w:tcPr>
          <w:p w14:paraId="6887A8D0"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c>
          <w:tcPr>
            <w:tcW w:w="1701" w:type="dxa"/>
          </w:tcPr>
          <w:p w14:paraId="37642036"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r>
      <w:tr w:rsidR="00F46FE0" w:rsidRPr="00F46FE0" w14:paraId="17576E13" w14:textId="77777777" w:rsidTr="00F46FE0">
        <w:tc>
          <w:tcPr>
            <w:tcW w:w="5098" w:type="dxa"/>
          </w:tcPr>
          <w:p w14:paraId="532AF04D" w14:textId="77777777" w:rsidR="00F46FE0" w:rsidRPr="00F46FE0" w:rsidRDefault="00F46FE0" w:rsidP="00F46FE0">
            <w:pPr>
              <w:ind w:firstLine="0"/>
              <w:rPr>
                <w:rFonts w:asciiTheme="minorHAnsi" w:cstheme="minorHAnsi"/>
                <w:sz w:val="22"/>
                <w:szCs w:val="22"/>
              </w:rPr>
            </w:pPr>
            <w:r w:rsidRPr="00F46FE0">
              <w:rPr>
                <w:rFonts w:asciiTheme="minorHAnsi" w:cstheme="minorHAnsi"/>
                <w:sz w:val="22"/>
                <w:szCs w:val="22"/>
              </w:rPr>
              <w:t>Vytauto g., Zarasų m. lauko vandentiekio ir buities nuotekų inžinerinių tinklų rangos darbai</w:t>
            </w:r>
          </w:p>
        </w:tc>
        <w:tc>
          <w:tcPr>
            <w:tcW w:w="1560" w:type="dxa"/>
          </w:tcPr>
          <w:p w14:paraId="31519982" w14:textId="77777777" w:rsidR="00F46FE0" w:rsidRPr="00F46FE0" w:rsidRDefault="00F46FE0" w:rsidP="00F46FE0">
            <w:pPr>
              <w:ind w:firstLine="41"/>
              <w:jc w:val="center"/>
              <w:rPr>
                <w:rFonts w:asciiTheme="minorHAnsi" w:cstheme="minorHAnsi"/>
                <w:sz w:val="22"/>
                <w:szCs w:val="22"/>
                <w:lang w:eastAsia="lt-LT"/>
              </w:rPr>
            </w:pPr>
          </w:p>
        </w:tc>
        <w:tc>
          <w:tcPr>
            <w:tcW w:w="1275" w:type="dxa"/>
          </w:tcPr>
          <w:p w14:paraId="227ADA68"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c>
          <w:tcPr>
            <w:tcW w:w="1701" w:type="dxa"/>
          </w:tcPr>
          <w:p w14:paraId="5E199AE0"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r>
      <w:tr w:rsidR="00F46FE0" w:rsidRPr="00F46FE0" w14:paraId="15F472E0" w14:textId="77777777" w:rsidTr="00F46FE0">
        <w:tc>
          <w:tcPr>
            <w:tcW w:w="5098" w:type="dxa"/>
          </w:tcPr>
          <w:p w14:paraId="10269B8F" w14:textId="77777777" w:rsidR="00F46FE0" w:rsidRPr="00F46FE0" w:rsidRDefault="00F46FE0" w:rsidP="00F46FE0">
            <w:pPr>
              <w:ind w:firstLine="0"/>
              <w:rPr>
                <w:rFonts w:asciiTheme="minorHAnsi" w:cstheme="minorHAnsi"/>
                <w:sz w:val="22"/>
                <w:szCs w:val="22"/>
              </w:rPr>
            </w:pPr>
            <w:r w:rsidRPr="00F46FE0">
              <w:rPr>
                <w:rFonts w:asciiTheme="minorHAnsi" w:cstheme="minorHAnsi"/>
                <w:sz w:val="22"/>
                <w:szCs w:val="22"/>
              </w:rPr>
              <w:t>Projekto vykdymo priežiūros atlikimo paslauga</w:t>
            </w:r>
          </w:p>
        </w:tc>
        <w:tc>
          <w:tcPr>
            <w:tcW w:w="1560" w:type="dxa"/>
          </w:tcPr>
          <w:p w14:paraId="342A6975" w14:textId="77777777" w:rsidR="00F46FE0" w:rsidRPr="00F46FE0" w:rsidRDefault="00F46FE0" w:rsidP="00F46FE0">
            <w:pPr>
              <w:ind w:firstLine="41"/>
              <w:jc w:val="center"/>
              <w:rPr>
                <w:rFonts w:asciiTheme="minorHAnsi" w:cstheme="minorHAnsi"/>
                <w:sz w:val="22"/>
                <w:szCs w:val="22"/>
                <w:lang w:eastAsia="lt-LT"/>
              </w:rPr>
            </w:pPr>
          </w:p>
        </w:tc>
        <w:tc>
          <w:tcPr>
            <w:tcW w:w="1275" w:type="dxa"/>
          </w:tcPr>
          <w:p w14:paraId="5A1C834C"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c>
          <w:tcPr>
            <w:tcW w:w="1701" w:type="dxa"/>
          </w:tcPr>
          <w:p w14:paraId="12E5D3A1"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r>
      <w:tr w:rsidR="00F46FE0" w:rsidRPr="00F46FE0" w14:paraId="4D67C486" w14:textId="77777777" w:rsidTr="00F46FE0">
        <w:tc>
          <w:tcPr>
            <w:tcW w:w="7933" w:type="dxa"/>
            <w:gridSpan w:val="3"/>
          </w:tcPr>
          <w:p w14:paraId="5DE7B55E" w14:textId="77777777" w:rsidR="00F46FE0" w:rsidRPr="00F46FE0" w:rsidRDefault="00F46FE0" w:rsidP="00F46FE0">
            <w:pPr>
              <w:widowControl w:val="0"/>
              <w:tabs>
                <w:tab w:val="center" w:pos="4153"/>
                <w:tab w:val="right" w:pos="8306"/>
              </w:tabs>
              <w:spacing w:after="20"/>
              <w:ind w:firstLine="41"/>
              <w:jc w:val="right"/>
              <w:rPr>
                <w:rFonts w:asciiTheme="minorHAnsi" w:cstheme="minorHAnsi"/>
                <w:sz w:val="22"/>
                <w:szCs w:val="22"/>
              </w:rPr>
            </w:pPr>
            <w:r w:rsidRPr="00F46FE0">
              <w:rPr>
                <w:rFonts w:asciiTheme="minorHAnsi" w:cstheme="minorHAnsi"/>
                <w:sz w:val="22"/>
                <w:szCs w:val="22"/>
              </w:rPr>
              <w:t>IŠ VISO:</w:t>
            </w:r>
          </w:p>
        </w:tc>
        <w:tc>
          <w:tcPr>
            <w:tcW w:w="1701" w:type="dxa"/>
          </w:tcPr>
          <w:p w14:paraId="1D25C79E" w14:textId="77777777" w:rsidR="00F46FE0" w:rsidRPr="00F46FE0" w:rsidRDefault="00F46FE0" w:rsidP="00393F48">
            <w:pPr>
              <w:widowControl w:val="0"/>
              <w:tabs>
                <w:tab w:val="center" w:pos="4153"/>
                <w:tab w:val="right" w:pos="8306"/>
              </w:tabs>
              <w:spacing w:after="20"/>
              <w:jc w:val="center"/>
              <w:rPr>
                <w:rFonts w:asciiTheme="minorHAnsi" w:cstheme="minorHAnsi"/>
                <w:sz w:val="22"/>
                <w:szCs w:val="22"/>
              </w:rPr>
            </w:pPr>
          </w:p>
        </w:tc>
      </w:tr>
    </w:tbl>
    <w:p w14:paraId="2167A4CA" w14:textId="77777777" w:rsidR="006B4A5D" w:rsidRPr="006B4A5D" w:rsidRDefault="006B4A5D" w:rsidP="006349D5">
      <w:pPr>
        <w:spacing w:line="240" w:lineRule="auto"/>
        <w:ind w:firstLine="851"/>
        <w:rPr>
          <w:rFonts w:eastAsia="Times New Roman" w:cstheme="minorHAnsi"/>
          <w:lang w:eastAsia="en-US"/>
        </w:rPr>
      </w:pPr>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122322F6" w14:textId="59FD19BF" w:rsidR="006E1E6E" w:rsidRPr="006E1E6E" w:rsidRDefault="006B4A5D" w:rsidP="00A87C4A">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6A4635FB" w14:textId="3AF9C9B9" w:rsidR="00DC7041" w:rsidRPr="00F46FE0" w:rsidRDefault="00DC7041" w:rsidP="00F46FE0">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r w:rsidR="00CC2A82">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19CD7E32" w:rsidR="003D6A98" w:rsidRPr="00022CFD" w:rsidRDefault="006349D5"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7C1A08CF" w:rsidR="003D6A98" w:rsidRPr="00B37407" w:rsidRDefault="003D6A98" w:rsidP="000553C7">
      <w:pPr>
        <w:ind w:firstLine="0"/>
        <w:jc w:val="center"/>
        <w:rPr>
          <w:rFonts w:cstheme="minorHAnsi"/>
          <w:b/>
          <w:bCs/>
        </w:rPr>
      </w:pPr>
      <w:r w:rsidRPr="00B37407">
        <w:rPr>
          <w:rFonts w:cstheme="minorHAnsi"/>
          <w:b/>
          <w:bCs/>
        </w:rPr>
        <w:t>Pridedama atskir</w:t>
      </w:r>
      <w:r w:rsidR="00E44280">
        <w:rPr>
          <w:rFonts w:cstheme="minorHAnsi"/>
          <w:b/>
          <w:bCs/>
        </w:rPr>
        <w:t>u</w:t>
      </w:r>
      <w:r w:rsidRPr="00B37407">
        <w:rPr>
          <w:rFonts w:cstheme="minorHAnsi"/>
          <w:b/>
          <w:bCs/>
        </w:rPr>
        <w:t xml:space="preserve"> dokument</w:t>
      </w:r>
      <w:r w:rsidR="00E44280">
        <w:rPr>
          <w:rFonts w:cstheme="minorHAnsi"/>
          <w:b/>
          <w:bCs/>
        </w:rPr>
        <w: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BC20" w14:textId="77777777" w:rsidR="00756D23" w:rsidRDefault="00756D23" w:rsidP="00D05666">
      <w:r>
        <w:separator/>
      </w:r>
    </w:p>
  </w:endnote>
  <w:endnote w:type="continuationSeparator" w:id="0">
    <w:p w14:paraId="0ACE6BCE" w14:textId="77777777" w:rsidR="00756D23" w:rsidRDefault="00756D23" w:rsidP="00D05666">
      <w:r>
        <w:continuationSeparator/>
      </w:r>
    </w:p>
  </w:endnote>
  <w:endnote w:type="continuationNotice" w:id="1">
    <w:p w14:paraId="2584D470" w14:textId="77777777" w:rsidR="00756D23" w:rsidRDefault="00756D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9200" w14:textId="77777777" w:rsidR="00756D23" w:rsidRDefault="00756D23" w:rsidP="00D05666">
      <w:r>
        <w:separator/>
      </w:r>
    </w:p>
  </w:footnote>
  <w:footnote w:type="continuationSeparator" w:id="0">
    <w:p w14:paraId="57BB236F" w14:textId="77777777" w:rsidR="00756D23" w:rsidRDefault="00756D23" w:rsidP="00D05666">
      <w:r>
        <w:continuationSeparator/>
      </w:r>
    </w:p>
  </w:footnote>
  <w:footnote w:type="continuationNotice" w:id="1">
    <w:p w14:paraId="016EB076" w14:textId="77777777" w:rsidR="00756D23" w:rsidRDefault="00756D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5"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8"/>
  </w:num>
  <w:num w:numId="3" w16cid:durableId="138770985">
    <w:abstractNumId w:val="27"/>
  </w:num>
  <w:num w:numId="4" w16cid:durableId="219707255">
    <w:abstractNumId w:val="61"/>
  </w:num>
  <w:num w:numId="5" w16cid:durableId="2137720050">
    <w:abstractNumId w:val="6"/>
  </w:num>
  <w:num w:numId="6" w16cid:durableId="1882473578">
    <w:abstractNumId w:val="24"/>
  </w:num>
  <w:num w:numId="7" w16cid:durableId="742215806">
    <w:abstractNumId w:val="43"/>
  </w:num>
  <w:num w:numId="8" w16cid:durableId="581986730">
    <w:abstractNumId w:val="50"/>
  </w:num>
  <w:num w:numId="9" w16cid:durableId="1210533292">
    <w:abstractNumId w:val="4"/>
  </w:num>
  <w:num w:numId="10" w16cid:durableId="360207028">
    <w:abstractNumId w:val="11"/>
  </w:num>
  <w:num w:numId="11" w16cid:durableId="464082020">
    <w:abstractNumId w:val="53"/>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9"/>
  </w:num>
  <w:num w:numId="17" w16cid:durableId="1208252808">
    <w:abstractNumId w:val="58"/>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60"/>
  </w:num>
  <w:num w:numId="24" w16cid:durableId="1250694197">
    <w:abstractNumId w:val="1"/>
  </w:num>
  <w:num w:numId="25" w16cid:durableId="681514953">
    <w:abstractNumId w:val="17"/>
  </w:num>
  <w:num w:numId="26" w16cid:durableId="2001343554">
    <w:abstractNumId w:val="25"/>
  </w:num>
  <w:num w:numId="27" w16cid:durableId="1828280303">
    <w:abstractNumId w:val="37"/>
  </w:num>
  <w:num w:numId="28" w16cid:durableId="2125803710">
    <w:abstractNumId w:val="33"/>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2"/>
  </w:num>
  <w:num w:numId="34" w16cid:durableId="419986092">
    <w:abstractNumId w:val="23"/>
  </w:num>
  <w:num w:numId="35" w16cid:durableId="989599647">
    <w:abstractNumId w:val="46"/>
  </w:num>
  <w:num w:numId="36" w16cid:durableId="134224949">
    <w:abstractNumId w:val="35"/>
  </w:num>
  <w:num w:numId="37" w16cid:durableId="801532550">
    <w:abstractNumId w:val="3"/>
  </w:num>
  <w:num w:numId="38" w16cid:durableId="777871533">
    <w:abstractNumId w:val="10"/>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0"/>
  </w:num>
  <w:num w:numId="44" w16cid:durableId="1236630376">
    <w:abstractNumId w:val="57"/>
  </w:num>
  <w:num w:numId="45" w16cid:durableId="1897933955">
    <w:abstractNumId w:val="21"/>
  </w:num>
  <w:num w:numId="46" w16cid:durableId="330569735">
    <w:abstractNumId w:val="41"/>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7"/>
  </w:num>
  <w:num w:numId="59" w16cid:durableId="1875145153">
    <w:abstractNumId w:val="13"/>
  </w:num>
  <w:num w:numId="60" w16cid:durableId="1090274761">
    <w:abstractNumId w:val="38"/>
  </w:num>
  <w:num w:numId="61" w16cid:durableId="1207065637">
    <w:abstractNumId w:val="26"/>
  </w:num>
  <w:num w:numId="62" w16cid:durableId="2144225820">
    <w:abstractNumId w:val="36"/>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53C7"/>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9F4"/>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A80"/>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C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65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5A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B6D"/>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93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E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D5"/>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7F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6D23"/>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2D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8BA"/>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36"/>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7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773"/>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058"/>
    <w:rsid w:val="00A84437"/>
    <w:rsid w:val="00A84786"/>
    <w:rsid w:val="00A85128"/>
    <w:rsid w:val="00A857C4"/>
    <w:rsid w:val="00A865DA"/>
    <w:rsid w:val="00A87C4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1B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0F6A"/>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B2F"/>
    <w:rsid w:val="00E41860"/>
    <w:rsid w:val="00E42587"/>
    <w:rsid w:val="00E4266A"/>
    <w:rsid w:val="00E42A6B"/>
    <w:rsid w:val="00E42B7C"/>
    <w:rsid w:val="00E43E61"/>
    <w:rsid w:val="00E44280"/>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06"/>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FE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DC8"/>
    <w:rsid w:val="000041FD"/>
    <w:rsid w:val="00061ECC"/>
    <w:rsid w:val="000855FF"/>
    <w:rsid w:val="000A05CF"/>
    <w:rsid w:val="000D1FF1"/>
    <w:rsid w:val="000E3D5E"/>
    <w:rsid w:val="000E62D1"/>
    <w:rsid w:val="00111992"/>
    <w:rsid w:val="001251FC"/>
    <w:rsid w:val="00127A9E"/>
    <w:rsid w:val="00146D0B"/>
    <w:rsid w:val="00161FB7"/>
    <w:rsid w:val="001A6EE0"/>
    <w:rsid w:val="001E3B26"/>
    <w:rsid w:val="00212F01"/>
    <w:rsid w:val="00256A57"/>
    <w:rsid w:val="00295EF8"/>
    <w:rsid w:val="002A4889"/>
    <w:rsid w:val="002C1509"/>
    <w:rsid w:val="003661A6"/>
    <w:rsid w:val="003B15AE"/>
    <w:rsid w:val="004161F4"/>
    <w:rsid w:val="00430113"/>
    <w:rsid w:val="0044140F"/>
    <w:rsid w:val="00460C76"/>
    <w:rsid w:val="0046126A"/>
    <w:rsid w:val="004C214A"/>
    <w:rsid w:val="004D38E9"/>
    <w:rsid w:val="00515E63"/>
    <w:rsid w:val="00542D43"/>
    <w:rsid w:val="00565992"/>
    <w:rsid w:val="005E24C6"/>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65236"/>
    <w:rsid w:val="009740E3"/>
    <w:rsid w:val="00975C18"/>
    <w:rsid w:val="0097687E"/>
    <w:rsid w:val="0099107D"/>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C3573"/>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19</Pages>
  <Words>18535</Words>
  <Characters>10566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29043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29</cp:revision>
  <cp:lastPrinted>2024-12-04T11:45:00Z</cp:lastPrinted>
  <dcterms:created xsi:type="dcterms:W3CDTF">2025-01-29T11:39:00Z</dcterms:created>
  <dcterms:modified xsi:type="dcterms:W3CDTF">2025-08-14T11:27:00Z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