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4137" w14:textId="57B22E5F" w:rsidR="00E53562" w:rsidRPr="00547E9E" w:rsidRDefault="00912ECA" w:rsidP="005530B4">
      <w:pPr>
        <w:ind w:right="-360"/>
        <w:jc w:val="right"/>
        <w:rPr>
          <w:rFonts w:cstheme="minorHAnsi"/>
          <w:sz w:val="20"/>
          <w:szCs w:val="20"/>
        </w:rPr>
      </w:pPr>
      <w:r w:rsidRPr="00912ECA">
        <w:rPr>
          <w:rStyle w:val="Laukeliai"/>
          <w:rFonts w:asciiTheme="minorHAnsi" w:hAnsiTheme="minorHAnsi" w:cstheme="minorHAnsi"/>
          <w:bCs/>
          <w:szCs w:val="20"/>
        </w:rPr>
        <w:t>Techninės specifikacijos</w:t>
      </w:r>
      <w:r w:rsidR="00FB6E91" w:rsidRPr="00DF11D8">
        <w:rPr>
          <w:rFonts w:cstheme="minorHAnsi"/>
          <w:sz w:val="20"/>
          <w:szCs w:val="20"/>
        </w:rPr>
        <w:t xml:space="preserve"> Priedas Nr. </w:t>
      </w:r>
      <w:r w:rsidR="005C74AF">
        <w:rPr>
          <w:rFonts w:cstheme="minorHAnsi"/>
          <w:sz w:val="20"/>
          <w:szCs w:val="20"/>
        </w:rPr>
        <w:t>3</w:t>
      </w:r>
    </w:p>
    <w:p w14:paraId="258A5164" w14:textId="77777777" w:rsidR="00FB6E91" w:rsidRPr="001F1AFA" w:rsidRDefault="00FB6E91" w:rsidP="00FB6E91">
      <w:pPr>
        <w:spacing w:before="60" w:after="60"/>
        <w:jc w:val="center"/>
        <w:rPr>
          <w:rFonts w:eastAsia="Times New Roman" w:cstheme="minorHAnsi"/>
          <w:b/>
          <w:sz w:val="20"/>
          <w:szCs w:val="20"/>
        </w:rPr>
      </w:pPr>
      <w:r w:rsidRPr="001F1AFA">
        <w:rPr>
          <w:rFonts w:cstheme="minorHAnsi"/>
          <w:sz w:val="20"/>
          <w:szCs w:val="20"/>
        </w:rPr>
        <w:tab/>
      </w:r>
      <w:r w:rsidRPr="001F1AFA">
        <w:rPr>
          <w:rFonts w:eastAsia="Times New Roman" w:cstheme="minorHAnsi"/>
          <w:b/>
          <w:sz w:val="20"/>
          <w:szCs w:val="20"/>
        </w:rPr>
        <w:t>Ekonomiškai naudingiausio Pasiūlymo vertinimo metodika</w:t>
      </w:r>
    </w:p>
    <w:p w14:paraId="466140B2" w14:textId="77777777" w:rsidR="00FB6E91" w:rsidRPr="001F1AFA" w:rsidRDefault="00FB6E91" w:rsidP="006A0CD0">
      <w:pPr>
        <w:ind w:right="-450"/>
        <w:rPr>
          <w:rFonts w:eastAsia="Times New Roman" w:cstheme="minorHAnsi"/>
          <w:sz w:val="20"/>
          <w:szCs w:val="20"/>
        </w:rPr>
      </w:pPr>
    </w:p>
    <w:p w14:paraId="1BFBBE90" w14:textId="21C1D069" w:rsidR="00FB6E91" w:rsidRPr="00B851AC" w:rsidRDefault="00FB6E91" w:rsidP="006A0CD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right="-450" w:firstLine="0"/>
        <w:jc w:val="both"/>
        <w:rPr>
          <w:rFonts w:eastAsia="Times New Roman" w:cstheme="minorHAnsi"/>
          <w:sz w:val="20"/>
          <w:szCs w:val="20"/>
        </w:rPr>
      </w:pPr>
      <w:r w:rsidRPr="00B851AC">
        <w:rPr>
          <w:rFonts w:eastAsia="Times New Roman" w:cstheme="minorHAnsi"/>
          <w:sz w:val="20"/>
          <w:szCs w:val="20"/>
        </w:rPr>
        <w:t xml:space="preserve">Šiame Priede pateikiami ekonomiškai naudingiausio Pasiūlymo vertinimo kriterijai, jų parametrai, lyginamieji svoriai, formulės, pagal kurias bus skaičiuojamas </w:t>
      </w:r>
      <w:r w:rsidR="005530B4">
        <w:rPr>
          <w:rFonts w:eastAsia="Times New Roman" w:cstheme="minorHAnsi"/>
          <w:sz w:val="20"/>
          <w:szCs w:val="20"/>
        </w:rPr>
        <w:t>P</w:t>
      </w:r>
      <w:r w:rsidRPr="00B851AC">
        <w:rPr>
          <w:rFonts w:eastAsia="Times New Roman" w:cstheme="minorHAnsi"/>
          <w:sz w:val="20"/>
          <w:szCs w:val="20"/>
        </w:rPr>
        <w:t>asiūlymų ekonominis naudingumas, ekspertinio vertinimo metodikos aprašymas.</w:t>
      </w:r>
    </w:p>
    <w:p w14:paraId="2627CCC0" w14:textId="77777777" w:rsidR="00FB6E91" w:rsidRPr="00B851AC" w:rsidRDefault="00FB6E91" w:rsidP="006A0CD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right="-450" w:firstLine="0"/>
        <w:jc w:val="both"/>
        <w:rPr>
          <w:rFonts w:eastAsia="Times New Roman" w:cstheme="minorHAnsi"/>
          <w:sz w:val="20"/>
          <w:szCs w:val="20"/>
        </w:rPr>
      </w:pPr>
      <w:r w:rsidRPr="00B851AC">
        <w:rPr>
          <w:rFonts w:eastAsia="Times New Roman" w:cstheme="minorHAnsi"/>
          <w:sz w:val="20"/>
          <w:szCs w:val="20"/>
        </w:rPr>
        <w:t xml:space="preserve">Ekonomiškai naudingiausio Pasiūlymo vertinimas bus atliekamas pagal vertinimo kriterijus ir jų lyginamuosius svorius. </w:t>
      </w:r>
    </w:p>
    <w:p w14:paraId="510ED737" w14:textId="3776B8A8" w:rsidR="00847E71" w:rsidRPr="00B851AC" w:rsidRDefault="00847E71" w:rsidP="006A0CD0">
      <w:pPr>
        <w:pStyle w:val="ListParagraph"/>
        <w:numPr>
          <w:ilvl w:val="0"/>
          <w:numId w:val="1"/>
        </w:numPr>
        <w:tabs>
          <w:tab w:val="left" w:pos="360"/>
        </w:tabs>
        <w:ind w:left="0" w:right="-45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8635127"/>
      <w:r w:rsidRPr="00B851AC">
        <w:rPr>
          <w:rFonts w:asciiTheme="minorHAnsi" w:hAnsiTheme="minorHAnsi" w:cstheme="minorHAnsi"/>
          <w:sz w:val="20"/>
          <w:szCs w:val="20"/>
        </w:rPr>
        <w:t>Pasiūlymai bus vertinami ekspertiniu vertinimo būdu:</w:t>
      </w:r>
      <w:r w:rsidRPr="00B851A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B7105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B851AC">
        <w:rPr>
          <w:rFonts w:asciiTheme="minorHAnsi" w:hAnsiTheme="minorHAnsi" w:cstheme="minorHAnsi"/>
          <w:b/>
          <w:bCs/>
          <w:sz w:val="20"/>
          <w:szCs w:val="20"/>
        </w:rPr>
        <w:t xml:space="preserve">asiūlymų vertinimą atliks Pirkėjo paskirtas (-i) ekspertas (-ai). </w:t>
      </w:r>
      <w:r w:rsidRPr="00B851AC">
        <w:rPr>
          <w:rFonts w:asciiTheme="minorHAnsi" w:hAnsiTheme="minorHAnsi" w:cstheme="minorHAnsi"/>
          <w:sz w:val="20"/>
          <w:szCs w:val="20"/>
        </w:rPr>
        <w:t xml:space="preserve">Atlikęs (-ę) </w:t>
      </w:r>
      <w:r w:rsidR="00FB7105">
        <w:rPr>
          <w:rFonts w:asciiTheme="minorHAnsi" w:hAnsiTheme="minorHAnsi" w:cstheme="minorHAnsi"/>
          <w:sz w:val="20"/>
          <w:szCs w:val="20"/>
        </w:rPr>
        <w:t>P</w:t>
      </w:r>
      <w:r w:rsidRPr="00B851AC">
        <w:rPr>
          <w:rFonts w:asciiTheme="minorHAnsi" w:hAnsiTheme="minorHAnsi" w:cstheme="minorHAnsi"/>
          <w:sz w:val="20"/>
          <w:szCs w:val="20"/>
        </w:rPr>
        <w:t>asiūlymų vertinimą, ekspertas (-ai) pateiks vertinimo pažym</w:t>
      </w:r>
      <w:r w:rsidR="00B26AA8">
        <w:rPr>
          <w:rFonts w:asciiTheme="minorHAnsi" w:hAnsiTheme="minorHAnsi" w:cstheme="minorHAnsi"/>
          <w:sz w:val="20"/>
          <w:szCs w:val="20"/>
        </w:rPr>
        <w:t>ą</w:t>
      </w:r>
      <w:r w:rsidRPr="00B851AC">
        <w:rPr>
          <w:rFonts w:asciiTheme="minorHAnsi" w:hAnsiTheme="minorHAnsi" w:cstheme="minorHAnsi"/>
          <w:sz w:val="20"/>
          <w:szCs w:val="20"/>
        </w:rPr>
        <w:t>.</w:t>
      </w:r>
      <w:r w:rsidRPr="00B851A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bookmarkEnd w:id="0"/>
    <w:p w14:paraId="2FC617E7" w14:textId="16F61932" w:rsidR="00FB6E91" w:rsidRPr="00B851AC" w:rsidRDefault="00847E71" w:rsidP="006A0CD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right="-450" w:firstLine="0"/>
        <w:jc w:val="both"/>
        <w:rPr>
          <w:rFonts w:eastAsia="Times New Roman" w:cstheme="minorHAnsi"/>
          <w:sz w:val="20"/>
          <w:szCs w:val="20"/>
        </w:rPr>
      </w:pPr>
      <w:r w:rsidRPr="00B851AC">
        <w:rPr>
          <w:rFonts w:eastAsia="Times New Roman" w:cstheme="minorHAnsi"/>
          <w:b/>
          <w:bCs/>
          <w:sz w:val="20"/>
          <w:szCs w:val="20"/>
        </w:rPr>
        <w:t>Tiekėjų</w:t>
      </w:r>
      <w:r w:rsidR="00FB7105" w:rsidRPr="00FB7105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FB7105">
        <w:rPr>
          <w:rFonts w:eastAsia="Times New Roman" w:cstheme="minorHAnsi"/>
          <w:b/>
          <w:bCs/>
          <w:sz w:val="20"/>
          <w:szCs w:val="20"/>
        </w:rPr>
        <w:t>P</w:t>
      </w:r>
      <w:r w:rsidR="00FB7105" w:rsidRPr="00B851AC">
        <w:rPr>
          <w:rFonts w:eastAsia="Times New Roman" w:cstheme="minorHAnsi"/>
          <w:b/>
          <w:bCs/>
          <w:sz w:val="20"/>
          <w:szCs w:val="20"/>
        </w:rPr>
        <w:t>asiūlymai</w:t>
      </w:r>
      <w:r w:rsidRPr="00B851AC">
        <w:rPr>
          <w:rFonts w:eastAsia="Times New Roman" w:cstheme="minorHAnsi"/>
          <w:b/>
          <w:bCs/>
          <w:sz w:val="20"/>
          <w:szCs w:val="20"/>
        </w:rPr>
        <w:t>, kuri</w:t>
      </w:r>
      <w:r w:rsidR="00FB7105">
        <w:rPr>
          <w:rFonts w:eastAsia="Times New Roman" w:cstheme="minorHAnsi"/>
          <w:b/>
          <w:bCs/>
          <w:sz w:val="20"/>
          <w:szCs w:val="20"/>
        </w:rPr>
        <w:t>e</w:t>
      </w:r>
      <w:r w:rsidRPr="00B851AC">
        <w:rPr>
          <w:rFonts w:eastAsia="Times New Roman" w:cstheme="minorHAnsi"/>
          <w:b/>
          <w:bCs/>
          <w:sz w:val="20"/>
          <w:szCs w:val="20"/>
        </w:rPr>
        <w:t xml:space="preserve"> neatitiks techninių parametrų</w:t>
      </w:r>
      <w:r w:rsidR="006242FA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6242FA" w:rsidRPr="006242FA">
        <w:rPr>
          <w:rFonts w:eastAsia="Times New Roman" w:cstheme="minorHAnsi"/>
          <w:b/>
          <w:bCs/>
          <w:sz w:val="20"/>
          <w:szCs w:val="20"/>
        </w:rPr>
        <w:t>arba viršys Pirkimui skirtas lėšas</w:t>
      </w:r>
      <w:r w:rsidRPr="00B851AC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F70764">
        <w:rPr>
          <w:rFonts w:eastAsia="Times New Roman" w:cstheme="minorHAnsi"/>
          <w:b/>
          <w:bCs/>
          <w:sz w:val="20"/>
          <w:szCs w:val="20"/>
        </w:rPr>
        <w:t xml:space="preserve">nebus </w:t>
      </w:r>
      <w:r w:rsidRPr="00B851AC">
        <w:rPr>
          <w:rFonts w:eastAsia="Times New Roman" w:cstheme="minorHAnsi"/>
          <w:b/>
          <w:bCs/>
          <w:sz w:val="20"/>
          <w:szCs w:val="20"/>
        </w:rPr>
        <w:t xml:space="preserve">vertinami ir </w:t>
      </w:r>
      <w:r w:rsidR="00FB7105">
        <w:rPr>
          <w:rFonts w:eastAsia="Times New Roman" w:cstheme="minorHAnsi"/>
          <w:b/>
          <w:bCs/>
          <w:sz w:val="20"/>
          <w:szCs w:val="20"/>
        </w:rPr>
        <w:t>P</w:t>
      </w:r>
      <w:r w:rsidRPr="00B851AC">
        <w:rPr>
          <w:rFonts w:eastAsia="Times New Roman" w:cstheme="minorHAnsi"/>
          <w:b/>
          <w:bCs/>
          <w:sz w:val="20"/>
          <w:szCs w:val="20"/>
        </w:rPr>
        <w:t>asiūlymai bus atmesti kaip neatitinkantys Pirkimo sąlygų reikalavimų.</w:t>
      </w:r>
    </w:p>
    <w:p w14:paraId="11208102" w14:textId="77777777" w:rsidR="008A7F87" w:rsidRPr="00B851AC" w:rsidRDefault="008A7F87" w:rsidP="006A0CD0">
      <w:pPr>
        <w:keepNext/>
        <w:widowControl w:val="0"/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right="-450" w:firstLine="0"/>
        <w:jc w:val="both"/>
        <w:rPr>
          <w:rFonts w:cstheme="minorHAnsi"/>
          <w:sz w:val="20"/>
          <w:szCs w:val="20"/>
        </w:rPr>
      </w:pPr>
      <w:bookmarkStart w:id="1" w:name="_Hlk88635062"/>
      <w:r w:rsidRPr="00B851AC">
        <w:rPr>
          <w:rFonts w:cstheme="minorHAnsi"/>
          <w:sz w:val="20"/>
          <w:szCs w:val="20"/>
        </w:rPr>
        <w:t xml:space="preserve">Pasiūlymuose nurodytos kainos vertinamos eurais be PVM. </w:t>
      </w:r>
    </w:p>
    <w:p w14:paraId="5AF6623B" w14:textId="4E0439DC" w:rsidR="008A7F87" w:rsidRPr="00B851AC" w:rsidRDefault="008A7F87" w:rsidP="006A0CD0">
      <w:pPr>
        <w:keepNext/>
        <w:widowControl w:val="0"/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uto"/>
        <w:ind w:left="0" w:right="-450" w:firstLine="0"/>
        <w:jc w:val="both"/>
        <w:rPr>
          <w:rFonts w:cstheme="minorHAnsi"/>
          <w:sz w:val="20"/>
          <w:szCs w:val="20"/>
        </w:rPr>
      </w:pPr>
      <w:r w:rsidRPr="00B851AC">
        <w:rPr>
          <w:rFonts w:cstheme="minorHAnsi"/>
          <w:sz w:val="20"/>
          <w:szCs w:val="20"/>
        </w:rPr>
        <w:t>Visi skaičiai skaičiuojant yra apvalinami iki 2 skaičių po kablelio.</w:t>
      </w:r>
    </w:p>
    <w:bookmarkEnd w:id="1"/>
    <w:p w14:paraId="5D8FC259" w14:textId="77777777" w:rsidR="00FB6E91" w:rsidRPr="00B851AC" w:rsidRDefault="00FB6E91" w:rsidP="006A0CD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right="-450" w:firstLine="0"/>
        <w:jc w:val="both"/>
        <w:rPr>
          <w:rFonts w:eastAsia="Times New Roman" w:cstheme="minorHAnsi"/>
          <w:sz w:val="20"/>
          <w:szCs w:val="20"/>
        </w:rPr>
      </w:pPr>
      <w:r w:rsidRPr="00B851AC">
        <w:rPr>
          <w:rFonts w:eastAsia="Times New Roman" w:cstheme="minorHAnsi"/>
          <w:sz w:val="20"/>
          <w:szCs w:val="20"/>
        </w:rPr>
        <w:t>Ekonomiškai naudingiausiu bus pripažįstamas pasiūlymas, surinkęs daugiausia balų.</w:t>
      </w:r>
    </w:p>
    <w:p w14:paraId="6EECFCBC" w14:textId="193A3ACE" w:rsidR="00FB6E91" w:rsidRPr="001F1AFA" w:rsidRDefault="00FB6E91" w:rsidP="00FB6E91">
      <w:pPr>
        <w:tabs>
          <w:tab w:val="left" w:pos="4200"/>
        </w:tabs>
        <w:rPr>
          <w:rFonts w:cstheme="minorHAnsi"/>
          <w:sz w:val="20"/>
          <w:szCs w:val="20"/>
        </w:rPr>
      </w:pPr>
    </w:p>
    <w:p w14:paraId="029E28B0" w14:textId="0B814D3C" w:rsidR="00FB6E91" w:rsidRPr="008A7F87" w:rsidRDefault="00DC0AA6" w:rsidP="008A7F87">
      <w:pPr>
        <w:spacing w:before="60" w:after="60"/>
        <w:ind w:right="-360" w:firstLine="1080"/>
        <w:jc w:val="right"/>
        <w:rPr>
          <w:rFonts w:eastAsia="Calibri" w:cstheme="minorHAnsi"/>
          <w:i/>
          <w:iCs/>
          <w:sz w:val="20"/>
          <w:szCs w:val="20"/>
        </w:rPr>
      </w:pPr>
      <w:r w:rsidRPr="008A7F87">
        <w:rPr>
          <w:rFonts w:eastAsia="Calibri" w:cstheme="minorHAnsi"/>
          <w:i/>
          <w:iCs/>
          <w:sz w:val="20"/>
          <w:szCs w:val="20"/>
        </w:rPr>
        <w:t xml:space="preserve"> </w:t>
      </w:r>
      <w:r w:rsidR="00FB6E91" w:rsidRPr="008A7F87">
        <w:rPr>
          <w:rFonts w:eastAsia="Calibri" w:cstheme="minorHAnsi"/>
          <w:i/>
          <w:iCs/>
          <w:sz w:val="20"/>
          <w:szCs w:val="20"/>
        </w:rPr>
        <w:t>Lentelė Nr. 1. Pasiūlymų vertinimo kriterijai ir lyginamieji svoriai</w:t>
      </w:r>
      <w:r w:rsidR="003644BA">
        <w:rPr>
          <w:rFonts w:eastAsia="Calibri" w:cstheme="minorHAnsi"/>
          <w:i/>
          <w:iCs/>
          <w:sz w:val="20"/>
          <w:szCs w:val="20"/>
        </w:rPr>
        <w:t xml:space="preserve"> 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2970"/>
        <w:gridCol w:w="3191"/>
      </w:tblGrid>
      <w:tr w:rsidR="00D6055F" w:rsidRPr="001F1AFA" w14:paraId="05159294" w14:textId="77777777" w:rsidTr="006A0CD0">
        <w:trPr>
          <w:cantSplit/>
          <w:trHeight w:val="1064"/>
        </w:trPr>
        <w:tc>
          <w:tcPr>
            <w:tcW w:w="359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BE6D" w14:textId="77777777" w:rsidR="00D6055F" w:rsidRPr="001F1AFA" w:rsidRDefault="00D6055F" w:rsidP="00D605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1AFA">
              <w:rPr>
                <w:rFonts w:cstheme="minorHAnsi"/>
                <w:b/>
                <w:bCs/>
                <w:sz w:val="20"/>
                <w:szCs w:val="20"/>
              </w:rPr>
              <w:t>Vertinimo kriterijai</w:t>
            </w:r>
          </w:p>
        </w:tc>
        <w:tc>
          <w:tcPr>
            <w:tcW w:w="297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1571" w14:textId="77777777" w:rsidR="00D6055F" w:rsidRPr="001F1AFA" w:rsidRDefault="00D6055F" w:rsidP="00D6055F">
            <w:pPr>
              <w:ind w:hanging="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1AFA">
              <w:rPr>
                <w:rFonts w:cstheme="minorHAnsi"/>
                <w:b/>
                <w:bCs/>
                <w:sz w:val="20"/>
                <w:szCs w:val="20"/>
              </w:rPr>
              <w:t>Lyginamasis svoris ekonominio naudingumo įvertinime</w:t>
            </w:r>
          </w:p>
        </w:tc>
        <w:tc>
          <w:tcPr>
            <w:tcW w:w="3191" w:type="dxa"/>
            <w:shd w:val="clear" w:color="auto" w:fill="E7E6E6" w:themeFill="background2"/>
            <w:vAlign w:val="center"/>
          </w:tcPr>
          <w:p w14:paraId="54817295" w14:textId="77777777" w:rsidR="00D6055F" w:rsidRPr="001F1AFA" w:rsidRDefault="00D6055F" w:rsidP="00D6055F">
            <w:pPr>
              <w:ind w:hanging="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1AFA">
              <w:rPr>
                <w:rFonts w:eastAsia="Calibri" w:cstheme="minorHAnsi"/>
                <w:b/>
                <w:bCs/>
                <w:sz w:val="20"/>
                <w:szCs w:val="20"/>
              </w:rPr>
              <w:t>Pasiūlyme reikalinga pateikti informacija, kuri bus vertinama pagal ekonominio naudingumo kriterijus</w:t>
            </w:r>
          </w:p>
        </w:tc>
      </w:tr>
      <w:tr w:rsidR="00D6055F" w:rsidRPr="001F1AFA" w14:paraId="54DD9599" w14:textId="77777777" w:rsidTr="006A0CD0">
        <w:trPr>
          <w:cantSplit/>
          <w:trHeight w:val="286"/>
        </w:trPr>
        <w:tc>
          <w:tcPr>
            <w:tcW w:w="3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D18D" w14:textId="57C28AD8" w:rsidR="00D6055F" w:rsidRPr="00136394" w:rsidRDefault="00D6055F" w:rsidP="00A43814">
            <w:pPr>
              <w:pStyle w:val="Header"/>
              <w:rPr>
                <w:rFonts w:cstheme="minorHAnsi"/>
                <w:sz w:val="20"/>
                <w:szCs w:val="20"/>
              </w:rPr>
            </w:pPr>
            <w:r w:rsidRPr="00136394">
              <w:rPr>
                <w:rFonts w:cstheme="minorHAnsi"/>
                <w:b/>
                <w:bCs/>
                <w:sz w:val="20"/>
                <w:szCs w:val="20"/>
              </w:rPr>
              <w:t>Pirmas kriterijus</w:t>
            </w:r>
            <w:r w:rsidRPr="00136394">
              <w:rPr>
                <w:rFonts w:cstheme="minorHAnsi"/>
                <w:sz w:val="20"/>
                <w:szCs w:val="20"/>
              </w:rPr>
              <w:t xml:space="preserve"> (</w:t>
            </w:r>
            <w:r w:rsidR="00547E9E">
              <w:rPr>
                <w:rFonts w:cstheme="minorHAnsi"/>
                <w:sz w:val="20"/>
                <w:szCs w:val="20"/>
              </w:rPr>
              <w:t>A</w:t>
            </w:r>
            <w:r w:rsidRPr="00136394">
              <w:rPr>
                <w:rFonts w:cstheme="minorHAnsi"/>
                <w:sz w:val="20"/>
                <w:szCs w:val="20"/>
              </w:rPr>
              <w:t>) – Kaina</w:t>
            </w:r>
          </w:p>
          <w:p w14:paraId="314FA8ED" w14:textId="77777777" w:rsidR="006A0CD0" w:rsidRPr="00136394" w:rsidRDefault="006A0CD0" w:rsidP="00A43814">
            <w:pPr>
              <w:pStyle w:val="Header"/>
              <w:rPr>
                <w:rFonts w:cstheme="minorHAnsi"/>
                <w:sz w:val="20"/>
                <w:szCs w:val="20"/>
              </w:rPr>
            </w:pPr>
          </w:p>
          <w:p w14:paraId="27A4E014" w14:textId="46F8170E" w:rsidR="006A0CD0" w:rsidRPr="00136394" w:rsidRDefault="006A0CD0" w:rsidP="006A0CD0">
            <w:pPr>
              <w:pStyle w:val="Header"/>
              <w:jc w:val="both"/>
              <w:rPr>
                <w:rFonts w:cstheme="minorHAnsi"/>
                <w:sz w:val="20"/>
                <w:szCs w:val="20"/>
              </w:rPr>
            </w:pPr>
            <w:r w:rsidRPr="00136394">
              <w:rPr>
                <w:rFonts w:cstheme="minorHAnsi"/>
                <w:i/>
                <w:iCs/>
                <w:sz w:val="20"/>
                <w:szCs w:val="20"/>
              </w:rPr>
              <w:t xml:space="preserve">Vertinama </w:t>
            </w:r>
            <w:r w:rsidR="00B26AA8">
              <w:rPr>
                <w:rFonts w:cstheme="minorHAnsi"/>
                <w:i/>
                <w:iCs/>
                <w:sz w:val="20"/>
                <w:szCs w:val="20"/>
              </w:rPr>
              <w:t>P</w:t>
            </w:r>
            <w:r w:rsidRPr="00136394">
              <w:rPr>
                <w:rFonts w:cstheme="minorHAnsi"/>
                <w:i/>
                <w:iCs/>
                <w:sz w:val="20"/>
                <w:szCs w:val="20"/>
              </w:rPr>
              <w:t xml:space="preserve">asiūlymo kaina EUR be PVM pagal šios </w:t>
            </w:r>
            <w:r w:rsidRPr="00E50390">
              <w:rPr>
                <w:rFonts w:cstheme="minorHAnsi"/>
                <w:i/>
                <w:iCs/>
                <w:sz w:val="20"/>
                <w:szCs w:val="20"/>
              </w:rPr>
              <w:t xml:space="preserve">metodikos </w:t>
            </w:r>
            <w:r w:rsidR="00FB7105" w:rsidRPr="00E50390">
              <w:rPr>
                <w:rFonts w:cstheme="minorHAnsi"/>
                <w:i/>
                <w:iCs/>
                <w:sz w:val="20"/>
                <w:szCs w:val="20"/>
              </w:rPr>
              <w:t>8.1</w:t>
            </w:r>
            <w:r w:rsidRPr="00E50390">
              <w:rPr>
                <w:rFonts w:cstheme="minorHAns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E50390">
              <w:rPr>
                <w:rFonts w:cstheme="minorHAnsi"/>
                <w:i/>
                <w:iCs/>
                <w:sz w:val="20"/>
                <w:szCs w:val="20"/>
              </w:rPr>
              <w:t>punkte</w:t>
            </w:r>
            <w:r w:rsidRPr="00136394">
              <w:rPr>
                <w:rFonts w:cstheme="minorHAnsi"/>
                <w:i/>
                <w:iCs/>
                <w:sz w:val="20"/>
                <w:szCs w:val="20"/>
              </w:rPr>
              <w:t xml:space="preserve"> nurodytą formulę, kur didžiausią įvertinimo balą gauna tas Pasiūlymas, kurio Pasiūlymo kaina yra mažiausia, o likę Pasiūlymai įvertinami proporcingai mažesniais balais.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2E76" w14:textId="4A119FE0" w:rsidR="00D6055F" w:rsidRPr="00E50390" w:rsidRDefault="006A0CD0" w:rsidP="00E50390">
            <w:pPr>
              <w:ind w:hanging="22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50390"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  <w:t>X</w:t>
            </w:r>
            <w:r w:rsidR="00D6055F" w:rsidRPr="00E50390"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  <w:t>=</w:t>
            </w:r>
            <w:r w:rsidR="001C1809"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  <w:t>88</w:t>
            </w:r>
          </w:p>
        </w:tc>
        <w:tc>
          <w:tcPr>
            <w:tcW w:w="3191" w:type="dxa"/>
            <w:vAlign w:val="center"/>
          </w:tcPr>
          <w:p w14:paraId="424464D8" w14:textId="51826005" w:rsidR="00D6055F" w:rsidRPr="001F1AFA" w:rsidRDefault="00D6055F" w:rsidP="00DC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1AFA">
              <w:rPr>
                <w:rFonts w:eastAsia="Calibri" w:cstheme="minorHAnsi"/>
                <w:sz w:val="20"/>
                <w:szCs w:val="20"/>
              </w:rPr>
              <w:t>Užpildyta Pasiūlymo forma</w:t>
            </w:r>
            <w:r w:rsidR="00391FF6">
              <w:rPr>
                <w:rFonts w:eastAsia="Calibri" w:cstheme="minorHAnsi"/>
                <w:sz w:val="20"/>
                <w:szCs w:val="20"/>
              </w:rPr>
              <w:t xml:space="preserve"> (SPS Priedas Nr. </w:t>
            </w:r>
            <w:r w:rsidR="00F70764">
              <w:rPr>
                <w:rFonts w:eastAsia="Calibri" w:cstheme="minorHAnsi"/>
                <w:sz w:val="20"/>
                <w:szCs w:val="20"/>
              </w:rPr>
              <w:t>1</w:t>
            </w:r>
            <w:r w:rsidR="00391FF6">
              <w:rPr>
                <w:rFonts w:eastAsia="Calibri" w:cstheme="minorHAnsi"/>
                <w:sz w:val="20"/>
                <w:szCs w:val="20"/>
              </w:rPr>
              <w:t>)</w:t>
            </w:r>
            <w:r w:rsidR="00F70764">
              <w:rPr>
                <w:rFonts w:eastAsia="Calibri" w:cstheme="minorHAnsi"/>
                <w:sz w:val="20"/>
                <w:szCs w:val="20"/>
              </w:rPr>
              <w:t xml:space="preserve"> 4.2</w:t>
            </w:r>
            <w:r w:rsidR="00E43255">
              <w:rPr>
                <w:rFonts w:eastAsia="Calibri" w:cstheme="minorHAnsi"/>
                <w:sz w:val="20"/>
                <w:szCs w:val="20"/>
              </w:rPr>
              <w:t xml:space="preserve"> punktas</w:t>
            </w:r>
          </w:p>
        </w:tc>
      </w:tr>
      <w:tr w:rsidR="00533036" w:rsidRPr="001F1AFA" w14:paraId="3184E38B" w14:textId="77777777" w:rsidTr="006A0CD0">
        <w:trPr>
          <w:cantSplit/>
          <w:trHeight w:val="302"/>
        </w:trPr>
        <w:tc>
          <w:tcPr>
            <w:tcW w:w="3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6FEE" w14:textId="279D74C9" w:rsidR="00FF3E82" w:rsidRPr="00136394" w:rsidRDefault="00533036" w:rsidP="00533036">
            <w:pPr>
              <w:jc w:val="both"/>
              <w:rPr>
                <w:rFonts w:cstheme="minorHAnsi"/>
                <w:bCs/>
                <w:iCs/>
                <w:sz w:val="20"/>
                <w:szCs w:val="20"/>
                <w:lang w:eastAsia="lt-LT"/>
              </w:rPr>
            </w:pPr>
            <w:r w:rsidRPr="00136394">
              <w:rPr>
                <w:rFonts w:cstheme="minorHAnsi"/>
                <w:b/>
                <w:bCs/>
                <w:sz w:val="20"/>
                <w:szCs w:val="20"/>
              </w:rPr>
              <w:t xml:space="preserve">Kriterijus </w:t>
            </w:r>
            <w:r w:rsidRPr="00136394">
              <w:rPr>
                <w:rFonts w:cstheme="minorHAnsi"/>
                <w:sz w:val="20"/>
                <w:szCs w:val="20"/>
              </w:rPr>
              <w:t>(</w:t>
            </w:r>
            <w:r w:rsidR="00547E9E">
              <w:rPr>
                <w:rFonts w:cstheme="minorHAnsi"/>
                <w:sz w:val="20"/>
                <w:szCs w:val="20"/>
              </w:rPr>
              <w:t>B</w:t>
            </w:r>
            <w:r w:rsidRPr="00136394">
              <w:rPr>
                <w:rFonts w:cstheme="minorHAnsi"/>
                <w:sz w:val="20"/>
                <w:szCs w:val="20"/>
              </w:rPr>
              <w:t>)</w:t>
            </w:r>
            <w:r w:rsidRPr="0013639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249A8">
              <w:rPr>
                <w:rFonts w:cstheme="minorHAnsi"/>
                <w:b/>
                <w:bCs/>
                <w:sz w:val="20"/>
                <w:szCs w:val="20"/>
              </w:rPr>
              <w:t>–</w:t>
            </w:r>
            <w:r w:rsidRPr="0013639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36394">
              <w:rPr>
                <w:rFonts w:cstheme="minorHAnsi"/>
                <w:bCs/>
                <w:sz w:val="20"/>
                <w:szCs w:val="20"/>
              </w:rPr>
              <w:t>Prekių p</w:t>
            </w:r>
            <w:r w:rsidRPr="00136394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>ristatymo</w:t>
            </w:r>
            <w:r w:rsidR="00FB7105" w:rsidRPr="00136394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 xml:space="preserve"> </w:t>
            </w:r>
            <w:r w:rsidRPr="00136394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 xml:space="preserve">terminas negali būti </w:t>
            </w:r>
            <w:r w:rsidR="00FF3E82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>ilgesnis</w:t>
            </w:r>
            <w:r w:rsidRPr="00136394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 xml:space="preserve"> </w:t>
            </w:r>
            <w:r w:rsidR="00637340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>už nurodytą TS</w:t>
            </w:r>
            <w:r w:rsidR="00FF3E82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 xml:space="preserve"> </w:t>
            </w:r>
            <w:r w:rsidR="00FF3E82" w:rsidRPr="007C09C4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>4.</w:t>
            </w:r>
            <w:r w:rsidR="00A77F76" w:rsidRPr="007C09C4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>4</w:t>
            </w:r>
            <w:r w:rsidR="00637340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>.</w:t>
            </w:r>
            <w:r w:rsidR="00FF3E82" w:rsidRPr="007C09C4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 xml:space="preserve"> p. </w:t>
            </w:r>
            <w:r w:rsidR="009322BF" w:rsidRPr="007C09C4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>U</w:t>
            </w:r>
            <w:r w:rsidR="00FF3E82" w:rsidRPr="00FF3E82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>ž terminą</w:t>
            </w:r>
            <w:r w:rsidR="009322BF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>, nurodytą šiame punkte</w:t>
            </w:r>
            <w:r w:rsidR="00FF3E82" w:rsidRPr="00FF3E82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 xml:space="preserve"> papildomi balai Tiekėjui nėra skiriami</w:t>
            </w:r>
            <w:r w:rsidR="00FF3E82">
              <w:rPr>
                <w:rFonts w:cstheme="minorHAnsi"/>
                <w:bCs/>
                <w:iCs/>
                <w:sz w:val="20"/>
                <w:szCs w:val="20"/>
                <w:lang w:eastAsia="lt-LT"/>
              </w:rPr>
              <w:t>).</w:t>
            </w:r>
          </w:p>
          <w:p w14:paraId="55DA40D5" w14:textId="77777777" w:rsidR="00B26AA8" w:rsidRDefault="006A0CD0" w:rsidP="00B26AA8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136394">
              <w:rPr>
                <w:rFonts w:cstheme="minorHAnsi"/>
                <w:i/>
                <w:iCs/>
                <w:sz w:val="20"/>
                <w:szCs w:val="20"/>
              </w:rPr>
              <w:t>Vertinamas Prekių pristatymo</w:t>
            </w:r>
            <w:r w:rsidR="00FB7105" w:rsidRPr="00136394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136394">
              <w:rPr>
                <w:rFonts w:cstheme="minorHAnsi"/>
                <w:i/>
                <w:iCs/>
                <w:sz w:val="20"/>
                <w:szCs w:val="20"/>
              </w:rPr>
              <w:t xml:space="preserve">terminas </w:t>
            </w:r>
            <w:r w:rsidR="005530B4" w:rsidRPr="00136394">
              <w:rPr>
                <w:rFonts w:cstheme="minorHAnsi"/>
                <w:i/>
                <w:iCs/>
                <w:sz w:val="20"/>
                <w:szCs w:val="20"/>
              </w:rPr>
              <w:t>kalendorinėmis</w:t>
            </w:r>
            <w:r w:rsidRPr="00136394">
              <w:rPr>
                <w:rFonts w:cstheme="minorHAnsi"/>
                <w:i/>
                <w:iCs/>
                <w:sz w:val="20"/>
                <w:szCs w:val="20"/>
              </w:rPr>
              <w:t xml:space="preserve"> dienomis pagal šios metodikos </w:t>
            </w:r>
            <w:r w:rsidR="00FB7105" w:rsidRPr="00136394">
              <w:rPr>
                <w:rFonts w:cstheme="minorHAnsi"/>
                <w:i/>
                <w:iCs/>
                <w:sz w:val="20"/>
                <w:szCs w:val="20"/>
              </w:rPr>
              <w:t>8.</w:t>
            </w:r>
            <w:r w:rsidR="00FF3E82">
              <w:rPr>
                <w:rFonts w:cstheme="minorHAnsi"/>
                <w:i/>
                <w:iCs/>
                <w:sz w:val="20"/>
                <w:szCs w:val="20"/>
              </w:rPr>
              <w:t>2</w:t>
            </w:r>
            <w:r w:rsidRPr="00136394">
              <w:rPr>
                <w:rFonts w:cstheme="minorHAnsi"/>
                <w:i/>
                <w:iCs/>
                <w:sz w:val="20"/>
                <w:szCs w:val="20"/>
              </w:rPr>
              <w:t xml:space="preserve"> punkte nurodytą </w:t>
            </w:r>
            <w:r w:rsidR="00FF3E82">
              <w:rPr>
                <w:rFonts w:cstheme="minorHAnsi"/>
                <w:i/>
                <w:iCs/>
                <w:sz w:val="20"/>
                <w:szCs w:val="20"/>
              </w:rPr>
              <w:t>vertinimą</w:t>
            </w:r>
            <w:r w:rsidR="00B26AA8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64A8C333" w14:textId="45C4F748" w:rsidR="00637340" w:rsidRPr="009322BF" w:rsidRDefault="00B26AA8" w:rsidP="00B26AA8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B26AA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PASTABA:</w:t>
            </w:r>
            <w:r w:rsidRPr="00B26AA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26AA8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 xml:space="preserve">papildomi balai Tiekėjui skiriami tik už sutrumpintą terminą TS </w:t>
            </w:r>
            <w:r w:rsidRPr="00B94A24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4.</w:t>
            </w:r>
            <w:r w:rsidR="00B94A24" w:rsidRPr="00B94A24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4.</w:t>
            </w:r>
            <w:r w:rsidRPr="00B94A24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 xml:space="preserve"> punk</w:t>
            </w:r>
            <w:r w:rsidR="009322BF" w:rsidRPr="00B94A24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te</w:t>
            </w:r>
            <w:r w:rsidRPr="00B94A24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B622" w14:textId="73E9B663" w:rsidR="00533036" w:rsidRPr="00E50390" w:rsidRDefault="00EE4D08" w:rsidP="00E50390">
            <w:pPr>
              <w:ind w:hanging="22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</w:pPr>
            <w:r w:rsidRPr="00E50390"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  <w:t>Y=</w:t>
            </w:r>
            <w:r w:rsidR="001C1809"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  <w:t>6</w:t>
            </w:r>
          </w:p>
          <w:p w14:paraId="39555DAF" w14:textId="309C69DC" w:rsidR="00533036" w:rsidRPr="001F1AFA" w:rsidRDefault="00533036" w:rsidP="001363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1" w:type="dxa"/>
            <w:vAlign w:val="center"/>
          </w:tcPr>
          <w:p w14:paraId="1AF7DA78" w14:textId="0C93BE04" w:rsidR="00533036" w:rsidRPr="001F1AFA" w:rsidRDefault="00533036" w:rsidP="0053303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1F1AFA">
              <w:rPr>
                <w:rFonts w:eastAsia="Times New Roman" w:cstheme="minorHAnsi"/>
                <w:iCs/>
                <w:sz w:val="20"/>
                <w:szCs w:val="20"/>
              </w:rPr>
              <w:t>Nurodoma Pasiūlymo formoje</w:t>
            </w:r>
            <w:r w:rsidR="00391FF6">
              <w:rPr>
                <w:rFonts w:eastAsia="Times New Roman" w:cstheme="minorHAnsi"/>
                <w:iCs/>
                <w:sz w:val="20"/>
                <w:szCs w:val="20"/>
              </w:rPr>
              <w:t xml:space="preserve"> </w:t>
            </w:r>
            <w:r w:rsidR="00391FF6">
              <w:rPr>
                <w:rFonts w:eastAsia="Calibri" w:cstheme="minorHAnsi"/>
                <w:sz w:val="20"/>
                <w:szCs w:val="20"/>
              </w:rPr>
              <w:t xml:space="preserve">(SPS Priedas Nr. </w:t>
            </w:r>
            <w:r w:rsidR="00F70764">
              <w:rPr>
                <w:rFonts w:eastAsia="Calibri" w:cstheme="minorHAnsi"/>
                <w:sz w:val="20"/>
                <w:szCs w:val="20"/>
              </w:rPr>
              <w:t>1</w:t>
            </w:r>
            <w:r w:rsidR="00391FF6">
              <w:rPr>
                <w:rFonts w:eastAsia="Calibri" w:cstheme="minorHAnsi"/>
                <w:sz w:val="20"/>
                <w:szCs w:val="20"/>
              </w:rPr>
              <w:t xml:space="preserve">) </w:t>
            </w:r>
            <w:r w:rsidR="00F70764">
              <w:rPr>
                <w:rFonts w:eastAsia="Calibri" w:cstheme="minorHAnsi"/>
                <w:sz w:val="20"/>
                <w:szCs w:val="20"/>
              </w:rPr>
              <w:t>4.3</w:t>
            </w:r>
            <w:r w:rsidR="00E43255">
              <w:rPr>
                <w:rFonts w:eastAsia="Calibri" w:cstheme="minorHAnsi"/>
                <w:sz w:val="20"/>
                <w:szCs w:val="20"/>
              </w:rPr>
              <w:t xml:space="preserve"> punkte</w:t>
            </w:r>
          </w:p>
        </w:tc>
      </w:tr>
      <w:tr w:rsidR="00521EA0" w:rsidRPr="001F1AFA" w14:paraId="1B0FD699" w14:textId="77777777" w:rsidTr="00521EA0">
        <w:trPr>
          <w:cantSplit/>
          <w:trHeight w:val="30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1973" w14:textId="0E7CE72F" w:rsidR="00521EA0" w:rsidRPr="00B56957" w:rsidRDefault="00521EA0" w:rsidP="00A22432">
            <w:pPr>
              <w:jc w:val="both"/>
              <w:rPr>
                <w:rFonts w:cstheme="minorHAnsi"/>
                <w:sz w:val="20"/>
                <w:szCs w:val="20"/>
              </w:rPr>
            </w:pPr>
            <w:r w:rsidRPr="00B56957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Kriterijus (C) </w:t>
            </w:r>
            <w:r w:rsidR="00B249A8" w:rsidRPr="00B56957">
              <w:rPr>
                <w:rFonts w:cstheme="minorHAnsi"/>
                <w:sz w:val="20"/>
                <w:szCs w:val="20"/>
              </w:rPr>
              <w:t>–</w:t>
            </w:r>
            <w:r w:rsidRPr="00B56957">
              <w:rPr>
                <w:rFonts w:cstheme="minorHAnsi"/>
                <w:sz w:val="20"/>
                <w:szCs w:val="20"/>
              </w:rPr>
              <w:t xml:space="preserve"> Prekių gamintojo/tiekėjo suteikiamas papildomas garantijos terminas Prekėms (mėnesiais).</w:t>
            </w:r>
          </w:p>
          <w:p w14:paraId="42696AE5" w14:textId="7C16DFC8" w:rsidR="00B249A8" w:rsidRPr="00B56957" w:rsidRDefault="00B249A8" w:rsidP="00A22432">
            <w:pPr>
              <w:jc w:val="both"/>
              <w:rPr>
                <w:rFonts w:cstheme="minorHAnsi"/>
                <w:sz w:val="20"/>
                <w:szCs w:val="20"/>
              </w:rPr>
            </w:pPr>
            <w:r w:rsidRPr="00B56957">
              <w:rPr>
                <w:rFonts w:cstheme="minorHAnsi"/>
                <w:sz w:val="20"/>
                <w:szCs w:val="20"/>
              </w:rPr>
              <w:t>Balų skyrimo tvarka pateikiama šios metodikos 8.3. punkte.</w:t>
            </w:r>
          </w:p>
          <w:p w14:paraId="275C08A1" w14:textId="1C7BB777" w:rsidR="00521EA0" w:rsidRPr="00B56957" w:rsidRDefault="00521EA0" w:rsidP="00A2243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56957">
              <w:rPr>
                <w:rFonts w:cstheme="minorHAnsi"/>
                <w:b/>
                <w:bCs/>
                <w:sz w:val="20"/>
                <w:szCs w:val="20"/>
              </w:rPr>
              <w:t>PASTABA: minimalus garantinis terminas Prekėms ir jų sudedamosioms dalims (mėnesiais) nurodytas Techninės specifikacijos 3.</w:t>
            </w:r>
            <w:r w:rsidR="007F51B7" w:rsidRPr="00B56957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B56957">
              <w:rPr>
                <w:rFonts w:cstheme="minorHAnsi"/>
                <w:b/>
                <w:bCs/>
                <w:sz w:val="20"/>
                <w:szCs w:val="20"/>
              </w:rPr>
              <w:t>.5. p.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D644" w14:textId="3AA71B5E" w:rsidR="00521EA0" w:rsidRPr="00B56957" w:rsidRDefault="00521EA0" w:rsidP="00A22432">
            <w:pPr>
              <w:ind w:hanging="22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</w:pPr>
            <w:r w:rsidRPr="00B56957"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  <w:t>Z=</w:t>
            </w:r>
            <w:r w:rsidR="00634E5C" w:rsidRPr="00B56957"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  <w:t>6</w:t>
            </w:r>
          </w:p>
          <w:p w14:paraId="43FFB702" w14:textId="77777777" w:rsidR="00521EA0" w:rsidRPr="00B56957" w:rsidRDefault="00521EA0" w:rsidP="00A22432">
            <w:pPr>
              <w:ind w:hanging="22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992D" w14:textId="77777777" w:rsidR="00F70764" w:rsidRPr="00B56957" w:rsidRDefault="00521EA0" w:rsidP="00A22432">
            <w:pPr>
              <w:jc w:val="center"/>
              <w:rPr>
                <w:rFonts w:eastAsia="Times New Roman" w:cstheme="minorHAnsi"/>
                <w:iCs/>
                <w:sz w:val="20"/>
                <w:szCs w:val="20"/>
              </w:rPr>
            </w:pPr>
            <w:r w:rsidRPr="00B56957">
              <w:rPr>
                <w:rFonts w:eastAsia="Times New Roman" w:cstheme="minorHAnsi"/>
                <w:iCs/>
                <w:sz w:val="20"/>
                <w:szCs w:val="20"/>
              </w:rPr>
              <w:t xml:space="preserve">Nurodoma Pasiūlymo formoje (SPS Priedas Nr. </w:t>
            </w:r>
            <w:r w:rsidR="00F70764" w:rsidRPr="00B56957">
              <w:rPr>
                <w:rFonts w:eastAsia="Times New Roman" w:cstheme="minorHAnsi"/>
                <w:iCs/>
                <w:sz w:val="20"/>
                <w:szCs w:val="20"/>
              </w:rPr>
              <w:t>1</w:t>
            </w:r>
            <w:r w:rsidRPr="00B56957">
              <w:rPr>
                <w:rFonts w:eastAsia="Times New Roman" w:cstheme="minorHAnsi"/>
                <w:iCs/>
                <w:sz w:val="20"/>
                <w:szCs w:val="20"/>
              </w:rPr>
              <w:t xml:space="preserve">) skyriuje </w:t>
            </w:r>
            <w:r w:rsidR="00F70764" w:rsidRPr="00B56957">
              <w:rPr>
                <w:rFonts w:eastAsia="Times New Roman" w:cstheme="minorHAnsi"/>
                <w:iCs/>
                <w:sz w:val="20"/>
                <w:szCs w:val="20"/>
              </w:rPr>
              <w:t>4.4</w:t>
            </w:r>
            <w:r w:rsidRPr="00B56957">
              <w:rPr>
                <w:rFonts w:eastAsia="Times New Roman" w:cstheme="minorHAnsi"/>
                <w:iCs/>
                <w:sz w:val="20"/>
                <w:szCs w:val="20"/>
              </w:rPr>
              <w:t xml:space="preserve">. </w:t>
            </w:r>
          </w:p>
          <w:p w14:paraId="441CAC6E" w14:textId="3B116CFA" w:rsidR="00521EA0" w:rsidRPr="00B56957" w:rsidRDefault="00521EA0" w:rsidP="00A22432">
            <w:pPr>
              <w:jc w:val="center"/>
              <w:rPr>
                <w:rFonts w:eastAsia="Times New Roman" w:cstheme="minorHAnsi"/>
                <w:iCs/>
                <w:sz w:val="20"/>
                <w:szCs w:val="20"/>
              </w:rPr>
            </w:pPr>
            <w:r w:rsidRPr="00B56957">
              <w:rPr>
                <w:rFonts w:eastAsia="Times New Roman" w:cstheme="minorHAnsi"/>
                <w:b/>
                <w:bCs/>
                <w:iCs/>
                <w:sz w:val="20"/>
                <w:szCs w:val="20"/>
              </w:rPr>
              <w:t>Kartu su</w:t>
            </w:r>
            <w:r w:rsidRPr="00B56957">
              <w:rPr>
                <w:rFonts w:eastAsia="Times New Roman" w:cstheme="minorHAnsi"/>
                <w:iCs/>
                <w:sz w:val="20"/>
                <w:szCs w:val="20"/>
              </w:rPr>
              <w:t xml:space="preserve"> </w:t>
            </w:r>
            <w:r w:rsidRPr="00B56957">
              <w:rPr>
                <w:rFonts w:eastAsia="Times New Roman" w:cstheme="minorHAnsi"/>
                <w:b/>
                <w:bCs/>
                <w:iCs/>
                <w:sz w:val="20"/>
                <w:szCs w:val="20"/>
              </w:rPr>
              <w:t>Pasiūlymu pateikiamas gamintojo/tiekėjo raštas, patvirtinantis suteikiamą garantiją.</w:t>
            </w:r>
          </w:p>
        </w:tc>
      </w:tr>
    </w:tbl>
    <w:p w14:paraId="2B2B51F1" w14:textId="37F35B06" w:rsidR="00847E71" w:rsidRPr="001F1AFA" w:rsidRDefault="00847E71" w:rsidP="00FB6E91">
      <w:pPr>
        <w:tabs>
          <w:tab w:val="left" w:pos="4200"/>
        </w:tabs>
        <w:rPr>
          <w:rFonts w:cstheme="minorHAnsi"/>
          <w:sz w:val="20"/>
          <w:szCs w:val="20"/>
        </w:rPr>
      </w:pPr>
    </w:p>
    <w:p w14:paraId="1ED9E9F5" w14:textId="0E1BEC72" w:rsidR="00847E71" w:rsidRPr="002D53AA" w:rsidRDefault="00847E71" w:rsidP="006A0CD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360" w:firstLine="0"/>
        <w:contextualSpacing/>
        <w:rPr>
          <w:rFonts w:eastAsia="Arial" w:cstheme="minorHAnsi"/>
          <w:sz w:val="20"/>
          <w:szCs w:val="20"/>
        </w:rPr>
      </w:pPr>
      <w:r w:rsidRPr="001F1AFA">
        <w:rPr>
          <w:rFonts w:eastAsia="Arial" w:cstheme="minorHAnsi"/>
          <w:color w:val="000000" w:themeColor="text1"/>
          <w:sz w:val="20"/>
          <w:szCs w:val="20"/>
        </w:rPr>
        <w:t xml:space="preserve">Pasiūlymo ekonominio </w:t>
      </w:r>
      <w:r w:rsidRPr="008A7F87">
        <w:rPr>
          <w:rFonts w:eastAsia="Arial" w:cstheme="minorHAnsi"/>
          <w:color w:val="000000" w:themeColor="text1"/>
          <w:sz w:val="20"/>
          <w:szCs w:val="20"/>
        </w:rPr>
        <w:t>naudingumo (</w:t>
      </w:r>
      <w:r w:rsidR="00CD4DF4">
        <w:rPr>
          <w:rFonts w:cstheme="minorHAnsi"/>
          <w:color w:val="000000" w:themeColor="text1"/>
          <w:sz w:val="20"/>
          <w:szCs w:val="20"/>
          <w:shd w:val="clear" w:color="auto" w:fill="E6E6E6"/>
        </w:rPr>
        <w:t>S</w:t>
      </w:r>
      <w:r w:rsidRPr="008A7F87">
        <w:rPr>
          <w:rFonts w:eastAsia="Arial" w:cstheme="minorHAnsi"/>
          <w:color w:val="000000" w:themeColor="text1"/>
          <w:sz w:val="20"/>
          <w:szCs w:val="20"/>
        </w:rPr>
        <w:t>) balas bus apskaičiuojamas sudedant kriterijaus (</w:t>
      </w:r>
      <w:r w:rsidR="00547E9E">
        <w:rPr>
          <w:rFonts w:cstheme="minorHAnsi"/>
          <w:i/>
          <w:iCs/>
          <w:color w:val="000000" w:themeColor="text1"/>
          <w:sz w:val="20"/>
          <w:szCs w:val="20"/>
          <w:shd w:val="clear" w:color="auto" w:fill="E6E6E6"/>
        </w:rPr>
        <w:t>A</w:t>
      </w:r>
      <w:r w:rsidR="00136394">
        <w:rPr>
          <w:rFonts w:cstheme="minorHAnsi"/>
          <w:i/>
          <w:iCs/>
          <w:color w:val="000000" w:themeColor="text1"/>
          <w:sz w:val="20"/>
          <w:szCs w:val="20"/>
          <w:shd w:val="clear" w:color="auto" w:fill="E6E6E6"/>
        </w:rPr>
        <w:t>)</w:t>
      </w:r>
      <w:r w:rsidR="00CD4DF4" w:rsidRPr="00CD4DF4">
        <w:rPr>
          <w:rFonts w:eastAsia="Arial" w:cstheme="minorHAnsi"/>
          <w:color w:val="000000" w:themeColor="text1"/>
          <w:sz w:val="20"/>
          <w:szCs w:val="20"/>
        </w:rPr>
        <w:t xml:space="preserve">, </w:t>
      </w:r>
      <w:r w:rsidR="00CD4DF4" w:rsidRPr="008A7F87">
        <w:rPr>
          <w:rFonts w:eastAsia="Arial" w:cstheme="minorHAnsi"/>
          <w:color w:val="000000" w:themeColor="text1"/>
          <w:sz w:val="20"/>
          <w:szCs w:val="20"/>
        </w:rPr>
        <w:t>kriterij</w:t>
      </w:r>
      <w:r w:rsidR="00CD4DF4">
        <w:rPr>
          <w:rFonts w:eastAsia="Arial" w:cstheme="minorHAnsi"/>
          <w:color w:val="000000" w:themeColor="text1"/>
          <w:sz w:val="20"/>
          <w:szCs w:val="20"/>
        </w:rPr>
        <w:t>aus</w:t>
      </w:r>
      <w:r w:rsidR="00CD4DF4" w:rsidRPr="008A7F87">
        <w:rPr>
          <w:rFonts w:eastAsia="Arial" w:cstheme="minorHAnsi"/>
          <w:color w:val="000000" w:themeColor="text1"/>
          <w:sz w:val="20"/>
          <w:szCs w:val="20"/>
        </w:rPr>
        <w:t xml:space="preserve"> </w:t>
      </w:r>
      <w:r w:rsidR="00CD4DF4" w:rsidRPr="008A7F87">
        <w:rPr>
          <w:rFonts w:eastAsia="Arial" w:cstheme="minorHAnsi"/>
          <w:i/>
          <w:iCs/>
          <w:color w:val="000000" w:themeColor="text1"/>
          <w:sz w:val="20"/>
          <w:szCs w:val="20"/>
        </w:rPr>
        <w:t>(</w:t>
      </w:r>
      <w:r w:rsidR="00CD4DF4">
        <w:rPr>
          <w:rFonts w:cstheme="minorHAnsi"/>
          <w:i/>
          <w:iCs/>
          <w:color w:val="000000" w:themeColor="text1"/>
          <w:sz w:val="20"/>
          <w:szCs w:val="20"/>
          <w:shd w:val="clear" w:color="auto" w:fill="E6E6E6"/>
        </w:rPr>
        <w:t>B)</w:t>
      </w:r>
      <w:r w:rsidRPr="008A7F87">
        <w:rPr>
          <w:rFonts w:eastAsia="Arial" w:cstheme="minorHAnsi"/>
          <w:color w:val="000000" w:themeColor="text1"/>
          <w:sz w:val="20"/>
          <w:szCs w:val="20"/>
        </w:rPr>
        <w:t xml:space="preserve"> ir kriterij</w:t>
      </w:r>
      <w:r w:rsidR="00CD4DF4">
        <w:rPr>
          <w:rFonts w:eastAsia="Arial" w:cstheme="minorHAnsi"/>
          <w:color w:val="000000" w:themeColor="text1"/>
          <w:sz w:val="20"/>
          <w:szCs w:val="20"/>
        </w:rPr>
        <w:t>aus</w:t>
      </w:r>
      <w:r w:rsidRPr="008A7F87">
        <w:rPr>
          <w:rFonts w:eastAsia="Arial" w:cstheme="minorHAnsi"/>
          <w:color w:val="000000" w:themeColor="text1"/>
          <w:sz w:val="20"/>
          <w:szCs w:val="20"/>
        </w:rPr>
        <w:t xml:space="preserve"> </w:t>
      </w:r>
      <w:r w:rsidRPr="008A7F87">
        <w:rPr>
          <w:rFonts w:eastAsia="Arial" w:cstheme="minorHAnsi"/>
          <w:i/>
          <w:iCs/>
          <w:color w:val="000000" w:themeColor="text1"/>
          <w:sz w:val="20"/>
          <w:szCs w:val="20"/>
        </w:rPr>
        <w:t>(</w:t>
      </w:r>
      <w:r w:rsidR="00CD4DF4">
        <w:rPr>
          <w:rFonts w:cstheme="minorHAnsi"/>
          <w:i/>
          <w:iCs/>
          <w:color w:val="000000" w:themeColor="text1"/>
          <w:sz w:val="20"/>
          <w:szCs w:val="20"/>
          <w:shd w:val="clear" w:color="auto" w:fill="E6E6E6"/>
        </w:rPr>
        <w:t>C</w:t>
      </w:r>
      <w:r w:rsidRPr="008A7F87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) </w:t>
      </w:r>
      <w:r w:rsidRPr="002D53AA">
        <w:rPr>
          <w:rFonts w:eastAsia="Arial" w:cstheme="minorHAnsi"/>
          <w:sz w:val="20"/>
          <w:szCs w:val="20"/>
        </w:rPr>
        <w:t>balus</w:t>
      </w:r>
      <w:r w:rsidRPr="002D53AA">
        <w:rPr>
          <w:rFonts w:eastAsia="Arial" w:cstheme="minorHAnsi"/>
          <w:i/>
          <w:iCs/>
          <w:sz w:val="20"/>
          <w:szCs w:val="20"/>
        </w:rPr>
        <w:t>:</w:t>
      </w:r>
    </w:p>
    <w:p w14:paraId="28F124FC" w14:textId="77777777" w:rsidR="00847E71" w:rsidRPr="008A7F87" w:rsidRDefault="00847E71" w:rsidP="006A0CD0">
      <w:pPr>
        <w:tabs>
          <w:tab w:val="left" w:pos="426"/>
        </w:tabs>
        <w:ind w:right="-360"/>
        <w:contextualSpacing/>
        <w:rPr>
          <w:rFonts w:eastAsia="Arial" w:cstheme="minorHAnsi"/>
          <w:color w:val="000000" w:themeColor="text1"/>
          <w:sz w:val="20"/>
          <w:szCs w:val="20"/>
        </w:rPr>
      </w:pPr>
    </w:p>
    <w:p w14:paraId="4624AE3D" w14:textId="1200504B" w:rsidR="00847E71" w:rsidRPr="008A7F87" w:rsidRDefault="00847E71" w:rsidP="0061139E">
      <w:pPr>
        <w:spacing w:before="60" w:after="60"/>
        <w:ind w:right="-360" w:firstLine="4253"/>
        <w:rPr>
          <w:rFonts w:eastAsiaTheme="minorEastAsia" w:cstheme="minorHAnsi"/>
          <w:color w:val="000000" w:themeColor="text1"/>
          <w:sz w:val="20"/>
          <w:szCs w:val="20"/>
          <w:shd w:val="clear" w:color="auto" w:fill="E6E6E6"/>
        </w:rPr>
      </w:pPr>
      <m:oMath>
        <m:r>
          <w:rPr>
            <w:rFonts w:ascii="Cambria Math" w:hAnsi="Cambria Math" w:cstheme="minorHAnsi"/>
            <w:color w:val="000000" w:themeColor="text1"/>
            <w:sz w:val="20"/>
            <w:szCs w:val="20"/>
            <w:shd w:val="clear" w:color="auto" w:fill="E6E6E6"/>
          </w:rPr>
          <m:t>S=A+B</m:t>
        </m:r>
      </m:oMath>
      <w:r w:rsidR="004702C8" w:rsidRPr="004702C8">
        <w:rPr>
          <w:rFonts w:ascii="Cambria Math" w:hAnsi="Cambria Math" w:cstheme="minorHAnsi"/>
          <w:i/>
          <w:color w:val="000000" w:themeColor="text1"/>
          <w:sz w:val="20"/>
          <w:szCs w:val="20"/>
          <w:shd w:val="clear" w:color="auto" w:fill="E6E6E6"/>
        </w:rPr>
        <w:t>+C</w:t>
      </w:r>
    </w:p>
    <w:p w14:paraId="083D3A12" w14:textId="77777777" w:rsidR="00847E71" w:rsidRPr="001F1AFA" w:rsidRDefault="00847E71" w:rsidP="006A0CD0">
      <w:pPr>
        <w:shd w:val="clear" w:color="auto" w:fill="FFFFFF" w:themeFill="background1"/>
        <w:spacing w:before="60" w:after="60"/>
        <w:ind w:right="-360" w:firstLine="1298"/>
        <w:rPr>
          <w:rFonts w:cstheme="minorHAnsi"/>
          <w:color w:val="000000" w:themeColor="text1"/>
          <w:sz w:val="20"/>
          <w:szCs w:val="20"/>
        </w:rPr>
      </w:pPr>
    </w:p>
    <w:p w14:paraId="2FE98B33" w14:textId="391F0670" w:rsidR="00847E71" w:rsidRPr="001F1AFA" w:rsidRDefault="00847E71" w:rsidP="006A0CD0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left" w:pos="0"/>
          <w:tab w:val="left" w:pos="567"/>
        </w:tabs>
        <w:ind w:left="360" w:right="-360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 w:rsidRPr="001F1AFA">
        <w:rPr>
          <w:rFonts w:asciiTheme="minorHAnsi" w:hAnsiTheme="minorHAnsi" w:cstheme="minorHAnsi"/>
          <w:b/>
          <w:bCs/>
          <w:sz w:val="20"/>
          <w:szCs w:val="20"/>
        </w:rPr>
        <w:t>Kriterijaus (</w:t>
      </w:r>
      <w:r w:rsidR="00547E9E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1F1AFA">
        <w:rPr>
          <w:rFonts w:asciiTheme="minorHAnsi" w:hAnsiTheme="minorHAnsi" w:cstheme="minorHAnsi"/>
          <w:b/>
          <w:bCs/>
          <w:sz w:val="20"/>
          <w:szCs w:val="20"/>
        </w:rPr>
        <w:t xml:space="preserve">) balai </w:t>
      </w:r>
      <w:r w:rsidRPr="001F1AFA">
        <w:rPr>
          <w:rFonts w:asciiTheme="minorHAnsi" w:hAnsiTheme="minorHAnsi" w:cstheme="minorHAnsi"/>
          <w:sz w:val="20"/>
          <w:szCs w:val="20"/>
        </w:rPr>
        <w:t xml:space="preserve">apskaičiuojami </w:t>
      </w:r>
      <w:r w:rsidRPr="001F1AFA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mažiausios pasiūlytos kainos </w:t>
      </w:r>
      <w:r w:rsidRPr="001F1AFA">
        <w:rPr>
          <w:rFonts w:asciiTheme="minorHAnsi" w:hAnsiTheme="minorHAnsi" w:cstheme="minorHAnsi"/>
          <w:sz w:val="20"/>
          <w:szCs w:val="20"/>
        </w:rPr>
        <w:t>(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sz w:val="20"/>
                <w:szCs w:val="20"/>
                <w:shd w:val="clear" w:color="auto" w:fill="E6E6E6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sz w:val="20"/>
                <w:szCs w:val="20"/>
                <w:shd w:val="clear" w:color="auto" w:fill="E6E6E6"/>
              </w:rPr>
              <m:t>A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0"/>
                <w:szCs w:val="20"/>
                <w:shd w:val="clear" w:color="auto" w:fill="E6E6E6"/>
              </w:rPr>
              <m:t>min</m:t>
            </m:r>
          </m:sub>
        </m:sSub>
      </m:oMath>
      <w:r w:rsidRPr="001F1AFA">
        <w:rPr>
          <w:rFonts w:asciiTheme="minorHAnsi" w:hAnsiTheme="minorHAnsi" w:cstheme="minorHAnsi"/>
          <w:sz w:val="20"/>
          <w:szCs w:val="20"/>
        </w:rPr>
        <w:t xml:space="preserve">) ir vertinamame pasiūlyme </w:t>
      </w:r>
      <w:r w:rsidRPr="001F1AFA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nurodytos Pasiūlymo kainos</w:t>
      </w:r>
      <w:r w:rsidR="001F1AFA" w:rsidRPr="001F1AFA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EUR be PVM</w:t>
      </w:r>
      <w:r w:rsidRPr="001F1AFA">
        <w:rPr>
          <w:rFonts w:asciiTheme="minorHAnsi" w:hAnsiTheme="minorHAnsi" w:cstheme="minorHAnsi"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sz w:val="20"/>
                <w:szCs w:val="20"/>
                <w:shd w:val="clear" w:color="auto" w:fill="E6E6E6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sz w:val="20"/>
                <w:szCs w:val="20"/>
                <w:shd w:val="clear" w:color="auto" w:fill="E6E6E6"/>
              </w:rPr>
              <m:t>A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0"/>
                <w:szCs w:val="20"/>
                <w:shd w:val="clear" w:color="auto" w:fill="E6E6E6"/>
              </w:rPr>
              <m:t>p</m:t>
            </m:r>
          </m:sub>
        </m:sSub>
      </m:oMath>
      <w:r w:rsidRPr="001F1AFA">
        <w:rPr>
          <w:rFonts w:asciiTheme="minorHAnsi" w:hAnsiTheme="minorHAnsi" w:cstheme="minorHAnsi"/>
          <w:sz w:val="20"/>
          <w:szCs w:val="20"/>
        </w:rPr>
        <w:t xml:space="preserve">) </w:t>
      </w:r>
      <w:r w:rsidRPr="001F1AFA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1F1AFA">
        <w:rPr>
          <w:rFonts w:asciiTheme="minorHAnsi" w:eastAsia="Arial" w:hAnsiTheme="minorHAnsi" w:cstheme="minorHAnsi"/>
          <w:i/>
          <w:iCs/>
          <w:color w:val="000000" w:themeColor="text1"/>
          <w:sz w:val="20"/>
          <w:szCs w:val="20"/>
        </w:rPr>
        <w:t xml:space="preserve">pateikiama užpildant Pasiūlymo formoje esančią lentelę) </w:t>
      </w:r>
      <w:r w:rsidRPr="001F1AFA">
        <w:rPr>
          <w:rFonts w:asciiTheme="minorHAnsi" w:hAnsiTheme="minorHAnsi" w:cstheme="minorHAnsi"/>
          <w:sz w:val="20"/>
          <w:szCs w:val="20"/>
        </w:rPr>
        <w:t>santykį padauginant iš kainos kriterijaus lyginamojo svorio (</w:t>
      </w:r>
      <w:r w:rsidRPr="001F1AFA">
        <w:rPr>
          <w:rFonts w:asciiTheme="minorHAnsi" w:hAnsiTheme="minorHAnsi" w:cstheme="minorHAnsi"/>
          <w:i/>
          <w:iCs/>
          <w:sz w:val="20"/>
          <w:szCs w:val="20"/>
        </w:rPr>
        <w:t>X</w:t>
      </w:r>
      <w:r w:rsidRPr="001F1AFA">
        <w:rPr>
          <w:rFonts w:asciiTheme="minorHAnsi" w:hAnsiTheme="minorHAnsi" w:cstheme="minorHAnsi"/>
          <w:sz w:val="20"/>
          <w:szCs w:val="20"/>
        </w:rPr>
        <w:t xml:space="preserve">) </w:t>
      </w:r>
      <w:r w:rsidRPr="001F1AFA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1F1AFA">
        <w:rPr>
          <w:rFonts w:asciiTheme="minorHAnsi" w:eastAsia="Arial" w:hAnsiTheme="minorHAnsi" w:cstheme="minorHAnsi"/>
          <w:i/>
          <w:iCs/>
          <w:color w:val="000000" w:themeColor="text1"/>
          <w:sz w:val="20"/>
          <w:szCs w:val="20"/>
        </w:rPr>
        <w:t>apvalinant gautą skaičių šimtųjų tikslumu):</w:t>
      </w:r>
    </w:p>
    <w:p w14:paraId="4A46CBE9" w14:textId="77777777" w:rsidR="00847E71" w:rsidRPr="001F1AFA" w:rsidRDefault="00847E71" w:rsidP="006A0CD0">
      <w:pPr>
        <w:shd w:val="clear" w:color="auto" w:fill="FFFFFF" w:themeFill="background1"/>
        <w:tabs>
          <w:tab w:val="left" w:pos="0"/>
          <w:tab w:val="left" w:pos="567"/>
        </w:tabs>
        <w:spacing w:after="0" w:line="240" w:lineRule="auto"/>
        <w:ind w:left="360" w:right="-360"/>
        <w:contextualSpacing/>
        <w:jc w:val="both"/>
        <w:rPr>
          <w:rFonts w:eastAsia="Arial" w:cstheme="minorHAnsi"/>
          <w:color w:val="000000" w:themeColor="text1"/>
          <w:sz w:val="20"/>
          <w:szCs w:val="20"/>
        </w:rPr>
      </w:pPr>
    </w:p>
    <w:p w14:paraId="2D8DE205" w14:textId="33A2CA42" w:rsidR="00847E71" w:rsidRPr="001F1AFA" w:rsidRDefault="00547E9E" w:rsidP="006A0CD0">
      <w:pPr>
        <w:shd w:val="clear" w:color="auto" w:fill="FFFFFF" w:themeFill="background1"/>
        <w:tabs>
          <w:tab w:val="left" w:pos="284"/>
          <w:tab w:val="left" w:pos="709"/>
        </w:tabs>
        <w:spacing w:before="60" w:after="60"/>
        <w:ind w:right="-360"/>
        <w:jc w:val="center"/>
        <w:rPr>
          <w:rFonts w:eastAsiaTheme="minorEastAsia" w:cstheme="minorHAnsi"/>
          <w:color w:val="000000" w:themeColor="text1"/>
          <w:sz w:val="20"/>
          <w:szCs w:val="20"/>
          <w:shd w:val="clear" w:color="auto" w:fill="E6E6E6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20"/>
              <w:szCs w:val="20"/>
              <w:shd w:val="clear" w:color="auto" w:fill="E6E6E6"/>
            </w:rPr>
            <m:t>A=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0"/>
                  <w:szCs w:val="20"/>
                  <w:shd w:val="clear" w:color="auto" w:fill="E6E6E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0"/>
                      <w:szCs w:val="20"/>
                      <w:shd w:val="clear" w:color="auto" w:fill="E6E6E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  <w:shd w:val="clear" w:color="auto" w:fill="E6E6E6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  <w:shd w:val="clear" w:color="auto" w:fill="E6E6E6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0"/>
                      <w:szCs w:val="20"/>
                      <w:shd w:val="clear" w:color="auto" w:fill="E6E6E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  <w:shd w:val="clear" w:color="auto" w:fill="E6E6E6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  <w:shd w:val="clear" w:color="auto" w:fill="E6E6E6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00000" w:themeColor="text1"/>
              <w:sz w:val="20"/>
              <w:szCs w:val="20"/>
              <w:shd w:val="clear" w:color="auto" w:fill="E6E6E6"/>
            </w:rPr>
            <m:t>×X</m:t>
          </m:r>
        </m:oMath>
      </m:oMathPara>
    </w:p>
    <w:p w14:paraId="3724A006" w14:textId="77777777" w:rsidR="00847E71" w:rsidRPr="001F1AFA" w:rsidRDefault="00847E71" w:rsidP="006A0CD0">
      <w:pPr>
        <w:shd w:val="clear" w:color="auto" w:fill="FFFFFF" w:themeFill="background1"/>
        <w:tabs>
          <w:tab w:val="left" w:pos="284"/>
          <w:tab w:val="left" w:pos="709"/>
        </w:tabs>
        <w:spacing w:before="60" w:after="60"/>
        <w:ind w:right="-360"/>
        <w:jc w:val="center"/>
        <w:rPr>
          <w:rFonts w:cstheme="minorHAnsi"/>
          <w:color w:val="000000" w:themeColor="text1"/>
          <w:position w:val="-32"/>
          <w:sz w:val="20"/>
          <w:szCs w:val="20"/>
        </w:rPr>
      </w:pPr>
    </w:p>
    <w:p w14:paraId="3C66ECF9" w14:textId="1361F50D" w:rsidR="00533036" w:rsidRDefault="00533036" w:rsidP="004A1E51">
      <w:pPr>
        <w:pStyle w:val="ListParagraph"/>
        <w:numPr>
          <w:ilvl w:val="1"/>
          <w:numId w:val="1"/>
        </w:numPr>
        <w:tabs>
          <w:tab w:val="left" w:pos="0"/>
          <w:tab w:val="left" w:pos="426"/>
        </w:tabs>
        <w:spacing w:before="60" w:after="60"/>
        <w:ind w:left="0" w:right="-3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1F1AFA">
        <w:rPr>
          <w:rFonts w:asciiTheme="minorHAnsi" w:hAnsiTheme="minorHAnsi" w:cstheme="minorHAnsi"/>
          <w:sz w:val="20"/>
          <w:szCs w:val="20"/>
        </w:rPr>
        <w:t xml:space="preserve">Prekių pristatymo termino </w:t>
      </w:r>
      <w:r w:rsidRPr="0061139E">
        <w:rPr>
          <w:rFonts w:asciiTheme="minorHAnsi" w:hAnsiTheme="minorHAnsi" w:cstheme="minorHAnsi"/>
          <w:b/>
          <w:bCs/>
          <w:sz w:val="20"/>
          <w:szCs w:val="20"/>
        </w:rPr>
        <w:t>kriterijaus (</w:t>
      </w:r>
      <w:r w:rsidR="00547E9E" w:rsidRPr="0061139E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Pr="0061139E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1F1AFA">
        <w:rPr>
          <w:rFonts w:asciiTheme="minorHAnsi" w:hAnsiTheme="minorHAnsi" w:cstheme="minorHAnsi"/>
          <w:sz w:val="20"/>
          <w:szCs w:val="20"/>
        </w:rPr>
        <w:t xml:space="preserve"> balai </w:t>
      </w:r>
      <w:r w:rsidR="004A1E51" w:rsidRPr="004A1E51">
        <w:rPr>
          <w:rFonts w:asciiTheme="minorHAnsi" w:hAnsiTheme="minorHAnsi" w:cstheme="minorHAnsi"/>
          <w:sz w:val="20"/>
          <w:szCs w:val="20"/>
        </w:rPr>
        <w:t xml:space="preserve">bus skiriami tiesiogiai (duomenys imami iš Tiekėjo pateiktos užpildytos Pasiūlymo formoje esančios lentelės), be lyginamojo koeficiento (maksimalus balas </w:t>
      </w:r>
      <w:r w:rsidR="00634E5C">
        <w:rPr>
          <w:rFonts w:asciiTheme="minorHAnsi" w:hAnsiTheme="minorHAnsi" w:cstheme="minorHAnsi"/>
          <w:sz w:val="20"/>
          <w:szCs w:val="20"/>
        </w:rPr>
        <w:t>6</w:t>
      </w:r>
      <w:r w:rsidR="004A1E51" w:rsidRPr="004A1E51">
        <w:rPr>
          <w:rFonts w:asciiTheme="minorHAnsi" w:hAnsiTheme="minorHAnsi" w:cstheme="minorHAnsi"/>
          <w:sz w:val="20"/>
          <w:szCs w:val="20"/>
        </w:rPr>
        <w:t>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05"/>
        <w:gridCol w:w="1729"/>
      </w:tblGrid>
      <w:tr w:rsidR="004A1E51" w:rsidRPr="004A1E51" w14:paraId="320FE68C" w14:textId="77777777" w:rsidTr="003E33E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F833" w14:textId="7416A73C" w:rsidR="004A1E51" w:rsidRPr="00B56957" w:rsidRDefault="004A1E51" w:rsidP="003E33EE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iCs/>
                <w:sz w:val="20"/>
                <w:szCs w:val="20"/>
              </w:rPr>
            </w:pPr>
            <w:r w:rsidRPr="00B56957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 xml:space="preserve">Antras kriterijus (B) – </w:t>
            </w:r>
            <w:r w:rsidR="00637340" w:rsidRPr="00B56957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Prekių pristatymo</w:t>
            </w:r>
            <w:r w:rsidR="00FF3E82" w:rsidRPr="00B56957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 xml:space="preserve"> terminas (kalendorinėmis dienomis), </w:t>
            </w:r>
            <w:r w:rsidRPr="00B56957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nurodyt</w:t>
            </w:r>
            <w:r w:rsidR="00FF3E82" w:rsidRPr="00B56957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as</w:t>
            </w:r>
            <w:r w:rsidRPr="00B56957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 xml:space="preserve"> Techninės specifikacijos 4.</w:t>
            </w:r>
            <w:r w:rsidR="00104763" w:rsidRPr="00B56957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4</w:t>
            </w:r>
            <w:r w:rsidRPr="00B56957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 xml:space="preserve"> punkte</w:t>
            </w:r>
            <w:r w:rsidR="00637340" w:rsidRPr="00B56957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A894" w14:textId="77777777" w:rsidR="004A1E51" w:rsidRPr="004A1E51" w:rsidRDefault="004A1E51" w:rsidP="003E33EE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iCs/>
                <w:sz w:val="20"/>
                <w:szCs w:val="20"/>
              </w:rPr>
            </w:pPr>
            <w:r w:rsidRPr="004A1E51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Balai</w:t>
            </w:r>
          </w:p>
        </w:tc>
      </w:tr>
      <w:tr w:rsidR="00647C32" w:rsidRPr="004A1E51" w14:paraId="2566397A" w14:textId="77777777" w:rsidTr="003E33E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0AB1" w14:textId="455E0278" w:rsidR="00647C32" w:rsidRPr="00B56957" w:rsidRDefault="00647C32" w:rsidP="003E33EE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iCs/>
                <w:sz w:val="20"/>
                <w:szCs w:val="20"/>
              </w:rPr>
            </w:pPr>
            <w:r w:rsidRPr="00B56957">
              <w:rPr>
                <w:rFonts w:eastAsia="Times New Roman" w:cs="Calibri"/>
                <w:iCs/>
                <w:sz w:val="20"/>
                <w:szCs w:val="20"/>
              </w:rPr>
              <w:t xml:space="preserve">Siūlomas Prekių pristatymo terminas </w:t>
            </w:r>
            <w:r w:rsidR="006C1982" w:rsidRPr="00B56957">
              <w:rPr>
                <w:rFonts w:eastAsia="Times New Roman" w:cs="Calibri"/>
                <w:iCs/>
                <w:sz w:val="20"/>
                <w:szCs w:val="20"/>
              </w:rPr>
              <w:t xml:space="preserve">per </w:t>
            </w:r>
            <w:r w:rsidR="008B51D4" w:rsidRPr="00B56957">
              <w:rPr>
                <w:rFonts w:eastAsia="Times New Roman" w:cs="Calibri"/>
                <w:iCs/>
                <w:sz w:val="20"/>
                <w:szCs w:val="20"/>
              </w:rPr>
              <w:t xml:space="preserve">15 </w:t>
            </w:r>
            <w:r w:rsidR="006C1982" w:rsidRPr="00B56957">
              <w:rPr>
                <w:rFonts w:eastAsia="Times New Roman" w:cs="Calibri"/>
                <w:iCs/>
                <w:sz w:val="20"/>
                <w:szCs w:val="20"/>
              </w:rPr>
              <w:t xml:space="preserve">mėnesių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2236" w14:textId="045F2E36" w:rsidR="00647C32" w:rsidRPr="000D68C4" w:rsidRDefault="004630F9" w:rsidP="003E33EE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rFonts w:eastAsia="Times New Roman" w:cs="Calibri"/>
                <w:iCs/>
                <w:sz w:val="20"/>
                <w:szCs w:val="20"/>
              </w:rPr>
            </w:pPr>
            <w:r w:rsidRPr="000D68C4">
              <w:rPr>
                <w:rFonts w:eastAsia="Times New Roman" w:cs="Calibri"/>
                <w:iCs/>
                <w:sz w:val="20"/>
                <w:szCs w:val="20"/>
              </w:rPr>
              <w:t>0</w:t>
            </w:r>
          </w:p>
        </w:tc>
      </w:tr>
      <w:tr w:rsidR="00AF581F" w:rsidRPr="004A1E51" w14:paraId="4331099C" w14:textId="77777777" w:rsidTr="003E33E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309" w14:textId="137783FA" w:rsidR="00AF581F" w:rsidRPr="00B56957" w:rsidRDefault="006C1982" w:rsidP="00AF581F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rFonts w:eastAsia="Times New Roman" w:cs="Calibri"/>
                <w:iCs/>
                <w:sz w:val="20"/>
                <w:szCs w:val="20"/>
              </w:rPr>
            </w:pPr>
            <w:r w:rsidRPr="00B56957">
              <w:rPr>
                <w:rFonts w:eastAsia="Times New Roman" w:cs="Calibri"/>
                <w:iCs/>
                <w:sz w:val="20"/>
                <w:szCs w:val="20"/>
              </w:rPr>
              <w:t xml:space="preserve">Siūlomas Prekių pristatymo terminas per </w:t>
            </w:r>
            <w:r w:rsidR="008B51D4" w:rsidRPr="00B56957">
              <w:rPr>
                <w:rFonts w:eastAsia="Times New Roman" w:cs="Calibri"/>
                <w:iCs/>
                <w:sz w:val="20"/>
                <w:szCs w:val="20"/>
              </w:rPr>
              <w:t xml:space="preserve">14 </w:t>
            </w:r>
            <w:r w:rsidRPr="00B56957">
              <w:rPr>
                <w:rFonts w:eastAsia="Times New Roman" w:cs="Calibri"/>
                <w:iCs/>
                <w:sz w:val="20"/>
                <w:szCs w:val="20"/>
              </w:rPr>
              <w:t>mėnesių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2D8" w14:textId="5F98A7A0" w:rsidR="00AF581F" w:rsidRPr="004A1E51" w:rsidRDefault="00634E5C" w:rsidP="00AF581F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rFonts w:eastAsia="Times New Roman" w:cs="Calibri"/>
                <w:iCs/>
                <w:sz w:val="20"/>
                <w:szCs w:val="20"/>
              </w:rPr>
            </w:pPr>
            <w:r>
              <w:rPr>
                <w:rFonts w:eastAsia="Times New Roman" w:cs="Calibri"/>
                <w:iCs/>
                <w:sz w:val="20"/>
                <w:szCs w:val="20"/>
              </w:rPr>
              <w:t>2</w:t>
            </w:r>
          </w:p>
        </w:tc>
      </w:tr>
      <w:tr w:rsidR="004630F9" w:rsidRPr="004A1E51" w14:paraId="41E749E8" w14:textId="77777777" w:rsidTr="003E33E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CAAC" w14:textId="60687E3B" w:rsidR="004630F9" w:rsidRPr="00B56957" w:rsidRDefault="006C1982" w:rsidP="00AF581F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rFonts w:eastAsia="Times New Roman" w:cs="Calibri"/>
                <w:iCs/>
                <w:sz w:val="20"/>
                <w:szCs w:val="20"/>
              </w:rPr>
            </w:pPr>
            <w:r w:rsidRPr="00B56957">
              <w:rPr>
                <w:rFonts w:eastAsia="Times New Roman" w:cs="Calibri"/>
                <w:iCs/>
                <w:sz w:val="20"/>
                <w:szCs w:val="20"/>
              </w:rPr>
              <w:t xml:space="preserve">Siūlomas Prekių pristatymo terminas per </w:t>
            </w:r>
            <w:r w:rsidR="008B51D4" w:rsidRPr="00B56957">
              <w:rPr>
                <w:rFonts w:eastAsia="Times New Roman" w:cs="Calibri"/>
                <w:iCs/>
                <w:sz w:val="20"/>
                <w:szCs w:val="20"/>
              </w:rPr>
              <w:t>13</w:t>
            </w:r>
            <w:r w:rsidRPr="00B56957">
              <w:rPr>
                <w:rFonts w:eastAsia="Times New Roman" w:cs="Calibri"/>
                <w:iCs/>
                <w:sz w:val="20"/>
                <w:szCs w:val="20"/>
              </w:rPr>
              <w:t>mėnesių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1A14" w14:textId="009502A9" w:rsidR="004630F9" w:rsidRDefault="00634E5C" w:rsidP="00AF581F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rFonts w:eastAsia="Times New Roman" w:cs="Calibri"/>
                <w:iCs/>
                <w:sz w:val="20"/>
                <w:szCs w:val="20"/>
              </w:rPr>
            </w:pPr>
            <w:r>
              <w:rPr>
                <w:rFonts w:eastAsia="Times New Roman" w:cs="Calibri"/>
                <w:iCs/>
                <w:sz w:val="20"/>
                <w:szCs w:val="20"/>
              </w:rPr>
              <w:t>4</w:t>
            </w:r>
          </w:p>
        </w:tc>
      </w:tr>
      <w:tr w:rsidR="00290B9C" w:rsidRPr="004A1E51" w14:paraId="0AACC5A0" w14:textId="77777777" w:rsidTr="003B3BE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B255" w14:textId="4170E1E9" w:rsidR="00290B9C" w:rsidRPr="00B56957" w:rsidRDefault="006C1982" w:rsidP="003B3BEC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rFonts w:eastAsia="Times New Roman" w:cs="Calibri"/>
                <w:iCs/>
                <w:sz w:val="20"/>
                <w:szCs w:val="20"/>
              </w:rPr>
            </w:pPr>
            <w:r w:rsidRPr="00B56957">
              <w:rPr>
                <w:rFonts w:eastAsia="Times New Roman" w:cs="Calibri"/>
                <w:iCs/>
                <w:sz w:val="20"/>
                <w:szCs w:val="20"/>
              </w:rPr>
              <w:t>Siūlomas Prekių pristatymo terminas per 12 mėnesių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2D89" w14:textId="0FF745A6" w:rsidR="00290B9C" w:rsidRDefault="00634E5C" w:rsidP="00290B9C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rFonts w:eastAsia="Times New Roman" w:cs="Calibri"/>
                <w:iCs/>
                <w:sz w:val="20"/>
                <w:szCs w:val="20"/>
              </w:rPr>
            </w:pPr>
            <w:r>
              <w:rPr>
                <w:rFonts w:eastAsia="Times New Roman" w:cs="Calibri"/>
                <w:iCs/>
                <w:sz w:val="20"/>
                <w:szCs w:val="20"/>
              </w:rPr>
              <w:t>6</w:t>
            </w:r>
          </w:p>
        </w:tc>
      </w:tr>
    </w:tbl>
    <w:p w14:paraId="5F0F5C7F" w14:textId="77777777" w:rsidR="000C683C" w:rsidRDefault="000C683C" w:rsidP="000C683C">
      <w:pPr>
        <w:shd w:val="clear" w:color="auto" w:fill="FFFFFF" w:themeFill="background1"/>
        <w:tabs>
          <w:tab w:val="left" w:pos="0"/>
        </w:tabs>
        <w:spacing w:before="60" w:after="60"/>
        <w:ind w:right="-360"/>
        <w:jc w:val="both"/>
        <w:rPr>
          <w:rFonts w:cstheme="minorHAnsi"/>
          <w:b/>
          <w:bCs/>
          <w:sz w:val="20"/>
          <w:szCs w:val="20"/>
        </w:rPr>
      </w:pPr>
    </w:p>
    <w:p w14:paraId="7BD8F4C8" w14:textId="41407AEB" w:rsidR="00A746A7" w:rsidRDefault="00A746A7" w:rsidP="00A746A7">
      <w:pPr>
        <w:pStyle w:val="ListParagraph"/>
        <w:numPr>
          <w:ilvl w:val="1"/>
          <w:numId w:val="1"/>
        </w:numPr>
        <w:tabs>
          <w:tab w:val="left" w:pos="0"/>
          <w:tab w:val="left" w:pos="426"/>
        </w:tabs>
        <w:spacing w:before="60" w:after="60"/>
        <w:ind w:left="0" w:right="-3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C683C">
        <w:rPr>
          <w:rFonts w:asciiTheme="minorHAnsi" w:hAnsiTheme="minorHAnsi" w:cstheme="minorHAnsi"/>
          <w:b/>
          <w:bCs/>
          <w:sz w:val="20"/>
          <w:szCs w:val="20"/>
        </w:rPr>
        <w:t>Kriterijus (C) – Prekių gamintojo/tiekėjo suteikiamas papildomas garantijos terminas Prekėms ir jų sudėtinėms dalims (mėnesiais)</w:t>
      </w:r>
      <w:r w:rsidRPr="000C683C">
        <w:rPr>
          <w:rFonts w:asciiTheme="minorHAnsi" w:hAnsiTheme="minorHAnsi" w:cstheme="minorHAnsi"/>
          <w:sz w:val="20"/>
          <w:szCs w:val="20"/>
        </w:rPr>
        <w:t xml:space="preserve"> balai apskaičiuojami įvertinus Pasiūlyme </w:t>
      </w:r>
      <w:r w:rsidR="00547BF3" w:rsidRPr="000C683C">
        <w:rPr>
          <w:rFonts w:asciiTheme="minorHAnsi" w:hAnsiTheme="minorHAnsi" w:cstheme="minorHAnsi"/>
          <w:sz w:val="20"/>
          <w:szCs w:val="20"/>
        </w:rPr>
        <w:t>nurodyt</w:t>
      </w:r>
      <w:r w:rsidR="00547BF3">
        <w:rPr>
          <w:rFonts w:asciiTheme="minorHAnsi" w:hAnsiTheme="minorHAnsi" w:cstheme="minorHAnsi"/>
          <w:sz w:val="20"/>
          <w:szCs w:val="20"/>
        </w:rPr>
        <w:t>ą papildomai suteikiamą</w:t>
      </w:r>
      <w:r w:rsidRPr="000C683C">
        <w:rPr>
          <w:rFonts w:asciiTheme="minorHAnsi" w:hAnsiTheme="minorHAnsi" w:cstheme="minorHAnsi"/>
          <w:sz w:val="20"/>
          <w:szCs w:val="20"/>
        </w:rPr>
        <w:t xml:space="preserve"> Prekių gamintojo / tiekėjo garantijos  terminą</w:t>
      </w:r>
      <w:r w:rsidR="00547BF3">
        <w:rPr>
          <w:rFonts w:asciiTheme="minorHAnsi" w:hAnsiTheme="minorHAnsi" w:cstheme="minorHAnsi"/>
          <w:sz w:val="20"/>
          <w:szCs w:val="20"/>
        </w:rPr>
        <w:t>,</w:t>
      </w:r>
      <w:r w:rsidRPr="000C683C">
        <w:rPr>
          <w:rFonts w:asciiTheme="minorHAnsi" w:hAnsiTheme="minorHAnsi" w:cstheme="minorHAnsi"/>
          <w:sz w:val="20"/>
          <w:szCs w:val="20"/>
        </w:rPr>
        <w:t xml:space="preserve"> </w:t>
      </w:r>
      <w:r w:rsidR="00547BF3">
        <w:rPr>
          <w:rFonts w:asciiTheme="minorHAnsi" w:hAnsiTheme="minorHAnsi" w:cstheme="minorHAnsi"/>
          <w:sz w:val="20"/>
          <w:szCs w:val="20"/>
        </w:rPr>
        <w:t>neįskaitant pagal techninės specifikacijos reikalavimus</w:t>
      </w:r>
      <w:r w:rsidR="00547BF3" w:rsidRPr="000C683C">
        <w:rPr>
          <w:rFonts w:asciiTheme="minorHAnsi" w:hAnsiTheme="minorHAnsi" w:cstheme="minorHAnsi"/>
          <w:sz w:val="20"/>
          <w:szCs w:val="20"/>
        </w:rPr>
        <w:t xml:space="preserve"> </w:t>
      </w:r>
      <w:r w:rsidR="00B249A8">
        <w:rPr>
          <w:rFonts w:asciiTheme="minorHAnsi" w:hAnsiTheme="minorHAnsi" w:cstheme="minorHAnsi"/>
          <w:sz w:val="20"/>
          <w:szCs w:val="20"/>
        </w:rPr>
        <w:t xml:space="preserve">privalomos </w:t>
      </w:r>
      <w:r w:rsidR="00547BF3">
        <w:rPr>
          <w:rFonts w:asciiTheme="minorHAnsi" w:hAnsiTheme="minorHAnsi" w:cstheme="minorHAnsi"/>
          <w:sz w:val="20"/>
          <w:szCs w:val="20"/>
        </w:rPr>
        <w:t>24</w:t>
      </w:r>
      <w:r w:rsidR="00547BF3" w:rsidRPr="000C683C">
        <w:rPr>
          <w:rFonts w:asciiTheme="minorHAnsi" w:hAnsiTheme="minorHAnsi" w:cstheme="minorHAnsi"/>
          <w:sz w:val="20"/>
          <w:szCs w:val="20"/>
        </w:rPr>
        <w:t xml:space="preserve"> mėn</w:t>
      </w:r>
      <w:r w:rsidR="00547BF3">
        <w:rPr>
          <w:rFonts w:asciiTheme="minorHAnsi" w:hAnsiTheme="minorHAnsi" w:cstheme="minorHAnsi"/>
          <w:sz w:val="20"/>
          <w:szCs w:val="20"/>
        </w:rPr>
        <w:t xml:space="preserve">esių  </w:t>
      </w:r>
      <w:r w:rsidR="00B249A8">
        <w:rPr>
          <w:rFonts w:asciiTheme="minorHAnsi" w:hAnsiTheme="minorHAnsi" w:cstheme="minorHAnsi"/>
          <w:sz w:val="20"/>
          <w:szCs w:val="20"/>
        </w:rPr>
        <w:t>garantijos</w:t>
      </w:r>
      <w:r w:rsidRPr="000C683C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2A79007" w14:textId="77777777" w:rsidR="005F5D7E" w:rsidRDefault="005F5D7E" w:rsidP="005F5D7E">
      <w:pPr>
        <w:pStyle w:val="ListParagraph"/>
        <w:tabs>
          <w:tab w:val="left" w:pos="0"/>
          <w:tab w:val="left" w:pos="426"/>
        </w:tabs>
        <w:spacing w:before="60" w:after="60"/>
        <w:ind w:left="0" w:right="-36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6B6D7F" w:rsidRPr="003B3BEC" w14:paraId="0AD482B5" w14:textId="77777777" w:rsidTr="003B3BEC">
        <w:trPr>
          <w:trHeight w:val="699"/>
        </w:trPr>
        <w:tc>
          <w:tcPr>
            <w:tcW w:w="7933" w:type="dxa"/>
          </w:tcPr>
          <w:p w14:paraId="3C3062B7" w14:textId="64361026" w:rsidR="006B6D7F" w:rsidRPr="003B3BEC" w:rsidRDefault="003B3BEC" w:rsidP="003B3BEC">
            <w:pPr>
              <w:pStyle w:val="ListParagraph"/>
              <w:tabs>
                <w:tab w:val="left" w:pos="0"/>
                <w:tab w:val="left" w:pos="426"/>
              </w:tabs>
              <w:spacing w:before="60" w:after="60"/>
              <w:ind w:left="0" w:right="37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3BE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Trečias kriterijus (C) – </w:t>
            </w:r>
            <w:r w:rsidRPr="003B3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Prekių gamintojo/tiekėjo suteikiamas </w:t>
            </w:r>
            <w:r w:rsidRPr="00547BF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papildomas</w:t>
            </w:r>
            <w:r w:rsidRPr="003B3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garantijos terminas Prekėms (mėnesiais)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neskaitant privalomos 24 mėn. garantijos</w:t>
            </w:r>
            <w:r w:rsidR="00F707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nurodytos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Techninės specifikacijos 3.2.5 punkte</w:t>
            </w:r>
          </w:p>
        </w:tc>
        <w:tc>
          <w:tcPr>
            <w:tcW w:w="1701" w:type="dxa"/>
          </w:tcPr>
          <w:p w14:paraId="2747DC20" w14:textId="45507F57" w:rsidR="006B6D7F" w:rsidRPr="003B3BEC" w:rsidRDefault="003B3BEC" w:rsidP="003B3BEC">
            <w:pPr>
              <w:pStyle w:val="ListParagraph"/>
              <w:tabs>
                <w:tab w:val="left" w:pos="0"/>
              </w:tabs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3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Balai</w:t>
            </w:r>
          </w:p>
        </w:tc>
      </w:tr>
      <w:tr w:rsidR="005F5D7E" w:rsidRPr="003B3BEC" w14:paraId="40A49929" w14:textId="77777777" w:rsidTr="003B3BEC">
        <w:tc>
          <w:tcPr>
            <w:tcW w:w="7933" w:type="dxa"/>
          </w:tcPr>
          <w:p w14:paraId="363CDA38" w14:textId="1EE5DF94" w:rsidR="005F5D7E" w:rsidRPr="003B3BEC" w:rsidRDefault="00841A59" w:rsidP="003B3BEC">
            <w:pPr>
              <w:pStyle w:val="ListParagraph"/>
              <w:tabs>
                <w:tab w:val="left" w:pos="0"/>
                <w:tab w:val="left" w:pos="426"/>
              </w:tabs>
              <w:spacing w:before="60" w:after="60"/>
              <w:ind w:left="0" w:right="-36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634E5C">
              <w:rPr>
                <w:rFonts w:asciiTheme="minorHAnsi" w:hAnsiTheme="minorHAnsi" w:cstheme="minorHAnsi"/>
                <w:sz w:val="20"/>
                <w:szCs w:val="20"/>
              </w:rPr>
              <w:t xml:space="preserve"> mėn.</w:t>
            </w:r>
          </w:p>
        </w:tc>
        <w:tc>
          <w:tcPr>
            <w:tcW w:w="1701" w:type="dxa"/>
          </w:tcPr>
          <w:p w14:paraId="578C68FD" w14:textId="228EDF77" w:rsidR="005F5D7E" w:rsidRPr="003B3BEC" w:rsidRDefault="00D03ED9" w:rsidP="003B3BEC">
            <w:pPr>
              <w:pStyle w:val="ListParagraph"/>
              <w:tabs>
                <w:tab w:val="left" w:pos="0"/>
              </w:tabs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3BE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D03ED9" w:rsidRPr="003B3BEC" w14:paraId="08F27B10" w14:textId="77777777" w:rsidTr="003B3BEC">
        <w:tc>
          <w:tcPr>
            <w:tcW w:w="7933" w:type="dxa"/>
          </w:tcPr>
          <w:p w14:paraId="7E540E9B" w14:textId="7E3F942C" w:rsidR="00D03ED9" w:rsidRPr="003B3BEC" w:rsidRDefault="00841A59" w:rsidP="003B3BEC">
            <w:pPr>
              <w:pStyle w:val="ListParagraph"/>
              <w:tabs>
                <w:tab w:val="left" w:pos="0"/>
                <w:tab w:val="left" w:pos="426"/>
              </w:tabs>
              <w:spacing w:before="60" w:after="60"/>
              <w:ind w:left="0" w:right="-36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634E5C">
              <w:rPr>
                <w:rFonts w:asciiTheme="minorHAnsi" w:hAnsiTheme="minorHAnsi" w:cstheme="minorHAnsi"/>
                <w:sz w:val="20"/>
                <w:szCs w:val="20"/>
              </w:rPr>
              <w:t xml:space="preserve"> mėn.</w:t>
            </w:r>
          </w:p>
        </w:tc>
        <w:tc>
          <w:tcPr>
            <w:tcW w:w="1701" w:type="dxa"/>
          </w:tcPr>
          <w:p w14:paraId="79C1554E" w14:textId="0BA8B156" w:rsidR="00D03ED9" w:rsidRPr="003B3BEC" w:rsidRDefault="00D03ED9" w:rsidP="003B3BEC">
            <w:pPr>
              <w:pStyle w:val="ListParagraph"/>
              <w:tabs>
                <w:tab w:val="left" w:pos="0"/>
              </w:tabs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3BE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03ED9" w:rsidRPr="003B3BEC" w14:paraId="18A7B0D6" w14:textId="77777777" w:rsidTr="003B3BEC">
        <w:tc>
          <w:tcPr>
            <w:tcW w:w="7933" w:type="dxa"/>
          </w:tcPr>
          <w:p w14:paraId="4EB3200F" w14:textId="3280B682" w:rsidR="00D03ED9" w:rsidRPr="003B3BEC" w:rsidRDefault="00841A59" w:rsidP="003B3BEC">
            <w:pPr>
              <w:pStyle w:val="ListParagraph"/>
              <w:tabs>
                <w:tab w:val="left" w:pos="0"/>
                <w:tab w:val="left" w:pos="426"/>
              </w:tabs>
              <w:spacing w:before="60" w:after="60"/>
              <w:ind w:left="0" w:right="-36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634E5C">
              <w:rPr>
                <w:rFonts w:asciiTheme="minorHAnsi" w:hAnsiTheme="minorHAnsi" w:cstheme="minorHAnsi"/>
                <w:sz w:val="20"/>
                <w:szCs w:val="20"/>
              </w:rPr>
              <w:t xml:space="preserve"> mėn</w:t>
            </w:r>
            <w:r w:rsidR="000E4CD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8E1C74D" w14:textId="72D82966" w:rsidR="00D03ED9" w:rsidRPr="003B3BEC" w:rsidRDefault="00D03ED9" w:rsidP="003B3BEC">
            <w:pPr>
              <w:pStyle w:val="ListParagraph"/>
              <w:tabs>
                <w:tab w:val="left" w:pos="0"/>
              </w:tabs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3BE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03ED9" w:rsidRPr="003B3BEC" w14:paraId="0D598E95" w14:textId="77777777" w:rsidTr="003B3BEC">
        <w:tc>
          <w:tcPr>
            <w:tcW w:w="7933" w:type="dxa"/>
          </w:tcPr>
          <w:p w14:paraId="68C57F96" w14:textId="74FBF576" w:rsidR="00D03ED9" w:rsidRPr="003B3BEC" w:rsidRDefault="00841A59" w:rsidP="003B3BEC">
            <w:pPr>
              <w:pStyle w:val="ListParagraph"/>
              <w:tabs>
                <w:tab w:val="left" w:pos="0"/>
                <w:tab w:val="left" w:pos="426"/>
              </w:tabs>
              <w:spacing w:before="60" w:after="60"/>
              <w:ind w:left="0" w:right="-36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 w:rsidR="00634E5C">
              <w:rPr>
                <w:rFonts w:asciiTheme="minorHAnsi" w:hAnsiTheme="minorHAnsi" w:cstheme="minorHAnsi"/>
                <w:sz w:val="20"/>
                <w:szCs w:val="20"/>
              </w:rPr>
              <w:t xml:space="preserve"> mėn</w:t>
            </w:r>
            <w:r w:rsidR="000E4CD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BBC997F" w14:textId="71500DB3" w:rsidR="00D03ED9" w:rsidRPr="003B3BEC" w:rsidRDefault="00D03ED9" w:rsidP="003B3BEC">
            <w:pPr>
              <w:pStyle w:val="ListParagraph"/>
              <w:tabs>
                <w:tab w:val="left" w:pos="0"/>
              </w:tabs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3BE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634E5C" w:rsidRPr="003B3BEC" w14:paraId="77C5C299" w14:textId="77777777" w:rsidTr="003B3BEC">
        <w:tc>
          <w:tcPr>
            <w:tcW w:w="7933" w:type="dxa"/>
          </w:tcPr>
          <w:p w14:paraId="41FC5732" w14:textId="31A71D4C" w:rsidR="00634E5C" w:rsidRDefault="00841A59" w:rsidP="00634E5C">
            <w:pPr>
              <w:pStyle w:val="ListParagraph"/>
              <w:tabs>
                <w:tab w:val="left" w:pos="0"/>
                <w:tab w:val="left" w:pos="426"/>
              </w:tabs>
              <w:spacing w:before="60" w:after="60"/>
              <w:ind w:left="0" w:right="-36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</w:t>
            </w:r>
            <w:r w:rsidR="00634E5C">
              <w:rPr>
                <w:rFonts w:asciiTheme="minorHAnsi" w:hAnsiTheme="minorHAnsi" w:cstheme="minorHAnsi"/>
                <w:sz w:val="20"/>
                <w:szCs w:val="20"/>
              </w:rPr>
              <w:t xml:space="preserve"> mėn</w:t>
            </w:r>
            <w:r w:rsidR="000E4CD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8A9DE67" w14:textId="437625D3" w:rsidR="00634E5C" w:rsidRPr="003B3BEC" w:rsidRDefault="00634E5C" w:rsidP="00634E5C">
            <w:pPr>
              <w:pStyle w:val="ListParagraph"/>
              <w:tabs>
                <w:tab w:val="left" w:pos="0"/>
              </w:tabs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634E5C" w:rsidRPr="003B3BEC" w14:paraId="10363BE3" w14:textId="77777777" w:rsidTr="003B3BEC">
        <w:tc>
          <w:tcPr>
            <w:tcW w:w="7933" w:type="dxa"/>
          </w:tcPr>
          <w:p w14:paraId="2DA62627" w14:textId="570060A3" w:rsidR="00634E5C" w:rsidRDefault="00841A59" w:rsidP="00634E5C">
            <w:pPr>
              <w:pStyle w:val="ListParagraph"/>
              <w:tabs>
                <w:tab w:val="left" w:pos="0"/>
                <w:tab w:val="left" w:pos="426"/>
              </w:tabs>
              <w:spacing w:before="60" w:after="60"/>
              <w:ind w:left="0" w:right="-36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61 </w:t>
            </w:r>
            <w:r w:rsidR="000E4CDF">
              <w:rPr>
                <w:rFonts w:asciiTheme="minorHAnsi" w:hAnsiTheme="minorHAnsi" w:cstheme="minorHAnsi"/>
                <w:sz w:val="20"/>
                <w:szCs w:val="20"/>
              </w:rPr>
              <w:t>ir daugiau mėn.</w:t>
            </w:r>
          </w:p>
        </w:tc>
        <w:tc>
          <w:tcPr>
            <w:tcW w:w="1701" w:type="dxa"/>
          </w:tcPr>
          <w:p w14:paraId="5A126EEC" w14:textId="64759DCA" w:rsidR="00634E5C" w:rsidRPr="003B3BEC" w:rsidRDefault="00634E5C" w:rsidP="00634E5C">
            <w:pPr>
              <w:pStyle w:val="ListParagraph"/>
              <w:tabs>
                <w:tab w:val="left" w:pos="0"/>
              </w:tabs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354F7746" w14:textId="77777777" w:rsidR="005F5D7E" w:rsidRPr="000C683C" w:rsidRDefault="005F5D7E" w:rsidP="005F5D7E">
      <w:pPr>
        <w:pStyle w:val="ListParagraph"/>
        <w:tabs>
          <w:tab w:val="left" w:pos="0"/>
          <w:tab w:val="left" w:pos="426"/>
        </w:tabs>
        <w:spacing w:before="60" w:after="60"/>
        <w:ind w:left="0" w:right="-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D339597" w14:textId="77777777" w:rsidR="00A746A7" w:rsidRDefault="00A746A7" w:rsidP="00A746A7">
      <w:pPr>
        <w:pStyle w:val="ListParagraph"/>
        <w:shd w:val="clear" w:color="auto" w:fill="FFFFFF" w:themeFill="background1"/>
        <w:tabs>
          <w:tab w:val="left" w:pos="0"/>
        </w:tabs>
        <w:spacing w:before="60" w:after="60"/>
        <w:ind w:left="270" w:right="-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52E319F" w14:textId="365A50FF" w:rsidR="00EC1AF9" w:rsidRPr="003A7033" w:rsidRDefault="00EC1AF9" w:rsidP="00A746A7">
      <w:pPr>
        <w:pStyle w:val="ListParagraph"/>
        <w:shd w:val="clear" w:color="auto" w:fill="FFFFFF" w:themeFill="background1"/>
        <w:tabs>
          <w:tab w:val="left" w:pos="0"/>
        </w:tabs>
        <w:spacing w:before="60" w:after="60"/>
        <w:ind w:left="270" w:right="-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4EFEA24A" w14:textId="3D6D2FEF" w:rsidR="00A746A7" w:rsidRPr="00055242" w:rsidRDefault="00A746A7" w:rsidP="00A746A7">
      <w:pPr>
        <w:pStyle w:val="ListParagraph"/>
        <w:shd w:val="clear" w:color="auto" w:fill="FFFFFF" w:themeFill="background1"/>
        <w:tabs>
          <w:tab w:val="left" w:pos="0"/>
        </w:tabs>
        <w:spacing w:before="60" w:after="60"/>
        <w:ind w:left="0" w:right="-360" w:firstLine="18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224DF4">
        <w:rPr>
          <w:rFonts w:asciiTheme="minorHAnsi" w:hAnsiTheme="minorHAnsi" w:cstheme="minorHAnsi"/>
          <w:b/>
          <w:bCs/>
          <w:i/>
          <w:iCs/>
          <w:sz w:val="20"/>
          <w:szCs w:val="20"/>
        </w:rPr>
        <w:t>Pastaba:</w:t>
      </w:r>
      <w:r w:rsidRPr="00224DF4">
        <w:rPr>
          <w:rFonts w:asciiTheme="minorHAnsi" w:hAnsiTheme="minorHAnsi" w:cstheme="minorHAnsi"/>
          <w:i/>
          <w:iCs/>
          <w:sz w:val="20"/>
          <w:szCs w:val="20"/>
        </w:rPr>
        <w:t xml:space="preserve"> jeigu Pasiūlymo formoje Tiekėjas neužpildys siūlomo papildomo garantijos termino arba užpildys netinkamai, tuomet bus laikoma, kad Tiekėjo siūlomas garantijos terminas yra kaip nurodyta Techninėje specifikacijoje 3.</w:t>
      </w:r>
      <w:r w:rsidR="000212DF"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Pr="00224DF4">
        <w:rPr>
          <w:rFonts w:asciiTheme="minorHAnsi" w:hAnsiTheme="minorHAnsi" w:cstheme="minorHAnsi"/>
          <w:i/>
          <w:iCs/>
          <w:sz w:val="20"/>
          <w:szCs w:val="20"/>
        </w:rPr>
        <w:t>.</w:t>
      </w:r>
      <w:r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224DF4">
        <w:rPr>
          <w:rFonts w:asciiTheme="minorHAnsi" w:hAnsiTheme="minorHAnsi" w:cstheme="minorHAnsi"/>
          <w:i/>
          <w:iCs/>
          <w:sz w:val="20"/>
          <w:szCs w:val="20"/>
        </w:rPr>
        <w:t>.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224DF4">
        <w:rPr>
          <w:rFonts w:asciiTheme="minorHAnsi" w:hAnsiTheme="minorHAnsi" w:cstheme="minorHAnsi"/>
          <w:i/>
          <w:iCs/>
          <w:sz w:val="20"/>
          <w:szCs w:val="20"/>
        </w:rPr>
        <w:t>p, už kurį balai nėra skiriami.</w:t>
      </w:r>
    </w:p>
    <w:p w14:paraId="0E6736BE" w14:textId="78E25018" w:rsidR="00D27FDC" w:rsidRPr="00B36D93" w:rsidRDefault="00D27FDC" w:rsidP="00B36D93">
      <w:pPr>
        <w:shd w:val="clear" w:color="auto" w:fill="FFFFFF" w:themeFill="background1"/>
        <w:tabs>
          <w:tab w:val="left" w:pos="0"/>
        </w:tabs>
        <w:spacing w:before="60" w:after="60"/>
        <w:ind w:right="-360"/>
        <w:jc w:val="both"/>
        <w:rPr>
          <w:rFonts w:cstheme="minorHAnsi"/>
          <w:i/>
          <w:iCs/>
          <w:sz w:val="20"/>
          <w:szCs w:val="20"/>
        </w:rPr>
      </w:pPr>
    </w:p>
    <w:sectPr w:rsidR="00D27FDC" w:rsidRPr="00B36D93" w:rsidSect="004630F9">
      <w:headerReference w:type="default" r:id="rId8"/>
      <w:headerReference w:type="first" r:id="rId9"/>
      <w:pgSz w:w="12240" w:h="15840"/>
      <w:pgMar w:top="144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B7D8" w14:textId="77777777" w:rsidR="003B4D3F" w:rsidRDefault="003B4D3F" w:rsidP="00FB6E91">
      <w:pPr>
        <w:spacing w:after="0" w:line="240" w:lineRule="auto"/>
      </w:pPr>
      <w:r>
        <w:separator/>
      </w:r>
    </w:p>
  </w:endnote>
  <w:endnote w:type="continuationSeparator" w:id="0">
    <w:p w14:paraId="504C0AA4" w14:textId="77777777" w:rsidR="003B4D3F" w:rsidRDefault="003B4D3F" w:rsidP="00FB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5EF5" w14:textId="77777777" w:rsidR="003B4D3F" w:rsidRDefault="003B4D3F" w:rsidP="00FB6E91">
      <w:pPr>
        <w:spacing w:after="0" w:line="240" w:lineRule="auto"/>
      </w:pPr>
      <w:r>
        <w:separator/>
      </w:r>
    </w:p>
  </w:footnote>
  <w:footnote w:type="continuationSeparator" w:id="0">
    <w:p w14:paraId="620F84F9" w14:textId="77777777" w:rsidR="003B4D3F" w:rsidRDefault="003B4D3F" w:rsidP="00FB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E751" w14:textId="4D875A40" w:rsidR="00FB6E91" w:rsidRDefault="00FB6E91" w:rsidP="00FB6E9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CDC8" w14:textId="5C9E2749" w:rsidR="004630F9" w:rsidRDefault="004630F9" w:rsidP="004630F9">
    <w:pPr>
      <w:pStyle w:val="Header"/>
      <w:jc w:val="center"/>
    </w:pPr>
    <w:r>
      <w:rPr>
        <w:noProof/>
      </w:rPr>
      <w:drawing>
        <wp:inline distT="0" distB="0" distL="0" distR="0" wp14:anchorId="3A55F3C9" wp14:editId="0E763ED0">
          <wp:extent cx="1619885" cy="845820"/>
          <wp:effectExtent l="0" t="0" r="0" b="0"/>
          <wp:docPr id="1422306067" name="Picture 1422306067" descr="A blue logo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306067" name="Picture 1422306067" descr="A blue logo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5D8B"/>
    <w:multiLevelType w:val="multilevel"/>
    <w:tmpl w:val="A86844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D85956"/>
    <w:multiLevelType w:val="multilevel"/>
    <w:tmpl w:val="A86844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6C3EB0"/>
    <w:multiLevelType w:val="multilevel"/>
    <w:tmpl w:val="F250A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E7476C"/>
    <w:multiLevelType w:val="multilevel"/>
    <w:tmpl w:val="9DFAF4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b w:val="0"/>
      </w:rPr>
    </w:lvl>
  </w:abstractNum>
  <w:abstractNum w:abstractNumId="4" w15:restartNumberingAfterBreak="0">
    <w:nsid w:val="5B661E8D"/>
    <w:multiLevelType w:val="multilevel"/>
    <w:tmpl w:val="8FF423D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num w:numId="1" w16cid:durableId="182525296">
    <w:abstractNumId w:val="0"/>
  </w:num>
  <w:num w:numId="2" w16cid:durableId="13655212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470589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5077931">
    <w:abstractNumId w:val="3"/>
  </w:num>
  <w:num w:numId="5" w16cid:durableId="18849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91"/>
    <w:rsid w:val="000212DF"/>
    <w:rsid w:val="00057E45"/>
    <w:rsid w:val="00061D6A"/>
    <w:rsid w:val="000714F7"/>
    <w:rsid w:val="00072C8E"/>
    <w:rsid w:val="000916B3"/>
    <w:rsid w:val="000926F8"/>
    <w:rsid w:val="00095601"/>
    <w:rsid w:val="000A6043"/>
    <w:rsid w:val="000C3B08"/>
    <w:rsid w:val="000C683C"/>
    <w:rsid w:val="000D2C2C"/>
    <w:rsid w:val="000D68C4"/>
    <w:rsid w:val="000E4CDF"/>
    <w:rsid w:val="00104763"/>
    <w:rsid w:val="00136394"/>
    <w:rsid w:val="0013741B"/>
    <w:rsid w:val="0014578F"/>
    <w:rsid w:val="001611A6"/>
    <w:rsid w:val="00173D84"/>
    <w:rsid w:val="001777E7"/>
    <w:rsid w:val="001C1809"/>
    <w:rsid w:val="001C38BE"/>
    <w:rsid w:val="001E3613"/>
    <w:rsid w:val="001F1AFA"/>
    <w:rsid w:val="001F390E"/>
    <w:rsid w:val="001F7794"/>
    <w:rsid w:val="00211BC4"/>
    <w:rsid w:val="00224DF4"/>
    <w:rsid w:val="00254D36"/>
    <w:rsid w:val="00257369"/>
    <w:rsid w:val="002666CF"/>
    <w:rsid w:val="00273CC9"/>
    <w:rsid w:val="00290B9C"/>
    <w:rsid w:val="002B097E"/>
    <w:rsid w:val="002D53AA"/>
    <w:rsid w:val="002D683A"/>
    <w:rsid w:val="00302ED2"/>
    <w:rsid w:val="00303932"/>
    <w:rsid w:val="00305482"/>
    <w:rsid w:val="00317249"/>
    <w:rsid w:val="00337B17"/>
    <w:rsid w:val="003644BA"/>
    <w:rsid w:val="00375C7C"/>
    <w:rsid w:val="00391C82"/>
    <w:rsid w:val="00391FF6"/>
    <w:rsid w:val="003948D9"/>
    <w:rsid w:val="003A19C0"/>
    <w:rsid w:val="003A638F"/>
    <w:rsid w:val="003B3BEC"/>
    <w:rsid w:val="003B4D3F"/>
    <w:rsid w:val="003C72C2"/>
    <w:rsid w:val="003E103C"/>
    <w:rsid w:val="003E4CDA"/>
    <w:rsid w:val="003F72E6"/>
    <w:rsid w:val="00401A95"/>
    <w:rsid w:val="00420FB0"/>
    <w:rsid w:val="0043551F"/>
    <w:rsid w:val="00455450"/>
    <w:rsid w:val="004630F9"/>
    <w:rsid w:val="004702C8"/>
    <w:rsid w:val="004732CF"/>
    <w:rsid w:val="0049202B"/>
    <w:rsid w:val="004A0AEC"/>
    <w:rsid w:val="004A1E51"/>
    <w:rsid w:val="005050B6"/>
    <w:rsid w:val="00521EA0"/>
    <w:rsid w:val="00533036"/>
    <w:rsid w:val="00547BF3"/>
    <w:rsid w:val="00547E9E"/>
    <w:rsid w:val="005530B4"/>
    <w:rsid w:val="0056250E"/>
    <w:rsid w:val="00562D0D"/>
    <w:rsid w:val="0056446C"/>
    <w:rsid w:val="00597D76"/>
    <w:rsid w:val="005A10BC"/>
    <w:rsid w:val="005C74AF"/>
    <w:rsid w:val="005D08C4"/>
    <w:rsid w:val="005D1D29"/>
    <w:rsid w:val="005F054E"/>
    <w:rsid w:val="005F5D7E"/>
    <w:rsid w:val="005F7002"/>
    <w:rsid w:val="00605BAB"/>
    <w:rsid w:val="00607313"/>
    <w:rsid w:val="0061139E"/>
    <w:rsid w:val="00616FB3"/>
    <w:rsid w:val="006178CF"/>
    <w:rsid w:val="006221D3"/>
    <w:rsid w:val="006242FA"/>
    <w:rsid w:val="00634E5C"/>
    <w:rsid w:val="00637340"/>
    <w:rsid w:val="00647C32"/>
    <w:rsid w:val="00652D7B"/>
    <w:rsid w:val="00683C2C"/>
    <w:rsid w:val="00697BDA"/>
    <w:rsid w:val="006A0CD0"/>
    <w:rsid w:val="006B6D7F"/>
    <w:rsid w:val="006C1982"/>
    <w:rsid w:val="006C1C57"/>
    <w:rsid w:val="006E379A"/>
    <w:rsid w:val="00720FFF"/>
    <w:rsid w:val="00757FB3"/>
    <w:rsid w:val="007B42CA"/>
    <w:rsid w:val="007C09C4"/>
    <w:rsid w:val="007D7151"/>
    <w:rsid w:val="007F51B7"/>
    <w:rsid w:val="00817D06"/>
    <w:rsid w:val="0083618F"/>
    <w:rsid w:val="00841A59"/>
    <w:rsid w:val="00847E71"/>
    <w:rsid w:val="00866762"/>
    <w:rsid w:val="00866C76"/>
    <w:rsid w:val="00876638"/>
    <w:rsid w:val="008A27C2"/>
    <w:rsid w:val="008A7F87"/>
    <w:rsid w:val="008B51D4"/>
    <w:rsid w:val="008B673E"/>
    <w:rsid w:val="008C0354"/>
    <w:rsid w:val="008C4448"/>
    <w:rsid w:val="008E01D6"/>
    <w:rsid w:val="008E5F57"/>
    <w:rsid w:val="00912ECA"/>
    <w:rsid w:val="00927A76"/>
    <w:rsid w:val="009322BF"/>
    <w:rsid w:val="00955A95"/>
    <w:rsid w:val="0096193B"/>
    <w:rsid w:val="009A309C"/>
    <w:rsid w:val="009B2830"/>
    <w:rsid w:val="00A30C37"/>
    <w:rsid w:val="00A403DB"/>
    <w:rsid w:val="00A441A0"/>
    <w:rsid w:val="00A746A7"/>
    <w:rsid w:val="00A77F76"/>
    <w:rsid w:val="00AC044D"/>
    <w:rsid w:val="00AD28E8"/>
    <w:rsid w:val="00AF3A8C"/>
    <w:rsid w:val="00AF581F"/>
    <w:rsid w:val="00B249A8"/>
    <w:rsid w:val="00B26AA8"/>
    <w:rsid w:val="00B36D93"/>
    <w:rsid w:val="00B56957"/>
    <w:rsid w:val="00B7420C"/>
    <w:rsid w:val="00B77DA2"/>
    <w:rsid w:val="00B851AC"/>
    <w:rsid w:val="00B8613E"/>
    <w:rsid w:val="00B87569"/>
    <w:rsid w:val="00B94A24"/>
    <w:rsid w:val="00BA237A"/>
    <w:rsid w:val="00BC1DB1"/>
    <w:rsid w:val="00C02DE4"/>
    <w:rsid w:val="00C0600E"/>
    <w:rsid w:val="00C5083F"/>
    <w:rsid w:val="00C51CB4"/>
    <w:rsid w:val="00C5483C"/>
    <w:rsid w:val="00C62941"/>
    <w:rsid w:val="00C71F45"/>
    <w:rsid w:val="00C7655C"/>
    <w:rsid w:val="00C83107"/>
    <w:rsid w:val="00CA5A25"/>
    <w:rsid w:val="00CC2CC2"/>
    <w:rsid w:val="00CD4DF4"/>
    <w:rsid w:val="00CE4DE3"/>
    <w:rsid w:val="00CE505A"/>
    <w:rsid w:val="00CF11BC"/>
    <w:rsid w:val="00CF11C8"/>
    <w:rsid w:val="00D03ED9"/>
    <w:rsid w:val="00D23AA8"/>
    <w:rsid w:val="00D27FDC"/>
    <w:rsid w:val="00D368AA"/>
    <w:rsid w:val="00D6055F"/>
    <w:rsid w:val="00D75621"/>
    <w:rsid w:val="00D91934"/>
    <w:rsid w:val="00DB0CA9"/>
    <w:rsid w:val="00DC0AA6"/>
    <w:rsid w:val="00DD109F"/>
    <w:rsid w:val="00DF025D"/>
    <w:rsid w:val="00DF11D8"/>
    <w:rsid w:val="00E00482"/>
    <w:rsid w:val="00E16B5E"/>
    <w:rsid w:val="00E1706D"/>
    <w:rsid w:val="00E23400"/>
    <w:rsid w:val="00E358C4"/>
    <w:rsid w:val="00E36C34"/>
    <w:rsid w:val="00E4066B"/>
    <w:rsid w:val="00E43255"/>
    <w:rsid w:val="00E50390"/>
    <w:rsid w:val="00E53562"/>
    <w:rsid w:val="00E6604B"/>
    <w:rsid w:val="00E72AF1"/>
    <w:rsid w:val="00E74724"/>
    <w:rsid w:val="00EB1FF2"/>
    <w:rsid w:val="00EC1AF9"/>
    <w:rsid w:val="00EE4D08"/>
    <w:rsid w:val="00EE758D"/>
    <w:rsid w:val="00EF09FC"/>
    <w:rsid w:val="00F008E9"/>
    <w:rsid w:val="00F16FFC"/>
    <w:rsid w:val="00F2261C"/>
    <w:rsid w:val="00F70764"/>
    <w:rsid w:val="00F7374C"/>
    <w:rsid w:val="00F74213"/>
    <w:rsid w:val="00FB6E91"/>
    <w:rsid w:val="00FB7105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7D68"/>
  <w15:chartTrackingRefBased/>
  <w15:docId w15:val="{F1DE0E94-1C7C-4230-AA8F-C5E02581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91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FB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91"/>
    <w:rPr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qFormat/>
    <w:rsid w:val="00847E71"/>
    <w:pPr>
      <w:spacing w:after="0" w:line="240" w:lineRule="auto"/>
      <w:ind w:left="720" w:firstLine="357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847E71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420FB0"/>
    <w:pPr>
      <w:autoSpaceDN w:val="0"/>
      <w:spacing w:line="244" w:lineRule="auto"/>
      <w:ind w:left="720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055F"/>
    <w:pPr>
      <w:spacing w:after="0" w:line="240" w:lineRule="auto"/>
      <w:ind w:firstLine="357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055F"/>
    <w:rPr>
      <w:rFonts w:ascii="Arial" w:hAnsi="Arial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6055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22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61C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61C"/>
    <w:rPr>
      <w:b/>
      <w:bCs/>
      <w:sz w:val="20"/>
      <w:szCs w:val="20"/>
      <w:lang w:val="lt-LT"/>
    </w:rPr>
  </w:style>
  <w:style w:type="character" w:customStyle="1" w:styleId="Laukeliai">
    <w:name w:val="Laukeliai"/>
    <w:basedOn w:val="DefaultParagraphFont"/>
    <w:uiPriority w:val="1"/>
    <w:rsid w:val="00912ECA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5F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BEC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1D2EE-486A-40C9-BC54-DFE77A5E1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39D7C-BA1A-462B-B6A6-2D50C19AB27F}"/>
</file>

<file path=customXml/itemProps3.xml><?xml version="1.0" encoding="utf-8"?>
<ds:datastoreItem xmlns:ds="http://schemas.openxmlformats.org/officeDocument/2006/customXml" ds:itemID="{FE7DF0D9-65FE-437C-9C18-E8F6DA185FAF}"/>
</file>

<file path=customXml/itemProps4.xml><?xml version="1.0" encoding="utf-8"?>
<ds:datastoreItem xmlns:ds="http://schemas.openxmlformats.org/officeDocument/2006/customXml" ds:itemID="{CA48ECBC-A767-4FA8-BFB4-739BC1506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2830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Gražina Jarmalovič</cp:lastModifiedBy>
  <cp:revision>2</cp:revision>
  <dcterms:created xsi:type="dcterms:W3CDTF">2025-08-14T13:25:00Z</dcterms:created>
  <dcterms:modified xsi:type="dcterms:W3CDTF">2025-08-14T13:25:00Z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</Properties>
</file>