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C8D0" w14:textId="6EEA63A9" w:rsidR="00061A70" w:rsidRPr="00264382" w:rsidRDefault="00061A70" w:rsidP="00485E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64382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</w:t>
      </w:r>
      <w:r w:rsidR="00285CF6" w:rsidRPr="00264382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 w:rsidRPr="00264382">
        <w:rPr>
          <w:rFonts w:ascii="Times New Roman" w:hAnsi="Times New Roman" w:cs="Times New Roman"/>
          <w:b/>
          <w:bCs/>
          <w:sz w:val="24"/>
          <w:szCs w:val="24"/>
          <w:lang w:val="lt-LT"/>
        </w:rPr>
        <w:t>NĖ SPECIFIKACIJA</w:t>
      </w:r>
    </w:p>
    <w:p w14:paraId="02AB21D3" w14:textId="5F70A679" w:rsidR="00B072E2" w:rsidRPr="00C6576B" w:rsidRDefault="00CD7464" w:rsidP="00485E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64382">
        <w:rPr>
          <w:rFonts w:ascii="Times New Roman" w:hAnsi="Times New Roman" w:cs="Times New Roman"/>
          <w:b/>
          <w:bCs/>
          <w:sz w:val="24"/>
          <w:szCs w:val="24"/>
          <w:lang w:val="lt-LT"/>
        </w:rPr>
        <w:t>EKSPERTŲ KOMISIJOS KOVAI SU AN</w:t>
      </w:r>
      <w:r w:rsidR="00264382">
        <w:rPr>
          <w:rFonts w:ascii="Times New Roman" w:hAnsi="Times New Roman" w:cs="Times New Roman"/>
          <w:b/>
          <w:bCs/>
          <w:sz w:val="24"/>
          <w:szCs w:val="24"/>
          <w:lang w:val="lt-LT"/>
        </w:rPr>
        <w:t>T</w:t>
      </w:r>
      <w:r w:rsidRPr="0026438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IČIGONIZMU </w:t>
      </w:r>
      <w:r w:rsidR="00C025B7" w:rsidRPr="00C6576B">
        <w:rPr>
          <w:rFonts w:ascii="Times New Roman" w:hAnsi="Times New Roman" w:cs="Times New Roman"/>
          <w:b/>
          <w:bCs/>
          <w:sz w:val="24"/>
          <w:szCs w:val="24"/>
          <w:lang w:val="lt-LT"/>
        </w:rPr>
        <w:t>STEIGIMO POREIKIO</w:t>
      </w:r>
      <w:r w:rsidR="00C025B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C6576B">
        <w:rPr>
          <w:rFonts w:ascii="Times New Roman" w:hAnsi="Times New Roman" w:cs="Times New Roman"/>
          <w:b/>
          <w:bCs/>
          <w:sz w:val="24"/>
          <w:szCs w:val="24"/>
          <w:lang w:val="lt-LT"/>
        </w:rPr>
        <w:t>GALIMYBIŲ</w:t>
      </w:r>
      <w:r w:rsidR="00D862D7" w:rsidRPr="00C6576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STUDIJA</w:t>
      </w:r>
    </w:p>
    <w:p w14:paraId="1FF26616" w14:textId="77777777" w:rsidR="00D95683" w:rsidRPr="00264382" w:rsidRDefault="00D95683" w:rsidP="00D9568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EC16A4E" w14:textId="1F00D74F" w:rsidR="00D95683" w:rsidRPr="00504053" w:rsidRDefault="00D95683" w:rsidP="005040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Tautinių mažumų departamentas prie Lietuvos Respublikos Vyriausybės</w:t>
      </w:r>
      <w:r w:rsidR="007E783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(toliau </w:t>
      </w:r>
      <w:r w:rsidR="00DD326F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– </w:t>
      </w:r>
      <w:r w:rsidR="007E783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Perkančioji organizacija)</w:t>
      </w:r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, atsižvelgdamas į Romų </w:t>
      </w:r>
      <w:proofErr w:type="spellStart"/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įtraukties</w:t>
      </w:r>
      <w:proofErr w:type="spellEnd"/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iki 2030 metų veiksmų plane numatytą užduotį – kovoti su </w:t>
      </w:r>
      <w:proofErr w:type="spellStart"/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antičigonizmu</w:t>
      </w:r>
      <w:proofErr w:type="spellEnd"/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ir romų diskriminacija – </w:t>
      </w:r>
      <w:r w:rsidR="007E783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numato pirkti</w:t>
      </w:r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D862D7" w:rsidRPr="00C6576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galimybių studiją</w:t>
      </w:r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dėl </w:t>
      </w:r>
      <w:r w:rsidR="00C025B7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e</w:t>
      </w:r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kspertų komisijos kovai su </w:t>
      </w:r>
      <w:proofErr w:type="spellStart"/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antičigonizmu</w:t>
      </w:r>
      <w:proofErr w:type="spellEnd"/>
      <w:r w:rsidRPr="00264382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(toliau – Komisija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) steigimo poreikio.</w:t>
      </w:r>
    </w:p>
    <w:p w14:paraId="4C8D03D1" w14:textId="40721A29" w:rsidR="00D95683" w:rsidRPr="00504053" w:rsidRDefault="007E783E" w:rsidP="005040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1. 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Analizės tikslas – įvertinti Komisijos steigimo būtinybę, apibrėžti jos funkcijas, veiklos kryptis bei sąsajas su kitomis </w:t>
      </w:r>
      <w:r w:rsidR="00F86E8B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nacionalinėmis institucijomis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, siekiant veiksmingos kovos su </w:t>
      </w:r>
      <w:proofErr w:type="spellStart"/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antičigonizmu</w:t>
      </w:r>
      <w:proofErr w:type="spellEnd"/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Lietuvoje. Kartu su analize 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numatomas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preliminar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aus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Komisijos darbo reglamento projekt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o rengimas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, kuriame būtų numatyta: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Komisijos sudėtis ir narių atrankos principai;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pagrindinės veiklos sritys;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D9568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veiklos koordinavimo ir atsiskaitymo tvarka.</w:t>
      </w:r>
    </w:p>
    <w:p w14:paraId="0E7259AA" w14:textId="4CA097F8" w:rsidR="00FA33CC" w:rsidRPr="00504053" w:rsidRDefault="007E783E" w:rsidP="00504053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2. 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Analizėje </w:t>
      </w:r>
      <w:r w:rsidR="002B5DB7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b</w:t>
      </w:r>
      <w:r w:rsidR="00171BF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ūtina 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atsakyti į šiuos klausimus:</w:t>
      </w:r>
    </w:p>
    <w:p w14:paraId="53E67F3C" w14:textId="4CD4F7AF" w:rsidR="00FA33CC" w:rsidRPr="00504053" w:rsidRDefault="007E783E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1. Komisijos steigimo pagrindimas</w:t>
      </w:r>
    </w:p>
    <w:p w14:paraId="4CAC0EA4" w14:textId="73C0B67A" w:rsidR="00FA33CC" w:rsidRPr="00504053" w:rsidRDefault="00FA33CC" w:rsidP="00504053">
      <w:pPr>
        <w:pStyle w:val="ListParagraph"/>
        <w:numPr>
          <w:ilvl w:val="2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Pateikti motyvuotą argumentaciją, kodėl Lietuvai reikalinga tokia Komisija;</w:t>
      </w:r>
    </w:p>
    <w:p w14:paraId="32F41EAA" w14:textId="600E2C05" w:rsidR="00FA33CC" w:rsidRPr="00504053" w:rsidRDefault="00FA33CC" w:rsidP="00504053">
      <w:pPr>
        <w:pStyle w:val="ListParagraph"/>
        <w:numPr>
          <w:ilvl w:val="2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Įvertinti esamą situaciją Lietuvoje, susijusią su </w:t>
      </w:r>
      <w:proofErr w:type="spellStart"/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antičigonizmu</w:t>
      </w:r>
      <w:proofErr w:type="spellEnd"/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ir romų diskriminacija.</w:t>
      </w:r>
    </w:p>
    <w:p w14:paraId="5A491EEC" w14:textId="1BD408A1" w:rsidR="00FA33CC" w:rsidRPr="00504053" w:rsidRDefault="007E783E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 Komisijos teisinis statusas</w:t>
      </w:r>
    </w:p>
    <w:p w14:paraId="4234224B" w14:textId="2D573A51" w:rsidR="00FA33CC" w:rsidRPr="00504053" w:rsidRDefault="00FA33CC" w:rsidP="00504053">
      <w:pPr>
        <w:pStyle w:val="ListParagraph"/>
        <w:numPr>
          <w:ilvl w:val="2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Įvertinti, ar Komisija turėtų būti nepriklausoma institucija, ar veikti prie tam tikros valstybinės institucijos;</w:t>
      </w:r>
    </w:p>
    <w:p w14:paraId="5D965B67" w14:textId="4308E4CE" w:rsidR="00FA33CC" w:rsidRPr="00504053" w:rsidRDefault="00FA33CC" w:rsidP="00504053">
      <w:pPr>
        <w:pStyle w:val="ListParagraph"/>
        <w:numPr>
          <w:ilvl w:val="2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Nustatyti, kaip būtų užtikrinamas jos nepriklausomumas.</w:t>
      </w:r>
    </w:p>
    <w:p w14:paraId="6C3D643E" w14:textId="4E4BD61A" w:rsidR="00FA33CC" w:rsidRPr="00504053" w:rsidRDefault="007E783E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3. Komisijos tikslai ir funkcijos</w:t>
      </w:r>
    </w:p>
    <w:p w14:paraId="160C2641" w14:textId="586AB387" w:rsidR="00FB46A3" w:rsidRPr="00504053" w:rsidRDefault="00FB46A3" w:rsidP="00504053">
      <w:pPr>
        <w:pStyle w:val="ListParagraph"/>
        <w:numPr>
          <w:ilvl w:val="2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Apibrėžti </w:t>
      </w:r>
      <w:r w:rsidR="001917B8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Komisijos tikslus ir </w:t>
      </w:r>
      <w:r w:rsidR="006C106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funkcijas</w:t>
      </w:r>
      <w:r w:rsidR="001917B8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;</w:t>
      </w:r>
    </w:p>
    <w:p w14:paraId="2E454D27" w14:textId="4F00DDD9" w:rsidR="00F920E1" w:rsidRPr="00504053" w:rsidRDefault="00B600A7" w:rsidP="00504053">
      <w:pPr>
        <w:pStyle w:val="ListParagraph"/>
        <w:numPr>
          <w:ilvl w:val="2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Galimos</w:t>
      </w:r>
      <w:r w:rsidR="002C5BA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komisijos funkcijos apimtų: d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uomenų rinkim</w:t>
      </w:r>
      <w:r w:rsidR="002C5BA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ą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, analiz</w:t>
      </w:r>
      <w:r w:rsidR="002C5BA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ę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, mokslin</w:t>
      </w:r>
      <w:r w:rsidR="002C5BA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ę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bei tiriam</w:t>
      </w:r>
      <w:r w:rsidR="002C5BA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ąją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veikl</w:t>
      </w:r>
      <w:r w:rsidR="002C5BA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ą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;</w:t>
      </w:r>
      <w:r w:rsidR="006C106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r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ekomendacijų teikim</w:t>
      </w:r>
      <w:r w:rsidR="006C106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ą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valstybės institucijoms bei politikos formuotojams;</w:t>
      </w:r>
      <w:r w:rsidR="006C106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š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vietimo,</w:t>
      </w:r>
      <w:r w:rsidR="006C106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informavimo, viešinimo veikl</w:t>
      </w:r>
      <w:r w:rsidR="006C106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as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;</w:t>
      </w:r>
      <w:r w:rsidR="00F920E1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a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tminimo iniciatyvų, skirtų romų genocido ir diskriminacijos aukoms, kūrim</w:t>
      </w:r>
      <w:r w:rsidR="00F920E1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ą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bei palaikym</w:t>
      </w:r>
      <w:r w:rsidR="00F920E1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ą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</w:t>
      </w:r>
    </w:p>
    <w:p w14:paraId="2455938B" w14:textId="4411ADB7" w:rsidR="00FA33CC" w:rsidRPr="00504053" w:rsidRDefault="00B600A7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4. Nagrinėjami romų teisių pažeidimai</w:t>
      </w:r>
    </w:p>
    <w:p w14:paraId="020A0E25" w14:textId="20ADB4C1" w:rsidR="00FA33CC" w:rsidRPr="00504053" w:rsidRDefault="00FA33CC" w:rsidP="00504053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Įvardyti </w:t>
      </w:r>
      <w:r w:rsidR="0009062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kokius sunkius 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romų teisių pažeidim</w:t>
      </w:r>
      <w:r w:rsidR="0009062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us </w:t>
      </w:r>
      <w:r w:rsidR="00F85134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nagrinėtų komisiją;</w:t>
      </w:r>
    </w:p>
    <w:p w14:paraId="56CD6254" w14:textId="779FF5B7" w:rsidR="00FA33CC" w:rsidRPr="00504053" w:rsidRDefault="00FA33CC" w:rsidP="00504053">
      <w:pPr>
        <w:pStyle w:val="ListParagraph"/>
        <w:numPr>
          <w:ilvl w:val="2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Nurodyti, už kokį laikotarpį Komisija galėtų analizuoti pažeidimus (pvz., sovietmečio, nepriklausomybės laikotarpis, šiuolaikiniai atvejai).</w:t>
      </w:r>
    </w:p>
    <w:p w14:paraId="204215E6" w14:textId="47E75B11" w:rsidR="00FA33CC" w:rsidRPr="00504053" w:rsidRDefault="00B600A7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5. Lyginamoji analizė su Tiesos ir susitaikymo komisijomis</w:t>
      </w:r>
    </w:p>
    <w:p w14:paraId="224ED9D2" w14:textId="1F2AEF0A" w:rsidR="00FA33CC" w:rsidRPr="00504053" w:rsidRDefault="00FA33CC" w:rsidP="00504053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Įvertinti Komisijos panašumus ir skirtumus lyginant su Tiesos ir susitaikymo komisijų modeliais;</w:t>
      </w:r>
    </w:p>
    <w:p w14:paraId="460708C8" w14:textId="5C231609" w:rsidR="00FA33CC" w:rsidRPr="00504053" w:rsidRDefault="00FA33CC" w:rsidP="00504053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Atsakyti, ar Komisijos veikloje galėtų būti integruotas susitaikymo komponentas (pvz.</w:t>
      </w:r>
      <w:r w:rsidR="002F29A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kompensacinės priemonės)</w:t>
      </w:r>
      <w:r w:rsidR="002F29A6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</w:t>
      </w:r>
    </w:p>
    <w:p w14:paraId="16E8C30A" w14:textId="1B224028" w:rsidR="00FA33CC" w:rsidRPr="00504053" w:rsidRDefault="00B600A7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6. Sąsajos su nacionalinėmis institucijomis</w:t>
      </w:r>
    </w:p>
    <w:p w14:paraId="7A8F1D10" w14:textId="4716B115" w:rsidR="00FA33CC" w:rsidRPr="00504053" w:rsidRDefault="00FA33CC" w:rsidP="00504053">
      <w:pPr>
        <w:pStyle w:val="ListParagraph"/>
        <w:numPr>
          <w:ilvl w:val="2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Nurodyti, kaip Komisija galėtų bendradarbiauti su:</w:t>
      </w:r>
    </w:p>
    <w:p w14:paraId="5F5AE51F" w14:textId="462CD4D0" w:rsidR="00FA33CC" w:rsidRPr="00504053" w:rsidRDefault="00FA33CC" w:rsidP="00504053">
      <w:pPr>
        <w:pStyle w:val="ListParagraph"/>
        <w:numPr>
          <w:ilvl w:val="3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Lygių galimybių kontrolieriaus tarnyba,</w:t>
      </w:r>
    </w:p>
    <w:p w14:paraId="3D14CF45" w14:textId="2BA7F2F9" w:rsidR="00FA33CC" w:rsidRPr="00504053" w:rsidRDefault="00FA33CC" w:rsidP="00504053">
      <w:pPr>
        <w:pStyle w:val="ListParagraph"/>
        <w:numPr>
          <w:ilvl w:val="3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Žurnalistų etikos inspektoriaus tarnyba,</w:t>
      </w:r>
    </w:p>
    <w:p w14:paraId="62607151" w14:textId="41C65244" w:rsidR="00FA33CC" w:rsidRPr="00504053" w:rsidRDefault="00FA33CC" w:rsidP="00504053">
      <w:pPr>
        <w:pStyle w:val="ListParagraph"/>
        <w:numPr>
          <w:ilvl w:val="3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Tautinių mažumų departamentu prie LRV ir kitomis institucijomis;</w:t>
      </w:r>
    </w:p>
    <w:p w14:paraId="28E815CE" w14:textId="3E199B45" w:rsidR="00FA33CC" w:rsidRPr="00504053" w:rsidRDefault="00FA33CC" w:rsidP="00504053">
      <w:pPr>
        <w:pStyle w:val="ListParagraph"/>
        <w:numPr>
          <w:ilvl w:val="2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Apibrėžti ryšius su romų bendruomenių organizacijomis ir atstovais;</w:t>
      </w:r>
    </w:p>
    <w:p w14:paraId="16B0836E" w14:textId="09D81788" w:rsidR="00FA33CC" w:rsidRPr="00504053" w:rsidRDefault="00EA4EB9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7. Veiklos vertinimo ir stebėsenos mechanizmai</w:t>
      </w:r>
    </w:p>
    <w:p w14:paraId="0CAECE28" w14:textId="0BBB28F5" w:rsidR="00FA33CC" w:rsidRPr="00504053" w:rsidRDefault="00FA33CC" w:rsidP="00504053">
      <w:pPr>
        <w:pStyle w:val="ListParagraph"/>
        <w:numPr>
          <w:ilvl w:val="2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Pasiūlyti Komisijos veiklos kokybės ir efektyvumo vertinimo rodiklius;</w:t>
      </w:r>
    </w:p>
    <w:p w14:paraId="629027A3" w14:textId="1C1B50AE" w:rsidR="003D43C2" w:rsidRPr="00504053" w:rsidRDefault="00FA33CC" w:rsidP="00504053">
      <w:pPr>
        <w:pStyle w:val="ListParagraph"/>
        <w:numPr>
          <w:ilvl w:val="2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bookmarkStart w:id="0" w:name="_Hlk204246523"/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Apibrėžti periodinės atsiskaitymo visuomenei ir institucijoms tvarką</w:t>
      </w:r>
      <w:bookmarkEnd w:id="0"/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</w:t>
      </w:r>
    </w:p>
    <w:p w14:paraId="3AE0D3B9" w14:textId="239DFAFA" w:rsidR="004C5971" w:rsidRPr="00504053" w:rsidRDefault="00EA4EB9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lastRenderedPageBreak/>
        <w:t>2.</w:t>
      </w:r>
      <w:r w:rsidR="004C5971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8. Komisijos veiklos finansavimas</w:t>
      </w:r>
    </w:p>
    <w:p w14:paraId="5E2722E4" w14:textId="69441865" w:rsidR="004C5971" w:rsidRPr="00504053" w:rsidRDefault="004C5971" w:rsidP="00504053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Pasiūlyti galimus Komisijos finansavimo modelius (valstybinis biudžetas, tarptautinės paramos fondai ir kt.);</w:t>
      </w:r>
    </w:p>
    <w:p w14:paraId="1E7277FF" w14:textId="6E29AAF9" w:rsidR="004C5971" w:rsidRPr="00504053" w:rsidRDefault="004C5971" w:rsidP="00504053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Įvertinti sąnaudas, reikalingas efektyviam Komisijos darbui (žmogiškieji ištekliai, tyrimai, administravimas, renginiai ir kt.);</w:t>
      </w:r>
    </w:p>
    <w:p w14:paraId="28722C15" w14:textId="518F6D02" w:rsidR="004C5971" w:rsidRPr="00504053" w:rsidRDefault="004C5971" w:rsidP="00504053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Nustatyti finansinės atskaitomybės ir skaidrumo mechanizmus.</w:t>
      </w:r>
    </w:p>
    <w:p w14:paraId="68CA87F3" w14:textId="1C9E08C6" w:rsidR="0004553D" w:rsidRPr="00504053" w:rsidRDefault="00EA4EB9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04553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9. Tarptautinė praktika</w:t>
      </w:r>
    </w:p>
    <w:p w14:paraId="3CCE515D" w14:textId="68819098" w:rsidR="0004553D" w:rsidRPr="00504053" w:rsidRDefault="0004553D" w:rsidP="00504053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Pateikti kitų šalių (pvz., Vokietijos, Švedijos) </w:t>
      </w:r>
      <w:proofErr w:type="spellStart"/>
      <w:r w:rsidR="00DA0738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Antičigonizmo</w:t>
      </w:r>
      <w:proofErr w:type="spellEnd"/>
      <w:r w:rsidR="00DA0738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k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omisijų veiklos pavyzdžius;</w:t>
      </w:r>
    </w:p>
    <w:p w14:paraId="52143FB1" w14:textId="293C1194" w:rsidR="0004553D" w:rsidRPr="00504053" w:rsidRDefault="0004553D" w:rsidP="00504053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Aprašyti, kokius pažeidimus jos analizavo (pvz., nacių laikotarpis, pokaris, šiuolaikiniai atvejai);</w:t>
      </w:r>
    </w:p>
    <w:p w14:paraId="58B00DC1" w14:textId="6402A8EF" w:rsidR="00780476" w:rsidRPr="00504053" w:rsidRDefault="00DA0738" w:rsidP="00504053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K</w:t>
      </w:r>
      <w:r w:rsidR="0004553D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okius sprendimus šios Komisijos priėmė ir kokią įtaką jos turėjo viešajai politikai.</w:t>
      </w:r>
    </w:p>
    <w:p w14:paraId="42A2E0AC" w14:textId="570BD8A1" w:rsidR="00FA33CC" w:rsidRPr="00504053" w:rsidRDefault="00EA4EB9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8B7942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10</w:t>
      </w:r>
      <w:r w:rsidR="00FA33CC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 Alternatyvų analizė</w:t>
      </w:r>
    </w:p>
    <w:p w14:paraId="7D920737" w14:textId="3C8B45B6" w:rsidR="00FA33CC" w:rsidRPr="00504053" w:rsidRDefault="00FA33CC" w:rsidP="00504053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Įvertinti, ar kovai su </w:t>
      </w:r>
      <w:proofErr w:type="spellStart"/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antičigonizmu</w:t>
      </w:r>
      <w:proofErr w:type="spellEnd"/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galima užtikrinti sisteminį atsaką be atskiros Komisijos steigimo;</w:t>
      </w:r>
    </w:p>
    <w:p w14:paraId="662BB5ED" w14:textId="6296281B" w:rsidR="00FA33CC" w:rsidRPr="00504053" w:rsidRDefault="00FA33CC" w:rsidP="00504053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Nurodyti galimus tokio sprendimo trūkumus ir privalumus</w:t>
      </w:r>
      <w:r w:rsidR="0051636B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</w:t>
      </w:r>
    </w:p>
    <w:p w14:paraId="7595AD2B" w14:textId="72DCB275" w:rsidR="0012620C" w:rsidRPr="00504053" w:rsidRDefault="00EA4EB9" w:rsidP="00504053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2.</w:t>
      </w:r>
      <w:r w:rsidR="00783D28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11. Siūlomas Komisijos darbo reglamentas</w:t>
      </w:r>
    </w:p>
    <w:p w14:paraId="0DEEBE50" w14:textId="0706656F" w:rsidR="0012620C" w:rsidRPr="00504053" w:rsidRDefault="0012620C" w:rsidP="00504053">
      <w:pPr>
        <w:pStyle w:val="ListParagraph"/>
        <w:numPr>
          <w:ilvl w:val="2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Parengti Komisijos darbo reglamento </w:t>
      </w:r>
      <w:r w:rsidR="002E3968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(toliau </w:t>
      </w:r>
      <w:r w:rsidR="0050405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- </w:t>
      </w:r>
      <w:r w:rsidR="002E3968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Reglamentas)</w:t>
      </w:r>
      <w:r w:rsidR="00504053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projektą, kuris apimtų</w:t>
      </w:r>
      <w:r w:rsidR="00E063B7"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:</w:t>
      </w:r>
    </w:p>
    <w:p w14:paraId="1E061CA7" w14:textId="59FA7EF7" w:rsidR="00584832" w:rsidRPr="00504053" w:rsidRDefault="00584832" w:rsidP="00504053">
      <w:pPr>
        <w:pStyle w:val="ListParagraph"/>
        <w:numPr>
          <w:ilvl w:val="3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Komisijos tikslus ir funkcijas;</w:t>
      </w:r>
    </w:p>
    <w:p w14:paraId="5160269E" w14:textId="65132EA4" w:rsidR="00E063B7" w:rsidRPr="00504053" w:rsidRDefault="00783D28" w:rsidP="00504053">
      <w:pPr>
        <w:pStyle w:val="ListParagraph"/>
        <w:numPr>
          <w:ilvl w:val="3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Komisijos sudarymo principai (kas skiria, kiek narių, kaip įtraukiami romų bendruomenės atstovai, ekspertai ir kiti suinteresuotieji subjektai);</w:t>
      </w:r>
    </w:p>
    <w:p w14:paraId="756C88A0" w14:textId="05654FFB" w:rsidR="00783D28" w:rsidRPr="00504053" w:rsidRDefault="00783D28" w:rsidP="00504053">
      <w:pPr>
        <w:pStyle w:val="ListParagraph"/>
        <w:numPr>
          <w:ilvl w:val="3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Narių teisės, pareigos ir atsakomybės;</w:t>
      </w:r>
    </w:p>
    <w:p w14:paraId="5FC25211" w14:textId="65073FA3" w:rsidR="00783D28" w:rsidRPr="00504053" w:rsidRDefault="00783D28" w:rsidP="00504053">
      <w:pPr>
        <w:pStyle w:val="ListParagraph"/>
        <w:numPr>
          <w:ilvl w:val="3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04053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Darbo organizavimo metodai (pvz., tyrimai, klausymų rengimas, ataskaitų rengimas);</w:t>
      </w:r>
    </w:p>
    <w:p w14:paraId="3CD33E67" w14:textId="4FCCB1BD" w:rsidR="00783D28" w:rsidRPr="00C6576B" w:rsidRDefault="00783D28" w:rsidP="00504053">
      <w:pPr>
        <w:pStyle w:val="ListParagraph"/>
        <w:numPr>
          <w:ilvl w:val="3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C6576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Veiklos trukmė – ar Komisija būtų laikina ar nuolatinė (su galimybe pratęsti)</w:t>
      </w:r>
      <w:r w:rsidR="000D428D" w:rsidRPr="00C6576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;</w:t>
      </w:r>
    </w:p>
    <w:p w14:paraId="62CDC48D" w14:textId="7E9D094D" w:rsidR="000D428D" w:rsidRPr="00C6576B" w:rsidRDefault="000D428D" w:rsidP="00504053">
      <w:pPr>
        <w:pStyle w:val="ListParagraph"/>
        <w:numPr>
          <w:ilvl w:val="3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C6576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Periodinė atsiskaitymo visuomenei ir institucijoms tvarka</w:t>
      </w:r>
      <w:r w:rsidR="0011117E" w:rsidRPr="00C6576B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</w:t>
      </w:r>
    </w:p>
    <w:p w14:paraId="4FB2E334" w14:textId="61D38D29" w:rsidR="00186AE5" w:rsidRPr="00C6576B" w:rsidRDefault="001D4A39" w:rsidP="00BB19F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76B">
        <w:rPr>
          <w:rFonts w:ascii="Times New Roman" w:hAnsi="Times New Roman" w:cs="Times New Roman"/>
          <w:sz w:val="24"/>
          <w:szCs w:val="24"/>
          <w:lang w:val="lt-LT"/>
        </w:rPr>
        <w:t>Galimybių studijos išvad</w:t>
      </w:r>
      <w:r w:rsidR="00F26D33" w:rsidRPr="00C6576B">
        <w:rPr>
          <w:rFonts w:ascii="Times New Roman" w:hAnsi="Times New Roman" w:cs="Times New Roman"/>
          <w:sz w:val="24"/>
          <w:szCs w:val="24"/>
          <w:lang w:val="lt-LT"/>
        </w:rPr>
        <w:t>os turi</w:t>
      </w:r>
      <w:r w:rsidR="0074138C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 būti ne trumpesnė</w:t>
      </w:r>
      <w:r w:rsidR="00F26D33" w:rsidRPr="00C6576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74138C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 nei 15 A4 formato puslapių</w:t>
      </w:r>
      <w:r w:rsidR="006A11E8" w:rsidRPr="00C6576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E3968" w:rsidRPr="00C6576B">
        <w:rPr>
          <w:lang w:val="it-IT"/>
        </w:rPr>
        <w:t xml:space="preserve"> </w:t>
      </w:r>
      <w:r w:rsidR="00A300B7" w:rsidRPr="00C6576B">
        <w:rPr>
          <w:rFonts w:ascii="Times New Roman" w:hAnsi="Times New Roman" w:cs="Times New Roman"/>
          <w:sz w:val="24"/>
          <w:szCs w:val="24"/>
          <w:lang w:val="it-IT"/>
        </w:rPr>
        <w:t xml:space="preserve">Išvados </w:t>
      </w:r>
      <w:r w:rsidR="002E3968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504053" w:rsidRPr="00C6576B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2E3968" w:rsidRPr="00C6576B">
        <w:rPr>
          <w:rFonts w:ascii="Times New Roman" w:hAnsi="Times New Roman" w:cs="Times New Roman"/>
          <w:sz w:val="24"/>
          <w:szCs w:val="24"/>
          <w:lang w:val="lt-LT"/>
        </w:rPr>
        <w:t>eglamento projektas turi būti pateikti perkančiajai organizacijai elektroninėje laikmenoje, išoriniame diske, ne mažiau kaip 2 (dvejuose) vienetuose.</w:t>
      </w:r>
    </w:p>
    <w:p w14:paraId="411C6265" w14:textId="230E4CA3" w:rsidR="00D13532" w:rsidRPr="00C6576B" w:rsidRDefault="001D4A39" w:rsidP="00EA4EB9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76B">
        <w:rPr>
          <w:rFonts w:ascii="Times New Roman" w:hAnsi="Times New Roman" w:cs="Times New Roman"/>
          <w:sz w:val="24"/>
          <w:szCs w:val="24"/>
          <w:lang w:val="lt-LT"/>
        </w:rPr>
        <w:t>Galimybių studijos</w:t>
      </w:r>
      <w:r w:rsidR="00D13532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 atlik</w:t>
      </w:r>
      <w:r w:rsidR="006A11E8" w:rsidRPr="00C6576B">
        <w:rPr>
          <w:rFonts w:ascii="Times New Roman" w:hAnsi="Times New Roman" w:cs="Times New Roman"/>
          <w:sz w:val="24"/>
          <w:szCs w:val="24"/>
          <w:lang w:val="lt-LT"/>
        </w:rPr>
        <w:t>imo</w:t>
      </w:r>
      <w:r w:rsidR="00D13532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E3968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bei </w:t>
      </w:r>
      <w:r w:rsidR="00504053" w:rsidRPr="00C6576B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2E3968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eglamento projekto pateikimo </w:t>
      </w:r>
      <w:r w:rsidR="00D13532" w:rsidRPr="00C6576B">
        <w:rPr>
          <w:rFonts w:ascii="Times New Roman" w:hAnsi="Times New Roman" w:cs="Times New Roman"/>
          <w:sz w:val="24"/>
          <w:szCs w:val="24"/>
          <w:lang w:val="lt-LT"/>
        </w:rPr>
        <w:t>terminas</w:t>
      </w:r>
      <w:r w:rsidR="002E3968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E3968" w:rsidRPr="00C6576B">
        <w:rPr>
          <w:rFonts w:ascii="Times New Roman" w:hAnsi="Times New Roman" w:cs="Times New Roman"/>
          <w:b/>
          <w:bCs/>
          <w:sz w:val="24"/>
          <w:szCs w:val="24"/>
          <w:lang w:val="lt-LT"/>
        </w:rPr>
        <w:t>iki</w:t>
      </w:r>
      <w:r w:rsidR="00D13532" w:rsidRPr="00C6576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20</w:t>
      </w:r>
      <w:r w:rsidR="00B01B83" w:rsidRPr="00C6576B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D13532" w:rsidRPr="00C6576B">
        <w:rPr>
          <w:rFonts w:ascii="Times New Roman" w:hAnsi="Times New Roman" w:cs="Times New Roman"/>
          <w:b/>
          <w:bCs/>
          <w:sz w:val="24"/>
          <w:szCs w:val="24"/>
          <w:lang w:val="lt-LT"/>
        </w:rPr>
        <w:t>5 m. gruodžio 1 d.</w:t>
      </w:r>
      <w:r w:rsidR="00D13532" w:rsidRPr="00C6576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B532B15" w14:textId="77777777" w:rsidR="00970984" w:rsidRPr="00264382" w:rsidRDefault="00970984" w:rsidP="000278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70984" w:rsidRPr="00264382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D9E"/>
    <w:multiLevelType w:val="multilevel"/>
    <w:tmpl w:val="BD52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6B01"/>
    <w:multiLevelType w:val="multilevel"/>
    <w:tmpl w:val="9E606F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843237A"/>
    <w:multiLevelType w:val="multilevel"/>
    <w:tmpl w:val="D008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51D53"/>
    <w:multiLevelType w:val="multilevel"/>
    <w:tmpl w:val="55DC2D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110F17EC"/>
    <w:multiLevelType w:val="multilevel"/>
    <w:tmpl w:val="D71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5EC0"/>
    <w:multiLevelType w:val="multilevel"/>
    <w:tmpl w:val="7D9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C62D3"/>
    <w:multiLevelType w:val="hybridMultilevel"/>
    <w:tmpl w:val="3B520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20DFE"/>
    <w:multiLevelType w:val="multilevel"/>
    <w:tmpl w:val="EFC852E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266518F"/>
    <w:multiLevelType w:val="multilevel"/>
    <w:tmpl w:val="312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74FE4"/>
    <w:multiLevelType w:val="multilevel"/>
    <w:tmpl w:val="69A0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E0CB3"/>
    <w:multiLevelType w:val="multilevel"/>
    <w:tmpl w:val="BC2EB7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A2346FD"/>
    <w:multiLevelType w:val="multilevel"/>
    <w:tmpl w:val="512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977A4"/>
    <w:multiLevelType w:val="multilevel"/>
    <w:tmpl w:val="64EA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9238A"/>
    <w:multiLevelType w:val="multilevel"/>
    <w:tmpl w:val="3E7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A0D2E"/>
    <w:multiLevelType w:val="multilevel"/>
    <w:tmpl w:val="8348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73974"/>
    <w:multiLevelType w:val="multilevel"/>
    <w:tmpl w:val="B9D6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8EE"/>
    <w:multiLevelType w:val="multilevel"/>
    <w:tmpl w:val="4F1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B5A47"/>
    <w:multiLevelType w:val="multilevel"/>
    <w:tmpl w:val="1A20C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43240988"/>
    <w:multiLevelType w:val="multilevel"/>
    <w:tmpl w:val="8AE888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583661B"/>
    <w:multiLevelType w:val="multilevel"/>
    <w:tmpl w:val="B48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D4160"/>
    <w:multiLevelType w:val="multilevel"/>
    <w:tmpl w:val="A504059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4C936E5F"/>
    <w:multiLevelType w:val="multilevel"/>
    <w:tmpl w:val="178A54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D200A46"/>
    <w:multiLevelType w:val="multilevel"/>
    <w:tmpl w:val="C5249B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D946A7E"/>
    <w:multiLevelType w:val="multilevel"/>
    <w:tmpl w:val="7D34A9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FF82F63"/>
    <w:multiLevelType w:val="multilevel"/>
    <w:tmpl w:val="5D76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17CFC"/>
    <w:multiLevelType w:val="multilevel"/>
    <w:tmpl w:val="4908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8D4C13"/>
    <w:multiLevelType w:val="multilevel"/>
    <w:tmpl w:val="832C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DF373C"/>
    <w:multiLevelType w:val="multilevel"/>
    <w:tmpl w:val="7996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FF30BD"/>
    <w:multiLevelType w:val="multilevel"/>
    <w:tmpl w:val="1576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23FE"/>
    <w:multiLevelType w:val="multilevel"/>
    <w:tmpl w:val="0BBC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16030"/>
    <w:multiLevelType w:val="multilevel"/>
    <w:tmpl w:val="C0D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873E0"/>
    <w:multiLevelType w:val="multilevel"/>
    <w:tmpl w:val="325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562D0"/>
    <w:multiLevelType w:val="multilevel"/>
    <w:tmpl w:val="1F14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773F8"/>
    <w:multiLevelType w:val="multilevel"/>
    <w:tmpl w:val="5DD08B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768C1CD0"/>
    <w:multiLevelType w:val="multilevel"/>
    <w:tmpl w:val="2CF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0F1AC3"/>
    <w:multiLevelType w:val="multilevel"/>
    <w:tmpl w:val="CAF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01335"/>
    <w:multiLevelType w:val="multilevel"/>
    <w:tmpl w:val="1A8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9713FA"/>
    <w:multiLevelType w:val="multilevel"/>
    <w:tmpl w:val="343E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047274">
    <w:abstractNumId w:val="6"/>
  </w:num>
  <w:num w:numId="2" w16cid:durableId="925269258">
    <w:abstractNumId w:val="11"/>
  </w:num>
  <w:num w:numId="3" w16cid:durableId="702680429">
    <w:abstractNumId w:val="9"/>
  </w:num>
  <w:num w:numId="4" w16cid:durableId="896012931">
    <w:abstractNumId w:val="13"/>
  </w:num>
  <w:num w:numId="5" w16cid:durableId="443614752">
    <w:abstractNumId w:val="0"/>
  </w:num>
  <w:num w:numId="6" w16cid:durableId="2126268061">
    <w:abstractNumId w:val="36"/>
  </w:num>
  <w:num w:numId="7" w16cid:durableId="649948135">
    <w:abstractNumId w:val="32"/>
  </w:num>
  <w:num w:numId="8" w16cid:durableId="1023897583">
    <w:abstractNumId w:val="25"/>
  </w:num>
  <w:num w:numId="9" w16cid:durableId="720835329">
    <w:abstractNumId w:val="19"/>
  </w:num>
  <w:num w:numId="10" w16cid:durableId="2025864792">
    <w:abstractNumId w:val="30"/>
  </w:num>
  <w:num w:numId="11" w16cid:durableId="93088695">
    <w:abstractNumId w:val="14"/>
  </w:num>
  <w:num w:numId="12" w16cid:durableId="506402486">
    <w:abstractNumId w:val="31"/>
  </w:num>
  <w:num w:numId="13" w16cid:durableId="149029245">
    <w:abstractNumId w:val="28"/>
  </w:num>
  <w:num w:numId="14" w16cid:durableId="885798418">
    <w:abstractNumId w:val="34"/>
  </w:num>
  <w:num w:numId="15" w16cid:durableId="3633011">
    <w:abstractNumId w:val="12"/>
  </w:num>
  <w:num w:numId="16" w16cid:durableId="2092894360">
    <w:abstractNumId w:val="35"/>
  </w:num>
  <w:num w:numId="17" w16cid:durableId="924846490">
    <w:abstractNumId w:val="15"/>
  </w:num>
  <w:num w:numId="18" w16cid:durableId="1333950489">
    <w:abstractNumId w:val="5"/>
  </w:num>
  <w:num w:numId="19" w16cid:durableId="428701721">
    <w:abstractNumId w:val="24"/>
  </w:num>
  <w:num w:numId="20" w16cid:durableId="160583077">
    <w:abstractNumId w:val="8"/>
  </w:num>
  <w:num w:numId="21" w16cid:durableId="940793617">
    <w:abstractNumId w:val="29"/>
  </w:num>
  <w:num w:numId="22" w16cid:durableId="575211760">
    <w:abstractNumId w:val="27"/>
  </w:num>
  <w:num w:numId="23" w16cid:durableId="194466077">
    <w:abstractNumId w:val="4"/>
  </w:num>
  <w:num w:numId="24" w16cid:durableId="244845212">
    <w:abstractNumId w:val="16"/>
  </w:num>
  <w:num w:numId="25" w16cid:durableId="131482069">
    <w:abstractNumId w:val="37"/>
  </w:num>
  <w:num w:numId="26" w16cid:durableId="1041981560">
    <w:abstractNumId w:val="2"/>
  </w:num>
  <w:num w:numId="27" w16cid:durableId="360984375">
    <w:abstractNumId w:val="26"/>
  </w:num>
  <w:num w:numId="28" w16cid:durableId="253125645">
    <w:abstractNumId w:val="18"/>
  </w:num>
  <w:num w:numId="29" w16cid:durableId="104353366">
    <w:abstractNumId w:val="3"/>
  </w:num>
  <w:num w:numId="30" w16cid:durableId="216748676">
    <w:abstractNumId w:val="1"/>
  </w:num>
  <w:num w:numId="31" w16cid:durableId="158426592">
    <w:abstractNumId w:val="17"/>
  </w:num>
  <w:num w:numId="32" w16cid:durableId="148833855">
    <w:abstractNumId w:val="22"/>
  </w:num>
  <w:num w:numId="33" w16cid:durableId="499349509">
    <w:abstractNumId w:val="21"/>
  </w:num>
  <w:num w:numId="34" w16cid:durableId="1654791893">
    <w:abstractNumId w:val="10"/>
  </w:num>
  <w:num w:numId="35" w16cid:durableId="1915965388">
    <w:abstractNumId w:val="33"/>
  </w:num>
  <w:num w:numId="36" w16cid:durableId="779032393">
    <w:abstractNumId w:val="23"/>
  </w:num>
  <w:num w:numId="37" w16cid:durableId="1659531618">
    <w:abstractNumId w:val="20"/>
  </w:num>
  <w:num w:numId="38" w16cid:durableId="2081443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64"/>
    <w:rsid w:val="000278EF"/>
    <w:rsid w:val="0004553D"/>
    <w:rsid w:val="00061A70"/>
    <w:rsid w:val="000648AC"/>
    <w:rsid w:val="00090626"/>
    <w:rsid w:val="000B42C8"/>
    <w:rsid w:val="000D1BB7"/>
    <w:rsid w:val="000D428D"/>
    <w:rsid w:val="000F1F8C"/>
    <w:rsid w:val="00106939"/>
    <w:rsid w:val="001100D3"/>
    <w:rsid w:val="0011117E"/>
    <w:rsid w:val="0012620C"/>
    <w:rsid w:val="00145A87"/>
    <w:rsid w:val="00171BF3"/>
    <w:rsid w:val="00186AE5"/>
    <w:rsid w:val="001917B8"/>
    <w:rsid w:val="00194655"/>
    <w:rsid w:val="001D4A39"/>
    <w:rsid w:val="001E37B2"/>
    <w:rsid w:val="00245956"/>
    <w:rsid w:val="00262C48"/>
    <w:rsid w:val="00264382"/>
    <w:rsid w:val="00274A2A"/>
    <w:rsid w:val="00280BD7"/>
    <w:rsid w:val="00285CF6"/>
    <w:rsid w:val="002A44A6"/>
    <w:rsid w:val="002B5DB7"/>
    <w:rsid w:val="002C5BAD"/>
    <w:rsid w:val="002D778E"/>
    <w:rsid w:val="002E3968"/>
    <w:rsid w:val="002F29A6"/>
    <w:rsid w:val="003607CE"/>
    <w:rsid w:val="00376818"/>
    <w:rsid w:val="003D43C2"/>
    <w:rsid w:val="003E3FAC"/>
    <w:rsid w:val="00420BE3"/>
    <w:rsid w:val="0042184D"/>
    <w:rsid w:val="00465698"/>
    <w:rsid w:val="00485ED0"/>
    <w:rsid w:val="004B5666"/>
    <w:rsid w:val="004C0590"/>
    <w:rsid w:val="004C5971"/>
    <w:rsid w:val="004D1274"/>
    <w:rsid w:val="00501BF0"/>
    <w:rsid w:val="00504053"/>
    <w:rsid w:val="0051636B"/>
    <w:rsid w:val="00561233"/>
    <w:rsid w:val="00562ABC"/>
    <w:rsid w:val="00584832"/>
    <w:rsid w:val="005E7E65"/>
    <w:rsid w:val="006A11E8"/>
    <w:rsid w:val="006C1066"/>
    <w:rsid w:val="006C28AE"/>
    <w:rsid w:val="0074138C"/>
    <w:rsid w:val="00780476"/>
    <w:rsid w:val="00783D28"/>
    <w:rsid w:val="007B2E99"/>
    <w:rsid w:val="007B7804"/>
    <w:rsid w:val="007D310A"/>
    <w:rsid w:val="007D675A"/>
    <w:rsid w:val="007E783E"/>
    <w:rsid w:val="008155F5"/>
    <w:rsid w:val="00836056"/>
    <w:rsid w:val="00857EC6"/>
    <w:rsid w:val="008619FB"/>
    <w:rsid w:val="00867AFD"/>
    <w:rsid w:val="0088399B"/>
    <w:rsid w:val="00895A2A"/>
    <w:rsid w:val="008B7942"/>
    <w:rsid w:val="00947639"/>
    <w:rsid w:val="0097071A"/>
    <w:rsid w:val="00970984"/>
    <w:rsid w:val="00A2625A"/>
    <w:rsid w:val="00A300B7"/>
    <w:rsid w:val="00A560CF"/>
    <w:rsid w:val="00A65C60"/>
    <w:rsid w:val="00AB7CF0"/>
    <w:rsid w:val="00B01B83"/>
    <w:rsid w:val="00B072E2"/>
    <w:rsid w:val="00B079B5"/>
    <w:rsid w:val="00B600A7"/>
    <w:rsid w:val="00B82E3F"/>
    <w:rsid w:val="00C025B7"/>
    <w:rsid w:val="00C6576B"/>
    <w:rsid w:val="00C722F1"/>
    <w:rsid w:val="00CD7464"/>
    <w:rsid w:val="00D13532"/>
    <w:rsid w:val="00D42F9A"/>
    <w:rsid w:val="00D862D7"/>
    <w:rsid w:val="00D94744"/>
    <w:rsid w:val="00D95683"/>
    <w:rsid w:val="00DA0738"/>
    <w:rsid w:val="00DD326F"/>
    <w:rsid w:val="00E063B7"/>
    <w:rsid w:val="00E951B2"/>
    <w:rsid w:val="00EA4EB9"/>
    <w:rsid w:val="00EF3F55"/>
    <w:rsid w:val="00F10BCB"/>
    <w:rsid w:val="00F26D33"/>
    <w:rsid w:val="00F41EF1"/>
    <w:rsid w:val="00F85134"/>
    <w:rsid w:val="00F86E8B"/>
    <w:rsid w:val="00F920E1"/>
    <w:rsid w:val="00FA33CC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6C4E"/>
  <w15:chartTrackingRefBased/>
  <w15:docId w15:val="{11BFFBCB-F701-464A-BCC6-402E1A8C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90"/>
  </w:style>
  <w:style w:type="paragraph" w:styleId="Heading1">
    <w:name w:val="heading 1"/>
    <w:basedOn w:val="Normal"/>
    <w:next w:val="Normal"/>
    <w:link w:val="Heading1Char"/>
    <w:uiPriority w:val="9"/>
    <w:qFormat/>
    <w:rsid w:val="00CD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4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97098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8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Šokaitienė  | TMDE</dc:creator>
  <cp:keywords/>
  <dc:description/>
  <cp:lastModifiedBy>Aušra Šokaitienė</cp:lastModifiedBy>
  <cp:revision>2</cp:revision>
  <cp:lastPrinted>2025-08-13T10:42:00Z</cp:lastPrinted>
  <dcterms:created xsi:type="dcterms:W3CDTF">2025-08-13T11:59:00Z</dcterms:created>
  <dcterms:modified xsi:type="dcterms:W3CDTF">2025-08-13T11:59:00Z</dcterms:modified>
</cp:coreProperties>
</file>