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Herbas arba prekių ženklas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(T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kėjo pavadinimas)</w:t>
      </w:r>
    </w:p>
    <w:p w:rsidR="00EB019C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Pr="002A2C89" w:rsidRDefault="00EB019C" w:rsidP="00EB019C">
      <w:pPr>
        <w:spacing w:after="6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lt-LT"/>
        </w:rPr>
        <w:tab/>
      </w:r>
    </w:p>
    <w:p w:rsidR="00EB019C" w:rsidRPr="00F26EDB" w:rsidRDefault="00EB019C" w:rsidP="00EB019C">
      <w:pPr>
        <w:spacing w:after="6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(Juridinio asmens teisinė forma, buveinė, kontaktinė informacija, registro, kuriame kaup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iami ir saugomi duomenys apie tie</w:t>
      </w:r>
      <w:r w:rsidRPr="00F26EDB">
        <w:rPr>
          <w:rFonts w:ascii="Times New Roman" w:eastAsia="Times New Roman" w:hAnsi="Times New Roman" w:cs="Times New Roman"/>
          <w:sz w:val="24"/>
          <w:szCs w:val="24"/>
          <w:lang w:val="lt-LT"/>
        </w:rPr>
        <w:t>kėją, pavadinimas, juridinio asmens kodas, pridėtinės vertės mokesčio mokėtojo kodas, jei juridinis asmuo yra pridėtinės vertės mokesčio mokėtojas)</w:t>
      </w: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B019C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DD6469" w:rsidRDefault="00DD6469" w:rsidP="00A82171">
      <w:pPr>
        <w:tabs>
          <w:tab w:val="center" w:pos="2520"/>
        </w:tabs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INFRASTUKTŪROS VALDYMO AGENTŪRA</w:t>
      </w:r>
      <w:r w:rsidR="00A8217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</w:t>
      </w:r>
    </w:p>
    <w:p w:rsidR="00DD6469" w:rsidRDefault="00DD6469" w:rsidP="00DD6469">
      <w:pPr>
        <w:tabs>
          <w:tab w:val="center" w:pos="2520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Pr="00F26EDB" w:rsidRDefault="00EB019C" w:rsidP="00EB019C">
      <w:pPr>
        <w:tabs>
          <w:tab w:val="center" w:pos="252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EB019C" w:rsidRPr="00A82171" w:rsidRDefault="00DD6469" w:rsidP="00EB019C">
      <w:pPr>
        <w:jc w:val="center"/>
        <w:rPr>
          <w:rStyle w:val="Strong"/>
          <w:rFonts w:ascii="Times New Roman" w:hAnsi="Times New Roman" w:cs="Times New Roman"/>
          <w:sz w:val="28"/>
          <w:szCs w:val="28"/>
          <w:vertAlign w:val="superscript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TIEKĖJO DEKLARACIJA </w:t>
      </w:r>
      <w:r w:rsidR="00EB019C" w:rsidRPr="00750767">
        <w:rPr>
          <w:rStyle w:val="Strong"/>
          <w:rFonts w:ascii="Times New Roman" w:hAnsi="Times New Roman" w:cs="Times New Roman"/>
          <w:sz w:val="28"/>
          <w:szCs w:val="28"/>
        </w:rPr>
        <w:t>DĖL</w:t>
      </w: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PASIŪLYMO</w:t>
      </w:r>
      <w:r w:rsidR="009E3150">
        <w:rPr>
          <w:rStyle w:val="FootnoteReference"/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footnoteReference w:id="1"/>
      </w: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 xml:space="preserve"> ATITIKTIES TECHNINEI SPECIFIKACIJAI</w:t>
      </w:r>
      <w:r w:rsidR="00A82171">
        <w:rPr>
          <w:rStyle w:val="FootnoteReference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:rsidR="00A9612A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1. Pažymime, kad</w:t>
      </w:r>
      <w:r w:rsidR="00AD659F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šis,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Pirkimo sąlygų </w:t>
      </w:r>
      <w:r w:rsidR="00AD659F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6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pried</w:t>
      </w:r>
      <w:r w:rsidR="00AD659F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as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yra neatsiejama </w:t>
      </w:r>
      <w:r w:rsidR="00AD659F" w:rsidRPr="00AD659F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Pirkimo sąlygų </w:t>
      </w:r>
      <w:r w:rsidR="00AD659F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3 priedo „Pasiūlymas“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dalis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.                                                                                                                                             2. Tiekėjas turi 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pilnai 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užpildyti</w:t>
      </w:r>
      <w:r w:rsidR="00981174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lentelės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</w:t>
      </w:r>
      <w:r w:rsidR="00A9612A"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4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 xml:space="preserve"> ir </w:t>
      </w:r>
      <w:r w:rsidR="00A9612A"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5</w:t>
      </w:r>
      <w:r w:rsidR="00A9612A" w:rsidRPr="00B86C40">
        <w:rPr>
          <w:rStyle w:val="Strong"/>
          <w:rFonts w:ascii="Times New Roman" w:hAnsi="Times New Roman" w:cs="Times New Roman"/>
          <w:color w:val="0070C0"/>
          <w:sz w:val="28"/>
          <w:szCs w:val="28"/>
          <w:u w:val="single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stulp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u w:val="single"/>
          <w:lang w:val="lt-LT"/>
        </w:rPr>
        <w:t>elius.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:rsidR="00C43153" w:rsidRPr="00B86C40" w:rsidRDefault="00A109AC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3.  Patvirtindamas, kad prekė</w:t>
      </w:r>
      <w:r w:rsidR="00942D2D">
        <w:rPr>
          <w:rStyle w:val="Strong"/>
          <w:rFonts w:ascii="Times New Roman" w:hAnsi="Times New Roman" w:cs="Times New Roman"/>
          <w:sz w:val="28"/>
          <w:szCs w:val="28"/>
          <w:lang w:val="lt-LT"/>
        </w:rPr>
        <w:t>s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atitinka technin</w:t>
      </w:r>
      <w:r w:rsidR="00A9612A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ių rodiklių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reikalavimus, nurodytus Pirkimo sąlygų 1 priede „</w:t>
      </w:r>
      <w:r w:rsidR="00DD6469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Elektroninių apsaugos sistemų įrangos Nr. </w:t>
      </w:r>
      <w:r w:rsidR="00AD659F">
        <w:rPr>
          <w:rStyle w:val="Strong"/>
          <w:rFonts w:ascii="Times New Roman" w:hAnsi="Times New Roman" w:cs="Times New Roman"/>
          <w:sz w:val="28"/>
          <w:szCs w:val="28"/>
          <w:lang w:val="lt-LT"/>
        </w:rPr>
        <w:t>3</w:t>
      </w:r>
      <w:r w:rsidR="00DD6469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techninė specifikacija“</w:t>
      </w:r>
      <w:r w:rsidRPr="00B86C40">
        <w:rPr>
          <w:rStyle w:val="Strong"/>
          <w:rFonts w:ascii="Times New Roman" w:hAnsi="Times New Roman" w:cs="Times New Roman"/>
          <w:b w:val="0"/>
          <w:sz w:val="28"/>
          <w:szCs w:val="28"/>
          <w:lang w:val="lt-LT"/>
        </w:rPr>
        <w:t>,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942D2D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tiekėjas privalo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aiškiai apibūdinti siūlomų prekių charakteristikas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ir 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pateikti </w:t>
      </w:r>
      <w:r w:rsidR="006B1F2F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informaciją</w:t>
      </w: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(pvz</w:t>
      </w:r>
      <w:r w:rsidR="00AD659F">
        <w:rPr>
          <w:rStyle w:val="Strong"/>
          <w:rFonts w:ascii="Times New Roman" w:hAnsi="Times New Roman" w:cs="Times New Roman"/>
          <w:sz w:val="28"/>
          <w:szCs w:val="28"/>
          <w:lang w:val="lt-LT"/>
        </w:rPr>
        <w:t>.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:</w:t>
      </w:r>
      <w:r w:rsidR="00045F82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Prekės modelį, nuoroda į gamintojo prekės specifikaciją/dokumentą, puslapį ar kt.</w:t>
      </w:r>
      <w:r w:rsidR="00465A75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), </w:t>
      </w:r>
    </w:p>
    <w:p w:rsidR="00C43153" w:rsidRPr="00B86C40" w:rsidRDefault="006B1F2F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</w:pPr>
      <w:r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kuri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patvirtintų </w:t>
      </w:r>
      <w:r w:rsidR="00A9612A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prekės techninių rodiklių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 xml:space="preserve"> atitiktį </w:t>
      </w:r>
      <w:r w:rsidR="00A9612A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nustatytiems reikalavimams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lang w:val="lt-LT"/>
        </w:rPr>
        <w:t xml:space="preserve">. </w:t>
      </w:r>
    </w:p>
    <w:p w:rsidR="00A9612A" w:rsidRPr="00B86C40" w:rsidRDefault="00AD659F" w:rsidP="00A96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imes New Roman" w:hAnsi="Times New Roman" w:cs="Times New Roman"/>
          <w:sz w:val="28"/>
          <w:szCs w:val="28"/>
          <w:lang w:val="lt-LT"/>
        </w:rPr>
      </w:pPr>
      <w:r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4. </w:t>
      </w:r>
      <w:r w:rsidR="00A109AC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 xml:space="preserve">Tiekėjas </w:t>
      </w:r>
      <w:r w:rsidR="00A109AC" w:rsidRPr="00B86C40">
        <w:rPr>
          <w:rStyle w:val="Strong"/>
          <w:rFonts w:ascii="Times New Roman" w:hAnsi="Times New Roman" w:cs="Times New Roman"/>
          <w:color w:val="C00000"/>
          <w:sz w:val="28"/>
          <w:szCs w:val="28"/>
          <w:u w:val="single"/>
          <w:lang w:val="lt-LT"/>
        </w:rPr>
        <w:t>negali naudoti sąvokos „Atitinka“</w:t>
      </w:r>
      <w:r w:rsidR="00A109AC" w:rsidRPr="00B86C40">
        <w:rPr>
          <w:rStyle w:val="Strong"/>
          <w:rFonts w:ascii="Times New Roman" w:hAnsi="Times New Roman" w:cs="Times New Roman"/>
          <w:sz w:val="28"/>
          <w:szCs w:val="28"/>
          <w:lang w:val="lt-LT"/>
        </w:rPr>
        <w:t>, o privalo aiškiai apibūdinti siūlomų prekių charakteristikas, priešingu atveju toks pasiūlymas bus pripažintas neatitinkančiu pirkimo dokumentų reikalavimų ir bus atmestas.</w:t>
      </w: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829"/>
        <w:gridCol w:w="1865"/>
        <w:gridCol w:w="4873"/>
        <w:gridCol w:w="3366"/>
        <w:gridCol w:w="2817"/>
      </w:tblGrid>
      <w:tr w:rsidR="00C54198" w:rsidRPr="00EB019C" w:rsidTr="00B10B97">
        <w:trPr>
          <w:trHeight w:val="517"/>
        </w:trPr>
        <w:tc>
          <w:tcPr>
            <w:tcW w:w="7567" w:type="dxa"/>
            <w:gridSpan w:val="3"/>
            <w:shd w:val="clear" w:color="auto" w:fill="DEEAF6" w:themeFill="accent1" w:themeFillTint="33"/>
            <w:vAlign w:val="center"/>
          </w:tcPr>
          <w:p w:rsidR="00942D2D" w:rsidRDefault="00942D2D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1607CB" w:rsidRDefault="000A0A3F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Elektroninių apsaugos sistemų įrangos Nr. </w:t>
            </w:r>
            <w:r w:rsidR="00AD659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P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1607C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(2</w:t>
            </w:r>
            <w:r w:rsidR="001607CB" w:rsidRPr="001607C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prekių grupė)</w:t>
            </w:r>
          </w:p>
          <w:p w:rsidR="00C54198" w:rsidRDefault="00C54198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</w:t>
            </w: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toliau - </w:t>
            </w:r>
            <w:r w:rsidR="000A0A3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Prekės</w:t>
            </w:r>
            <w:r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techninių rodiklių</w:t>
            </w:r>
            <w:r w:rsidRPr="00C5419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reikalavimai:</w:t>
            </w:r>
          </w:p>
          <w:p w:rsidR="00981174" w:rsidRPr="00EB019C" w:rsidRDefault="00981174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183" w:type="dxa"/>
            <w:gridSpan w:val="2"/>
            <w:shd w:val="clear" w:color="auto" w:fill="E7E6E6" w:themeFill="background2"/>
            <w:vAlign w:val="center"/>
          </w:tcPr>
          <w:p w:rsidR="00C54198" w:rsidRPr="00A109AC" w:rsidRDefault="00F64482" w:rsidP="00F6448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Tiekėjo s</w:t>
            </w:r>
            <w:r w:rsidR="00C54198" w:rsidRPr="00A109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iūlomos prekės techniniai rodikliai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ir informacija apie prekės atitiktį nustatytiems reikalavimams</w:t>
            </w:r>
          </w:p>
        </w:tc>
      </w:tr>
      <w:tr w:rsidR="00A109AC" w:rsidRPr="00EB019C" w:rsidTr="00B37BA6">
        <w:trPr>
          <w:trHeight w:val="228"/>
        </w:trPr>
        <w:tc>
          <w:tcPr>
            <w:tcW w:w="829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1865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A109AC" w:rsidRPr="00F64482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6448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3366" w:type="dxa"/>
            <w:shd w:val="clear" w:color="auto" w:fill="FFFFFF" w:themeFill="background1"/>
            <w:vAlign w:val="center"/>
          </w:tcPr>
          <w:p w:rsidR="00A109AC" w:rsidRPr="00942D2D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4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:rsidR="00A109AC" w:rsidRPr="00942D2D" w:rsidRDefault="00A109AC" w:rsidP="00F27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5</w:t>
            </w:r>
          </w:p>
        </w:tc>
      </w:tr>
      <w:tr w:rsidR="00EB019C" w:rsidRPr="00EB019C" w:rsidTr="00B37BA6">
        <w:trPr>
          <w:trHeight w:val="1049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EB019C" w:rsidRPr="00EB019C" w:rsidRDefault="00EB019C" w:rsidP="00EB019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B019C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1865" w:type="dxa"/>
            <w:shd w:val="clear" w:color="auto" w:fill="DEEAF6" w:themeFill="accent1" w:themeFillTint="33"/>
            <w:vAlign w:val="center"/>
          </w:tcPr>
          <w:p w:rsidR="00A109AC" w:rsidRPr="00FA63C6" w:rsidRDefault="00465A75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Prekės </w:t>
            </w:r>
            <w:r w:rsidR="00A109AC"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avadinimas </w:t>
            </w:r>
          </w:p>
          <w:p w:rsidR="00EB019C" w:rsidRPr="00EB019C" w:rsidRDefault="00EB019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EB019C" w:rsidRPr="00EB019C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eikalaujama parametro (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1 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vnt.)</w:t>
            </w:r>
            <w:r w:rsidRPr="00FA63C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r w:rsidR="00EB019C" w:rsidRPr="00EB019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funkcijos reikšmė, išpildymas ar savybė</w:t>
            </w:r>
          </w:p>
        </w:tc>
        <w:tc>
          <w:tcPr>
            <w:tcW w:w="3366" w:type="dxa"/>
            <w:shd w:val="clear" w:color="auto" w:fill="E7E6E6" w:themeFill="background2"/>
            <w:vAlign w:val="center"/>
          </w:tcPr>
          <w:p w:rsidR="00843700" w:rsidRPr="001F4D30" w:rsidRDefault="00A109AC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Siūloma prekė </w:t>
            </w:r>
          </w:p>
          <w:p w:rsidR="00843700" w:rsidRPr="001F4D30" w:rsidRDefault="00A109AC" w:rsidP="00A109AC">
            <w:pPr>
              <w:contextualSpacing/>
              <w:jc w:val="center"/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>atitinka</w:t>
            </w:r>
            <w:r w:rsidR="00F64482"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</w:t>
            </w:r>
            <w:r w:rsidR="009F065E" w:rsidRPr="001F4D30"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  <w:t xml:space="preserve">visus </w:t>
            </w:r>
          </w:p>
          <w:p w:rsidR="00A109AC" w:rsidRPr="001F4D30" w:rsidRDefault="00F64482" w:rsidP="00A109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Style w:val="Strong"/>
                <w:rFonts w:ascii="Times New Roman" w:hAnsi="Times New Roman" w:cs="Times New Roman"/>
                <w:b w:val="0"/>
                <w:color w:val="C00000"/>
                <w:sz w:val="24"/>
                <w:szCs w:val="24"/>
                <w:u w:val="single"/>
              </w:rPr>
              <w:t>Pirkimo sąlygų 1 priede</w:t>
            </w:r>
            <w:r w:rsidR="00A109AC"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nustatytus techninius reikalavimus ir jos savybės tokios: </w:t>
            </w:r>
          </w:p>
          <w:p w:rsidR="00EB019C" w:rsidRDefault="00A109AC" w:rsidP="001F4D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</w:pPr>
            <w:r w:rsidRPr="001F4D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Tiekėjas turi įrašyti</w:t>
            </w:r>
            <w:r w:rsidRPr="001F4D30">
              <w:rPr>
                <w:rFonts w:ascii="Times New Roman" w:eastAsia="Times New Roman" w:hAnsi="Times New Roman" w:cs="Times New Roman"/>
                <w:color w:val="C00000"/>
                <w:sz w:val="24"/>
                <w:szCs w:val="20"/>
                <w:u w:val="single"/>
              </w:rPr>
              <w:t xml:space="preserve"> </w:t>
            </w:r>
            <w:r w:rsidRPr="001F4D3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konkrečias siūlomų prekių rodiklių reikšmes</w:t>
            </w:r>
          </w:p>
          <w:p w:rsidR="00465A75" w:rsidRPr="00EB019C" w:rsidRDefault="00465A75" w:rsidP="001F4D3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  <w:shd w:val="clear" w:color="auto" w:fill="E7E6E6" w:themeFill="background2"/>
          </w:tcPr>
          <w:p w:rsidR="00EB019C" w:rsidRPr="00F27634" w:rsidRDefault="00465A75" w:rsidP="00465A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Prekės </w:t>
            </w:r>
            <w:r w:rsidR="00C43153">
              <w:rPr>
                <w:rFonts w:ascii="Times New Roman" w:eastAsia="Times New Roman" w:hAnsi="Times New Roman" w:cs="Times New Roman"/>
                <w:sz w:val="24"/>
                <w:szCs w:val="20"/>
              </w:rPr>
              <w:t>modelis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n</w:t>
            </w:r>
            <w:r w:rsidR="00F27634" w:rsidRPr="00F27634">
              <w:rPr>
                <w:rFonts w:ascii="Times New Roman" w:eastAsia="Times New Roman" w:hAnsi="Times New Roman" w:cs="Times New Roman"/>
                <w:sz w:val="24"/>
                <w:szCs w:val="20"/>
              </w:rPr>
              <w:t>uoroda į gamintojo prekės specifikaciją/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dokumentą, puslapį </w:t>
            </w:r>
            <w:r w:rsidR="00C54198">
              <w:rPr>
                <w:rFonts w:ascii="Times New Roman" w:eastAsia="Times New Roman" w:hAnsi="Times New Roman" w:cs="Times New Roman"/>
                <w:sz w:val="24"/>
                <w:szCs w:val="20"/>
              </w:rPr>
              <w:t>ar kt.</w:t>
            </w:r>
          </w:p>
        </w:tc>
      </w:tr>
      <w:tr w:rsidR="0027768A" w:rsidRPr="00EB019C" w:rsidTr="00B37BA6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3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shd w:val="clear" w:color="auto" w:fill="DEEAF6" w:themeFill="accent1" w:themeFillTint="33"/>
          </w:tcPr>
          <w:p w:rsidR="0027768A" w:rsidRPr="004E4532" w:rsidRDefault="001607CB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4E4532">
              <w:rPr>
                <w:rFonts w:ascii="Times New Roman" w:hAnsi="Times New Roman" w:cs="Times New Roman"/>
                <w:b/>
              </w:rPr>
              <w:t>Nuotolinių kortelių skaitytuvas be klaviatūros Nr. 1</w:t>
            </w:r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Hid</w:t>
            </w:r>
            <w:proofErr w:type="spellEnd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ProxPro</w:t>
            </w:r>
            <w:proofErr w:type="spellEnd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5455 ar lygiavertis, ne prastesnių parametrų kaip:</w:t>
            </w:r>
          </w:p>
          <w:p w:rsidR="00E4774D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Maksimalus nuskaitymo atstumas ne mažesnis kaip 20 cm; </w:t>
            </w:r>
          </w:p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įtampos diapazonas ne mažesnis kaip 5–16 VDC;</w:t>
            </w:r>
          </w:p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Maksimali naudojama srovė ne didesnė kaip 125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Darbo temperatūrų diapa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zonas ne mažesnis kaip –25 + 55</w:t>
            </w:r>
            <w:r w:rsidR="00C56E0A" w:rsidRPr="00E4774D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o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C;</w:t>
            </w:r>
          </w:p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Apsauga nuo aplinkos poveikio ne žemesnė kaip IP 55.</w:t>
            </w:r>
          </w:p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Skaitytuvas turi turėti:</w:t>
            </w:r>
          </w:p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Palaikymą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modelio sąsajos su visomis esamomis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protokolo įeigos kontrolės sistemomis;</w:t>
            </w:r>
          </w:p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Darbinį nuskaitymo dažnį – 125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kHz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27768A" w:rsidRPr="00EB019C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Garso ir vaizdo signalais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indikuojamą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kortelės nuskaitymo būseną.</w:t>
            </w:r>
          </w:p>
        </w:tc>
        <w:tc>
          <w:tcPr>
            <w:tcW w:w="3366" w:type="dxa"/>
            <w:vAlign w:val="center"/>
          </w:tcPr>
          <w:p w:rsidR="0027768A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0585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8).....</w:t>
            </w:r>
          </w:p>
          <w:p w:rsidR="00E0585E" w:rsidRPr="00E0585E" w:rsidRDefault="00E0585E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0585E" w:rsidRPr="00EB019C" w:rsidRDefault="00E0585E" w:rsidP="00E058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B37BA6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4E4532" w:rsidRDefault="001607CB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4E4532">
              <w:rPr>
                <w:rFonts w:ascii="Times New Roman" w:hAnsi="Times New Roman" w:cs="Times New Roman"/>
                <w:b/>
              </w:rPr>
              <w:t>Didelio atstumo nuotolinių kortelių skaitytuvas</w:t>
            </w:r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HID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MaxiProx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5375 ar lygiavertis, ne prastesnių parametrų kaip: </w:t>
            </w:r>
          </w:p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Maksimalus nuskaitymo atstumas ne mažesnis kaip 55 cm;</w:t>
            </w:r>
          </w:p>
          <w:p w:rsidR="00C56E0A" w:rsidRPr="00C56E0A" w:rsidRDefault="00E4774D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Maksimalus laido ilgis ne mažesnis kaip 150 m; 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Maksimali naudojama srovė ne didesnė kaip 700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; 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Darbo temperatūrų diapazonas ne mažesnis kaip –25 –+ 55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oC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Apsauga nuo aplinkos poveikio ne žemesnė kaip IP 55.</w:t>
            </w:r>
          </w:p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Skaitytuvas turi turėti: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Galimybę nuskaityti korteles didesniu atstumu;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Palaikymą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modelio sąsajas su visomis esamomis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protokolo įeigos kontrolės sistemomis;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Darbinį nuskaitymo dažnį – 125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kHz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įtampą 12 VDC;</w:t>
            </w:r>
          </w:p>
          <w:p w:rsidR="0027768A" w:rsidRPr="00EB019C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Garso ir vaizdo signalais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indikuojamą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kortelės nuskaitymo būseną.</w:t>
            </w:r>
          </w:p>
        </w:tc>
        <w:tc>
          <w:tcPr>
            <w:tcW w:w="3366" w:type="dxa"/>
            <w:vAlign w:val="center"/>
          </w:tcPr>
          <w:p w:rsidR="0027768A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9741A0" w:rsidRPr="00EB019C" w:rsidRDefault="009741A0" w:rsidP="009741A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B37BA6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DA2680" w:rsidRDefault="001607CB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1607CB">
              <w:rPr>
                <w:rFonts w:ascii="Times New Roman" w:hAnsi="Times New Roman" w:cs="Times New Roman"/>
                <w:b/>
              </w:rPr>
              <w:t>Nuotolinių kortelių skaitytuvas su klaviatūra Nr. 1</w:t>
            </w:r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HidProx</w:t>
            </w:r>
            <w:proofErr w:type="spellEnd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Pro 5355 ar lygiavertis, ne prastesnių parametrų kaip: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Maksimalus nuskaitymo atstumas ne mažesnis kaip 20 cm;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Maksimalus laido ilgis ne mažesnis kaip 150 m;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Maitinimo įtampos diapazonas ne mažesnis kaip 10–28 VDC;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Maksimali naudojama srovė ne didesnė kaip 125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Darbo temperatūrų diapazonas ne mažesnis kaip –25 –+ 55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oC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Apsauga nuo aplinkos poveikio ne žemesnė kaip IP 55.</w:t>
            </w:r>
          </w:p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Skaitytuvas turi turėti: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Palaikymą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modelio sąsajas su visomis esamomis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protokolo įeigos kontrolės sistemomis;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Darbinį nuskaitymo dažnį – 125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kHz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27768A" w:rsidRPr="00EB019C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Garso ir vaizdo signalais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indikuojamą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kortelės nuskaitymo būseną.</w:t>
            </w:r>
          </w:p>
        </w:tc>
        <w:tc>
          <w:tcPr>
            <w:tcW w:w="3366" w:type="dxa"/>
            <w:vAlign w:val="center"/>
          </w:tcPr>
          <w:p w:rsidR="0027768A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6)....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  <w:p w:rsidR="009741A0" w:rsidRPr="00EB019C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B37BA6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DA2680" w:rsidRDefault="001607CB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1607CB">
              <w:rPr>
                <w:rFonts w:ascii="Times New Roman" w:hAnsi="Times New Roman" w:cs="Times New Roman"/>
                <w:b/>
              </w:rPr>
              <w:t xml:space="preserve">Nuotolinė kortelė 13 </w:t>
            </w:r>
            <w:proofErr w:type="spellStart"/>
            <w:r w:rsidRPr="001607CB">
              <w:rPr>
                <w:rFonts w:ascii="Times New Roman" w:hAnsi="Times New Roman" w:cs="Times New Roman"/>
                <w:b/>
              </w:rPr>
              <w:t>Mhz</w:t>
            </w:r>
            <w:proofErr w:type="spellEnd"/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Darbo temperatūrų diapazonas ne mažesnis kaip –30 –+ 65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oC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Apsauga nuo aplinkos poveikio ne žemesnė kaip IP 55.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Darbinis nuskaitymo dažnis – 13,56 MHz.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iCLASS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technologija.</w:t>
            </w:r>
          </w:p>
          <w:p w:rsidR="0027768A" w:rsidRPr="00EB019C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Suderinama su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Signo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40 serijos skaitytuvais.</w:t>
            </w:r>
          </w:p>
        </w:tc>
        <w:tc>
          <w:tcPr>
            <w:tcW w:w="3366" w:type="dxa"/>
            <w:vAlign w:val="center"/>
          </w:tcPr>
          <w:p w:rsidR="0027768A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9741A0" w:rsidRPr="009741A0" w:rsidRDefault="009741A0" w:rsidP="009741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9741A0" w:rsidRPr="00EB019C" w:rsidRDefault="009741A0" w:rsidP="0077797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B37BA6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DA2680" w:rsidRDefault="001607CB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1607CB">
              <w:rPr>
                <w:rFonts w:ascii="Times New Roman" w:hAnsi="Times New Roman" w:cs="Times New Roman"/>
                <w:b/>
              </w:rPr>
              <w:t>Nuotolinė kortelė 8k</w:t>
            </w:r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Darbo temperatūrų diapazonas ne mažesnis kaip –20°C – + 65°C.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Atminties dydis na mažiau kaip 8 kB.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Darbinis nuskaitymo dažnis – 13,56 MHz.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iCLASS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technologija.</w:t>
            </w:r>
          </w:p>
          <w:p w:rsidR="0027768A" w:rsidRPr="00EB019C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7797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Suderinama su biometriniu skaitytuvu RKLB40 SE.</w:t>
            </w:r>
          </w:p>
        </w:tc>
        <w:tc>
          <w:tcPr>
            <w:tcW w:w="3366" w:type="dxa"/>
            <w:vAlign w:val="center"/>
          </w:tcPr>
          <w:p w:rsidR="0027768A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9741A0" w:rsidRPr="009741A0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41A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9741A0" w:rsidRPr="00EB019C" w:rsidRDefault="009741A0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B37BA6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DA2680" w:rsidRDefault="001607CB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1607CB">
              <w:rPr>
                <w:rFonts w:ascii="Times New Roman" w:hAnsi="Times New Roman" w:cs="Times New Roman"/>
                <w:b/>
              </w:rPr>
              <w:t>Biometrinis skaitytuvas</w:t>
            </w:r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RKLB40 SE ar lygiavertis, ne prastesnių parametrų kaip: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Tipinis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iCLASS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Seos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“ nuotolinės kortelės nuskaitymo atstumas ne mažesnis kaip 3 cm.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Tipinis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iCLASS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nuotolinės kortelės nuskaitymo atstumas ne mažesnis kaip 12 cm.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Naudojama srovė (RMS) ramybės būsenoje ne didesnė kaip 200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Darbo temperatūrų diapazonas ne mažesnis kaip -10°C – +50°C.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Apsaugos nuo aplinkos poveikių lygis ne žemesnis kaip IP55.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Matmenys ne didesni kaip 13 x 16 x 3,5 cm.</w:t>
            </w:r>
          </w:p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Biometrinis skaitytuvas turi turėti: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iCLASS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Seos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8 kB ir 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iCLASS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“ 16–32 k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bit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nuotolinių kortelių nuskaitymą.</w:t>
            </w:r>
          </w:p>
          <w:p w:rsidR="00C56E0A" w:rsidRPr="00C56E0A" w:rsidRDefault="00777977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Galimybę sukonfigūruoti skaitytuvą taip , kad palaikytų autentifikavimą pagal nuotolinę kortelę ir piršto atspaudą, pagal nuotolinę kortelę ir PIN kodą, pagal nuotolinę kortelę, piršto atspaudą ir PIN kodą;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Biometrinis šablonas turi būti saugomas nuotolinėje kortelėje;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protokolų palaikymą;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Darbinį nuskaitymo dažnį 13,56 MHz; 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Optinį pirštų atspaudų biometrinį jutiklį;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Piršto atspaudo šablono formatą ANSI 378;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Elektros maitinimo įtampą 12 VDC;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Kontaktinę kaladėlę kabeliui pajungti;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Tamperio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apsaugotas;</w:t>
            </w:r>
          </w:p>
          <w:p w:rsidR="00C56E0A" w:rsidRPr="00C56E0A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Garso ir vaizdo signalais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indikuojamą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nuskaitymo būseną;</w:t>
            </w:r>
          </w:p>
          <w:p w:rsidR="0027768A" w:rsidRPr="00EB019C" w:rsidRDefault="004406A2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406A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CE sertifikatą.</w:t>
            </w:r>
          </w:p>
        </w:tc>
        <w:tc>
          <w:tcPr>
            <w:tcW w:w="3366" w:type="dxa"/>
            <w:vAlign w:val="center"/>
          </w:tcPr>
          <w:p w:rsidR="0027768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lastRenderedPageBreak/>
              <w:t>1)...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67F9A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E67F9A" w:rsidRPr="00E67F9A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</w:t>
            </w:r>
          </w:p>
          <w:p w:rsidR="00E67F9A" w:rsidRPr="00E67F9A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</w:t>
            </w:r>
          </w:p>
          <w:p w:rsidR="00E67F9A" w:rsidRPr="00E67F9A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</w:t>
            </w:r>
          </w:p>
          <w:p w:rsidR="00E67F9A" w:rsidRPr="00E67F9A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</w:t>
            </w:r>
          </w:p>
          <w:p w:rsidR="00E67F9A" w:rsidRPr="00E67F9A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</w:t>
            </w:r>
          </w:p>
          <w:p w:rsidR="00E67F9A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</w:t>
            </w:r>
          </w:p>
          <w:p w:rsidR="004406A2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</w:t>
            </w:r>
          </w:p>
          <w:p w:rsidR="004406A2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12)...</w:t>
            </w:r>
          </w:p>
          <w:p w:rsidR="004406A2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13)...</w:t>
            </w:r>
          </w:p>
          <w:p w:rsidR="004406A2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14)...</w:t>
            </w:r>
          </w:p>
          <w:p w:rsidR="004406A2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15)...</w:t>
            </w:r>
          </w:p>
          <w:p w:rsidR="004406A2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16)...</w:t>
            </w:r>
          </w:p>
          <w:p w:rsidR="004406A2" w:rsidRPr="00E67F9A" w:rsidRDefault="004406A2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17)...</w:t>
            </w:r>
          </w:p>
          <w:p w:rsidR="00E67F9A" w:rsidRPr="00E67F9A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E67F9A" w:rsidRPr="00EB019C" w:rsidRDefault="00E67F9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607CB" w:rsidRPr="00EB019C" w:rsidTr="00B37BA6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607CB" w:rsidRPr="00EB019C" w:rsidRDefault="001607CB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607CB" w:rsidRPr="00DA2680" w:rsidRDefault="001607CB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1607CB">
              <w:rPr>
                <w:rFonts w:ascii="Times New Roman" w:hAnsi="Times New Roman" w:cs="Times New Roman"/>
                <w:b/>
              </w:rPr>
              <w:t>Nuotolinių kortelių skaitytuvas be klaviatūros Nr.2</w:t>
            </w:r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Signo</w:t>
            </w:r>
            <w:proofErr w:type="spellEnd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40 ar lygiavertis, ne prastesnių parametrų kaip 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Nuotolinių  MIFARE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Classic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kortelių nuskaitymo atstumas ne blogesnis kaip 4 cm.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Nuotolinių HID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Prox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kortelių nuskaitymo atstumas ne blogesnis kaip 6 cm.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Naudojama srovė ne didesnė kaip 250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Darbo aplinka santykinės drėgmės diapazonas ne mažesnis kaip 5–95 %.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Darbo temperatūrų diapazonas ne mažesnis kaip -30°C – +60°C.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Apsauga nuo aplinkos poveikio ne žemesnė kaip IP65.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Matmenys ne didesni kaip 8 x 12,5 x 2,5 cm</w:t>
            </w:r>
          </w:p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Nuotolinių kortelių skaitytuvas turi turėti: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ir OSDP sąsajų palaikymą;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CE sertifikavimą;</w:t>
            </w:r>
          </w:p>
          <w:p w:rsidR="00C56E0A" w:rsidRPr="002A3BBC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Darbinį nuskaitymo dažnį – 13,56 MHz ir 125 </w:t>
            </w:r>
            <w:proofErr w:type="spellStart"/>
            <w:r w:rsidR="00C56E0A"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>kHz</w:t>
            </w:r>
            <w:proofErr w:type="spellEnd"/>
            <w:r w:rsidR="00C56E0A"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2A3BBC" w:rsidRPr="002A3BBC" w:rsidRDefault="002A3BB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A3B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</w:t>
            </w:r>
            <w:r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Neturi būti kitų belaidžių technologijų (</w:t>
            </w:r>
            <w:proofErr w:type="spellStart"/>
            <w:r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>bluetooth</w:t>
            </w:r>
            <w:proofErr w:type="spellEnd"/>
            <w:r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>), išskyrus reikalingas kortelių nuskaitymui;</w:t>
            </w:r>
          </w:p>
          <w:p w:rsidR="00C56E0A" w:rsidRPr="00C56E0A" w:rsidRDefault="00B37BA6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2A3B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</w:t>
            </w: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Garso ir vaizdo signalais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indikuojamą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kortelės nuskaitymo</w:t>
            </w:r>
            <w:r w:rsid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būseną;</w:t>
            </w:r>
          </w:p>
          <w:p w:rsidR="001607CB" w:rsidRPr="00EB019C" w:rsidRDefault="00B37BA6" w:rsidP="002A3BB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2A3B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Pr="00B37BA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Elektros maitinimo įtampą 12 VDC.</w:t>
            </w:r>
          </w:p>
        </w:tc>
        <w:tc>
          <w:tcPr>
            <w:tcW w:w="3366" w:type="dxa"/>
            <w:vAlign w:val="center"/>
          </w:tcPr>
          <w:p w:rsidR="001607CB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</w:t>
            </w:r>
          </w:p>
          <w:p w:rsidR="00B37BA6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12)...</w:t>
            </w:r>
          </w:p>
          <w:p w:rsidR="002A3BBC" w:rsidRDefault="002A3BBC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13)...</w:t>
            </w:r>
          </w:p>
          <w:p w:rsidR="00B37BA6" w:rsidRPr="000D6EE7" w:rsidRDefault="00B37BA6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817" w:type="dxa"/>
          </w:tcPr>
          <w:p w:rsidR="001607CB" w:rsidRPr="00EB019C" w:rsidRDefault="001607CB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27768A" w:rsidRPr="00EB019C" w:rsidTr="00B37BA6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27768A" w:rsidRPr="00EB019C" w:rsidRDefault="0027768A" w:rsidP="0027768A">
            <w:pPr>
              <w:numPr>
                <w:ilvl w:val="0"/>
                <w:numId w:val="2"/>
              </w:numPr>
              <w:ind w:left="313" w:hanging="284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7768A" w:rsidRPr="00DA2680" w:rsidRDefault="001607CB" w:rsidP="0027768A">
            <w:pPr>
              <w:tabs>
                <w:tab w:val="left" w:pos="1247"/>
              </w:tabs>
              <w:rPr>
                <w:rFonts w:ascii="Times New Roman" w:hAnsi="Times New Roman" w:cs="Times New Roman"/>
                <w:b/>
              </w:rPr>
            </w:pPr>
            <w:r w:rsidRPr="001607CB">
              <w:rPr>
                <w:rFonts w:ascii="Times New Roman" w:hAnsi="Times New Roman" w:cs="Times New Roman"/>
                <w:b/>
              </w:rPr>
              <w:t>Nuotolinių kortelių skaitytuvas su klaviatūra Nr. 2</w:t>
            </w:r>
          </w:p>
        </w:tc>
        <w:tc>
          <w:tcPr>
            <w:tcW w:w="4873" w:type="dxa"/>
            <w:shd w:val="clear" w:color="auto" w:fill="DEEAF6" w:themeFill="accent1" w:themeFillTint="33"/>
            <w:vAlign w:val="center"/>
          </w:tcPr>
          <w:p w:rsidR="002A3BBC" w:rsidRDefault="002A3BB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Signo</w:t>
            </w:r>
            <w:proofErr w:type="spellEnd"/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40K ar lygiavertis, ne prastesnių parametrų kaip:</w:t>
            </w:r>
          </w:p>
          <w:p w:rsidR="00C56E0A" w:rsidRPr="00C56E0A" w:rsidRDefault="00210385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Nuotolinių  MIFARE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Classic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kortelių nuskaitymo atstumas ne </w:t>
            </w:r>
            <w:r w:rsidR="00593F67">
              <w:rPr>
                <w:rFonts w:ascii="Times New Roman" w:eastAsia="Times New Roman" w:hAnsi="Times New Roman" w:cs="Times New Roman"/>
                <w:sz w:val="24"/>
                <w:szCs w:val="20"/>
              </w:rPr>
              <w:t>mažesnis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kaip 4 cm;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Nuotolinių HID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Prox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kortelių nuskaitymo atstumas ne </w:t>
            </w:r>
            <w:r w:rsidR="00593F67">
              <w:rPr>
                <w:rFonts w:ascii="Times New Roman" w:eastAsia="Times New Roman" w:hAnsi="Times New Roman" w:cs="Times New Roman"/>
                <w:sz w:val="24"/>
                <w:szCs w:val="20"/>
              </w:rPr>
              <w:t>mažesnis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kaip 6 cm;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Naudojama srovė ne didesnė kaip 250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mA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Darbo aplinka santykinės drėgmės diapazonas ne mažesnis kaip 5–95 %;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Darbo temperatūrų diapazonas ne mažesnis kaip -30°C – +60°C;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Apsauga nuo aplinkos poveikio ne žemesnė kaip IP65;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Matmenys ne didesni kaip 8 x 12,5 x 2,5 cm. </w:t>
            </w:r>
          </w:p>
          <w:p w:rsidR="00C56E0A" w:rsidRPr="00C56E0A" w:rsidRDefault="00C56E0A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Nuotolinių kortelių skaitytuvai turi turėti: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„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Wiegand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“ ir OSDP sąsajų palaikymą;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CE sertifikavimą;</w:t>
            </w:r>
          </w:p>
          <w:p w:rsid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Darbinis nuskaitymo dažnį – 13,56 MHz ir 125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kHz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2A3BBC" w:rsidRPr="002A3BBC" w:rsidRDefault="002A3BB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A3B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</w:t>
            </w:r>
            <w:r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Neturi būti kitų belaidžių technologijų (</w:t>
            </w:r>
            <w:proofErr w:type="spellStart"/>
            <w:r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>bluetooth</w:t>
            </w:r>
            <w:proofErr w:type="spellEnd"/>
            <w:r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>), išskyrus reikalingas kortelių nuskaitymui;</w:t>
            </w:r>
          </w:p>
          <w:p w:rsidR="00C56E0A" w:rsidRPr="00C56E0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A3B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2A3B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Pr="002A3B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2A3BBC">
              <w:rPr>
                <w:rFonts w:ascii="Times New Roman" w:eastAsia="Times New Roman" w:hAnsi="Times New Roman" w:cs="Times New Roman"/>
                <w:sz w:val="24"/>
                <w:szCs w:val="20"/>
              </w:rPr>
              <w:t>Garso ir vaizdo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signalais </w:t>
            </w:r>
            <w:proofErr w:type="spellStart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indikuojamą</w:t>
            </w:r>
            <w:proofErr w:type="spellEnd"/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kortelės nuskaitymo būseną;</w:t>
            </w:r>
          </w:p>
          <w:p w:rsidR="0027768A" w:rsidRDefault="00D026A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="002A3BB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  <w:r w:rsidRPr="00D026A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C56E0A" w:rsidRPr="00C56E0A">
              <w:rPr>
                <w:rFonts w:ascii="Times New Roman" w:eastAsia="Times New Roman" w:hAnsi="Times New Roman" w:cs="Times New Roman"/>
                <w:sz w:val="24"/>
                <w:szCs w:val="20"/>
              </w:rPr>
              <w:t>Elektros maitinimo įtampą 12 VDC.</w:t>
            </w:r>
          </w:p>
          <w:p w:rsidR="002A3BBC" w:rsidRPr="00EB019C" w:rsidRDefault="002A3BBC" w:rsidP="00C56E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366" w:type="dxa"/>
            <w:vAlign w:val="center"/>
          </w:tcPr>
          <w:p w:rsidR="0027768A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7)....</w:t>
            </w:r>
          </w:p>
          <w:p w:rsidR="000D6EE7" w:rsidRP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8)....</w:t>
            </w:r>
          </w:p>
          <w:p w:rsidR="000D6EE7" w:rsidRDefault="000D6EE7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D6EE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9)....</w:t>
            </w:r>
          </w:p>
          <w:p w:rsidR="00D026AC" w:rsidRDefault="00D026AC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10)...</w:t>
            </w:r>
          </w:p>
          <w:p w:rsidR="00D026AC" w:rsidRDefault="00D026AC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11)...</w:t>
            </w:r>
          </w:p>
          <w:p w:rsidR="00D026AC" w:rsidRDefault="00D026AC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12)...</w:t>
            </w:r>
          </w:p>
          <w:p w:rsidR="002A3BBC" w:rsidRPr="00EB019C" w:rsidRDefault="002A3BBC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13)...</w:t>
            </w:r>
          </w:p>
        </w:tc>
        <w:tc>
          <w:tcPr>
            <w:tcW w:w="2817" w:type="dxa"/>
          </w:tcPr>
          <w:p w:rsidR="0027768A" w:rsidRPr="00EB019C" w:rsidRDefault="0027768A" w:rsidP="0027768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57345" w:rsidRPr="00EB019C" w:rsidTr="00957345">
        <w:trPr>
          <w:trHeight w:val="208"/>
        </w:trPr>
        <w:tc>
          <w:tcPr>
            <w:tcW w:w="13750" w:type="dxa"/>
            <w:gridSpan w:val="5"/>
            <w:shd w:val="clear" w:color="auto" w:fill="auto"/>
            <w:vAlign w:val="center"/>
          </w:tcPr>
          <w:p w:rsidR="00957345" w:rsidRPr="001D2E90" w:rsidRDefault="00957345" w:rsidP="00BE16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1D2E90" w:rsidRPr="00EB019C" w:rsidTr="00546AE1">
        <w:trPr>
          <w:trHeight w:val="900"/>
        </w:trPr>
        <w:tc>
          <w:tcPr>
            <w:tcW w:w="13750" w:type="dxa"/>
            <w:gridSpan w:val="5"/>
            <w:shd w:val="clear" w:color="auto" w:fill="DEEAF6" w:themeFill="accent1" w:themeFillTint="33"/>
            <w:vAlign w:val="center"/>
          </w:tcPr>
          <w:p w:rsidR="001D2E90" w:rsidRPr="00EB019C" w:rsidRDefault="001D2E90" w:rsidP="00BE169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TIEKĖJAS, TEIKDAMAS </w:t>
            </w:r>
            <w:r w:rsidR="00BE1691" w:rsidRP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PIRKIMUI 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>PASIŪLYMĄ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r w:rsidRPr="00942D2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  <w:u w:val="single"/>
              </w:rPr>
              <w:t>PATVIRTINA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KAD VYKDANT PREKIŲ PIRKIMO-PARDAVIMO SUTARTĮ </w:t>
            </w:r>
            <w:r w:rsidRPr="00942D2D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</w:rPr>
              <w:t>PREKĖS ATITIKS ŠIUOS REIKALAVIMUS</w:t>
            </w:r>
            <w:r w:rsidRPr="003577F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EB019C" w:rsidRDefault="001D2E90" w:rsidP="001D2E9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Visa pateikiama įranga privalo būti nauja, negali būti atnaujinta, restauruota (angl.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refurbished</w:t>
            </w:r>
            <w:proofErr w:type="spellEnd"/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), pateikta nepažeistoje gamyklinėje pakuotėje.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EB019C" w:rsidRDefault="001D2E90" w:rsidP="009573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Įrangos dokumentai turi būti lietuvių arba anglų kalba. Užrašai ant įrenginio ir jo</w:t>
            </w:r>
            <w:r w:rsid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D2E90">
              <w:rPr>
                <w:rFonts w:ascii="Times New Roman" w:eastAsia="Times New Roman" w:hAnsi="Times New Roman" w:cs="Times New Roman"/>
                <w:sz w:val="24"/>
                <w:szCs w:val="20"/>
              </w:rPr>
              <w:t>dalių turi būti anglų arba lietuvių kalba.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turi pateikti techninės ar programinės įrangos visus nurodytus parametrus patikimai patvirtinančius dokumentus (pvz. gamintojo prekės aprašymą, nuorodą į gamintojo puslapį arba lygiavertį dokumentą)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Įrangos gamintojas ar jį kontroliuojantis asmuo negali būti registruoti (jeigu gamintojas ar jį kontroliuojantis asmuo yra fizinis asmuo – nuolat gyvenantis ar turintis pilietybę) Lietuvos Respublikos viešųjų pirkimų įstatymo 92 straipsnio 14 dalyje numatytame sąraše nurodytose valstybėse ar teritorijose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Tiekėjas, jų subtiekėjas ar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ar juos kontroliuojantis asmuo negali būti registruoti (jeigu tiekėjas, jo subtiekėjas,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ar jį kontroliuojantis asmuo yra fizinis asmuo – nuolat gyvenantis ar turintis pilietybę) Lietuvos Respublikos viešųjų pirkimų įstatymo 92 straipsnio 14 dalyje numatytame sąraše nurodytose valstybėse ar teritorijose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95734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Įranga, taip pat jos gamintojai, susijusios paslaugos ar darbai turi nekelti grėsmės</w:t>
            </w:r>
            <w:r w:rsidR="00957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nacionaliniam saugumui.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Tiekėjai, jų subtiekėjai ir ūkio subjektai, kurių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turi būti registruoti (jeigu tiekėjas, jų subtiekėjas ar ūkio subjektas, kurio </w:t>
            </w:r>
            <w:proofErr w:type="spellStart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>pajėgumais</w:t>
            </w:r>
            <w:proofErr w:type="spellEnd"/>
            <w:r w:rsidRPr="00DF2D14">
              <w:rPr>
                <w:rFonts w:ascii="Times New Roman" w:hAnsi="Times New Roman" w:cs="Times New Roman"/>
                <w:sz w:val="24"/>
                <w:szCs w:val="24"/>
              </w:rPr>
              <w:t xml:space="preserve"> remiamasi, yra fizinis asmuo – nuolat gyvenantis ar turintis pilietybę) Europos Sąjungos valstybėje narėje, Šiaurės Atlanto sutarties organizacijos valstybėje narėje ar trečiojoje šalyje, pasirašiusioje Lietuvos Respublikos viešųjų pirkimų įstatymo 17 straipsnio 4 dalyje nurodytus tarptautinius susitarimus</w:t>
            </w:r>
            <w:r w:rsidR="00BE1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1D2E90" w:rsidRPr="00DF2D14" w:rsidRDefault="001D2E90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Jeigu pirkimo metu bus atliekama patikra dėl atitikties nacionalinio saugumo interesams, tiekėjas privalo turėti ir Užsakovo reikalavimu jam pateikti tokiai patikrai atlikti reikalingus dokumentus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E90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1D2E90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9.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turi užtikrinti, kad įsigyjamoje įrangoje nebūtų įdiegta jokios papildomos programinės įrangos, kuri nėra būtina tokios įrangos funkcionalumui užtikrinti.</w:t>
            </w:r>
          </w:p>
          <w:p w:rsidR="001D2E90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Paaiškėjus, kad įrangoje yra įdiegta įtartina, šnipinėjimo ar kokia kita kenksminga programinė įranga, tai būtų traktuojama kaip reikalavimų neatitikimas ir sutarties sąlygų nesilaikymas:</w:t>
            </w:r>
          </w:p>
          <w:p w:rsidR="00DF2D14" w:rsidRPr="00DF2D14" w:rsidRDefault="00DF2D14" w:rsidP="00DF2D1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įranga grąžinama tiekėjui arba keičiama nauja adekvačia ar geresne, tačiau saugumo reikalavimus atitinkančia įranga;</w:t>
            </w:r>
          </w:p>
          <w:p w:rsidR="00DF2D14" w:rsidRPr="00DF2D14" w:rsidRDefault="00DF2D14" w:rsidP="00DF2D14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padengia pirkimo proceso metu pirkėjo patirtą materialinę žalą.</w:t>
            </w:r>
          </w:p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D14" w:rsidRPr="00EB019C" w:rsidTr="00B10B97">
        <w:trPr>
          <w:trHeight w:val="900"/>
        </w:trPr>
        <w:tc>
          <w:tcPr>
            <w:tcW w:w="829" w:type="dxa"/>
            <w:shd w:val="clear" w:color="auto" w:fill="DEEAF6" w:themeFill="accent1" w:themeFillTint="33"/>
            <w:vAlign w:val="center"/>
          </w:tcPr>
          <w:p w:rsidR="00DF2D14" w:rsidRPr="00EB019C" w:rsidRDefault="003577F5" w:rsidP="001D2E90">
            <w:pPr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10.</w:t>
            </w:r>
          </w:p>
        </w:tc>
        <w:tc>
          <w:tcPr>
            <w:tcW w:w="12921" w:type="dxa"/>
            <w:gridSpan w:val="4"/>
            <w:shd w:val="clear" w:color="auto" w:fill="DEEAF6" w:themeFill="accent1" w:themeFillTint="33"/>
            <w:vAlign w:val="center"/>
          </w:tcPr>
          <w:p w:rsidR="00DF2D14" w:rsidRPr="00DF2D14" w:rsidRDefault="00DF2D14" w:rsidP="00DF2D1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F2D14">
              <w:rPr>
                <w:rFonts w:ascii="Times New Roman" w:eastAsia="Times New Roman" w:hAnsi="Times New Roman" w:cs="Times New Roman"/>
                <w:sz w:val="24"/>
                <w:szCs w:val="20"/>
              </w:rPr>
              <w:t>Garantinė priežiūra:</w:t>
            </w:r>
          </w:p>
          <w:p w:rsidR="00DF2D14" w:rsidRPr="00957345" w:rsidRDefault="00DF2D14" w:rsidP="00E3121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tiekiamai įrangai turi būti suteikta garantija ne trumpesniam laikotarpiui, kaip</w:t>
            </w:r>
            <w:r w:rsidR="00957345"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tas, kurį suteikia įrangos gamintojas, tačiau ne trumpesniam kaip 24 </w:t>
            </w:r>
            <w:proofErr w:type="spellStart"/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mėn</w:t>
            </w:r>
            <w:proofErr w:type="spellEnd"/>
            <w:r w:rsidRPr="00957345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DF2D14" w:rsidRPr="00CE76C9" w:rsidRDefault="00DF2D14" w:rsidP="00DF6106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garantinio remonto trukmė – ne ilgiau kaip 30 kalendorinių dienų nuo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pranešimo apie įrangos gedimą. Jei sugedusios įrangos per šį laikotarpį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pataisyti neįmanoma, ji pakeičiama nauja;</w:t>
            </w:r>
          </w:p>
          <w:p w:rsidR="00DF2D14" w:rsidRPr="00CE76C9" w:rsidRDefault="00DF2D14" w:rsidP="0035383D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garantinis laikotarpis skaičiuojamas nuo priėmimo–perdavimo akto</w:t>
            </w:r>
            <w:r w:rsidR="00CE76C9"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pasirašymo datos.</w:t>
            </w:r>
          </w:p>
          <w:p w:rsidR="00DF2D14" w:rsidRPr="00EB019C" w:rsidRDefault="00DF2D14" w:rsidP="00CE76C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garantiniu laikotarpiu tiekėjas privalo savo lėšomis sugedusią įrangą pasiimti</w:t>
            </w:r>
            <w:r w:rsid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>iš Pirkėjo padalinio Vilniaus mieste, ją suremontuoti (ar pakeisti nauja) ir savo</w:t>
            </w:r>
            <w:r w:rsidR="00CE76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F2D14">
              <w:rPr>
                <w:rFonts w:ascii="Times New Roman" w:eastAsia="Times New Roman" w:hAnsi="Times New Roman" w:cs="Times New Roman"/>
                <w:sz w:val="24"/>
                <w:szCs w:val="20"/>
              </w:rPr>
              <w:t>lėšomis pristatyti Pirkėjui</w:t>
            </w:r>
            <w:r w:rsidR="00BE1691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</w:tbl>
    <w:p w:rsidR="00FE0CB8" w:rsidRDefault="00FE0CB8"/>
    <w:p w:rsidR="003279EB" w:rsidRDefault="003279EB"/>
    <w:p w:rsidR="003279EB" w:rsidRDefault="003279EB"/>
    <w:tbl>
      <w:tblPr>
        <w:tblW w:w="1144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1560"/>
        <w:gridCol w:w="240"/>
        <w:gridCol w:w="2779"/>
      </w:tblGrid>
      <w:tr w:rsidR="003279EB" w:rsidRPr="003279EB" w:rsidTr="003279EB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Tiekėjo arba jo įgalioto asmens pareigų pavadinimas)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(Parašas)</w:t>
            </w:r>
          </w:p>
        </w:tc>
        <w:tc>
          <w:tcPr>
            <w:tcW w:w="240" w:type="dxa"/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9EB" w:rsidRPr="003279EB" w:rsidRDefault="003279EB" w:rsidP="003279EB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3279EB">
              <w:rPr>
                <w:rFonts w:ascii="Times New Roman" w:eastAsia="Calibri" w:hAnsi="Times New Roman" w:cs="Times New Roman"/>
                <w:position w:val="6"/>
                <w:sz w:val="24"/>
                <w:szCs w:val="24"/>
                <w:lang w:val="lt-LT" w:eastAsia="lt-LT"/>
              </w:rPr>
              <w:t>(Vardas ir pavardė)</w:t>
            </w:r>
          </w:p>
        </w:tc>
      </w:tr>
    </w:tbl>
    <w:p w:rsidR="003279EB" w:rsidRPr="003279EB" w:rsidRDefault="003279EB" w:rsidP="003279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:rsidR="003279EB" w:rsidRPr="003279EB" w:rsidRDefault="003279EB" w:rsidP="003279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279EB">
        <w:rPr>
          <w:rFonts w:ascii="Times New Roman" w:eastAsia="Calibri" w:hAnsi="Times New Roman" w:cs="Times New Roman"/>
          <w:sz w:val="24"/>
          <w:szCs w:val="24"/>
          <w:lang w:val="lt-LT" w:eastAsia="lt-LT"/>
        </w:rPr>
        <w:t>A.V.</w:t>
      </w:r>
    </w:p>
    <w:p w:rsidR="003279EB" w:rsidRDefault="003279EB"/>
    <w:sectPr w:rsidR="003279EB" w:rsidSect="00AD659F">
      <w:headerReference w:type="default" r:id="rId8"/>
      <w:pgSz w:w="15840" w:h="12240" w:orient="landscape"/>
      <w:pgMar w:top="851" w:right="170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82" w:rsidRDefault="00550082" w:rsidP="00EB019C">
      <w:pPr>
        <w:spacing w:after="0" w:line="240" w:lineRule="auto"/>
      </w:pPr>
      <w:r>
        <w:separator/>
      </w:r>
    </w:p>
  </w:endnote>
  <w:endnote w:type="continuationSeparator" w:id="0">
    <w:p w:rsidR="00550082" w:rsidRDefault="00550082" w:rsidP="00E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82" w:rsidRDefault="00550082" w:rsidP="00EB019C">
      <w:pPr>
        <w:spacing w:after="0" w:line="240" w:lineRule="auto"/>
      </w:pPr>
      <w:r>
        <w:separator/>
      </w:r>
    </w:p>
  </w:footnote>
  <w:footnote w:type="continuationSeparator" w:id="0">
    <w:p w:rsidR="00550082" w:rsidRDefault="00550082" w:rsidP="00EB019C">
      <w:pPr>
        <w:spacing w:after="0" w:line="240" w:lineRule="auto"/>
      </w:pPr>
      <w:r>
        <w:continuationSeparator/>
      </w:r>
    </w:p>
  </w:footnote>
  <w:footnote w:id="1">
    <w:p w:rsidR="009E3150" w:rsidRPr="009E3150" w:rsidRDefault="009E3150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520A81">
        <w:rPr>
          <w:rFonts w:ascii="Times New Roman" w:hAnsi="Times New Roman" w:cs="Times New Roman"/>
          <w:i/>
          <w:lang w:val="lt-LT"/>
        </w:rPr>
        <w:t>Pasiūlymas teikiamas I</w:t>
      </w:r>
      <w:r>
        <w:rPr>
          <w:rFonts w:ascii="Times New Roman" w:hAnsi="Times New Roman" w:cs="Times New Roman"/>
          <w:i/>
          <w:lang w:val="lt-LT"/>
        </w:rPr>
        <w:t>I</w:t>
      </w:r>
      <w:r w:rsidRPr="00520A81">
        <w:rPr>
          <w:rFonts w:ascii="Times New Roman" w:hAnsi="Times New Roman" w:cs="Times New Roman"/>
          <w:i/>
          <w:lang w:val="lt-LT"/>
        </w:rPr>
        <w:t xml:space="preserve"> pirkimo daliai</w:t>
      </w:r>
      <w:r>
        <w:rPr>
          <w:rFonts w:ascii="Times New Roman" w:hAnsi="Times New Roman" w:cs="Times New Roman"/>
          <w:i/>
          <w:lang w:val="lt-LT"/>
        </w:rPr>
        <w:t>;</w:t>
      </w:r>
    </w:p>
  </w:footnote>
  <w:footnote w:id="2">
    <w:p w:rsidR="00A82171" w:rsidRPr="00AD659F" w:rsidRDefault="00A82171">
      <w:pPr>
        <w:pStyle w:val="FootnoteText"/>
        <w:rPr>
          <w:rFonts w:ascii="Times New Roman" w:hAnsi="Times New Roman" w:cs="Times New Roman"/>
          <w:b/>
          <w:i/>
          <w:u w:val="single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27768A">
        <w:rPr>
          <w:rFonts w:ascii="Times New Roman" w:hAnsi="Times New Roman" w:cs="Times New Roman"/>
          <w:i/>
          <w:lang w:val="lt-LT"/>
        </w:rPr>
        <w:t xml:space="preserve">„Elektroninių apsaugos sistemų įrangos Nr. </w:t>
      </w:r>
      <w:r w:rsidR="0027768A" w:rsidRPr="0027768A">
        <w:rPr>
          <w:rFonts w:ascii="Times New Roman" w:hAnsi="Times New Roman" w:cs="Times New Roman"/>
          <w:i/>
          <w:lang w:val="lt-LT"/>
        </w:rPr>
        <w:t>3</w:t>
      </w:r>
      <w:r w:rsidRPr="0027768A">
        <w:rPr>
          <w:rFonts w:ascii="Times New Roman" w:hAnsi="Times New Roman" w:cs="Times New Roman"/>
          <w:i/>
          <w:lang w:val="lt-LT"/>
        </w:rPr>
        <w:t xml:space="preserve"> techninė specifikacija”</w:t>
      </w:r>
      <w:r w:rsidR="00AD659F">
        <w:rPr>
          <w:rFonts w:ascii="Times New Roman" w:hAnsi="Times New Roman" w:cs="Times New Roman"/>
          <w:i/>
          <w:lang w:val="lt-LT"/>
        </w:rPr>
        <w:t xml:space="preserve">/ </w:t>
      </w:r>
      <w:r w:rsidR="00AD659F" w:rsidRPr="00AD659F">
        <w:rPr>
          <w:rFonts w:ascii="Times New Roman" w:hAnsi="Times New Roman" w:cs="Times New Roman"/>
          <w:b/>
          <w:i/>
          <w:u w:val="single"/>
          <w:lang w:val="lt-LT"/>
        </w:rPr>
        <w:t>2 prekių grupė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7724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019C" w:rsidRDefault="00EB019C" w:rsidP="00EB019C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BBC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                                  </w:t>
        </w:r>
      </w:p>
      <w:p w:rsidR="00AD659F" w:rsidRDefault="00EB019C" w:rsidP="00AD659F">
        <w:pPr>
          <w:pStyle w:val="Header"/>
          <w:jc w:val="right"/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</w:pPr>
        <w:r>
          <w:rPr>
            <w:noProof/>
          </w:rPr>
          <w:t xml:space="preserve">                                                                                                                                                 </w:t>
        </w:r>
        <w:r w:rsidRPr="00E878BD">
          <w:rPr>
            <w:rFonts w:ascii="Times New Roman" w:hAnsi="Times New Roman" w:cs="Times New Roman"/>
            <w:b/>
            <w:noProof/>
            <w:sz w:val="24"/>
            <w:szCs w:val="24"/>
          </w:rPr>
          <w:t>Pirkimo s</w:t>
        </w:r>
        <w:r w:rsidRPr="00E878BD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ąlygų </w:t>
        </w:r>
        <w:r w:rsidR="00AD659F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6</w:t>
        </w:r>
        <w:r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Pried</w:t>
        </w:r>
        <w:r w:rsidR="00AD659F"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a</w:t>
        </w:r>
        <w:r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>s</w:t>
        </w:r>
      </w:p>
      <w:p w:rsidR="00AD659F" w:rsidRPr="00AD659F" w:rsidRDefault="00EB019C" w:rsidP="00AD659F">
        <w:pPr>
          <w:pStyle w:val="Header"/>
          <w:jc w:val="right"/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</w:pPr>
        <w:r>
          <w:rPr>
            <w:rFonts w:ascii="Times New Roman" w:hAnsi="Times New Roman" w:cs="Times New Roman"/>
            <w:b/>
            <w:noProof/>
            <w:sz w:val="24"/>
            <w:szCs w:val="24"/>
            <w:lang w:val="lt-LT"/>
          </w:rPr>
          <w:t xml:space="preserve"> </w:t>
        </w:r>
        <w:r w:rsidR="00AD659F" w:rsidRPr="00AD659F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>„I</w:t>
        </w:r>
        <w:r w:rsidR="00AD659F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>I</w:t>
        </w:r>
        <w:r w:rsidR="00AD659F" w:rsidRPr="00AD659F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 xml:space="preserve"> pirkimo dalies „Pasiūlymo forma“ priedėlis</w:t>
        </w:r>
      </w:p>
      <w:p w:rsidR="00AD659F" w:rsidRPr="00AD659F" w:rsidRDefault="00AD659F" w:rsidP="00AD659F">
        <w:pPr>
          <w:pStyle w:val="Header"/>
          <w:jc w:val="right"/>
          <w:rPr>
            <w:rFonts w:ascii="Times New Roman" w:hAnsi="Times New Roman" w:cs="Times New Roman"/>
            <w:b/>
            <w:i/>
            <w:noProof/>
            <w:sz w:val="24"/>
            <w:szCs w:val="24"/>
          </w:rPr>
        </w:pPr>
        <w:r w:rsidRPr="00AD659F">
          <w:rPr>
            <w:rFonts w:ascii="Times New Roman" w:hAnsi="Times New Roman" w:cs="Times New Roman"/>
            <w:b/>
            <w:i/>
            <w:noProof/>
            <w:sz w:val="24"/>
            <w:szCs w:val="24"/>
            <w:lang w:val="lt-LT"/>
          </w:rPr>
          <w:t xml:space="preserve"> „Tiekėjo deklaracija dėl pasiūlymo atitikties Elektroninių apsaugos sistemų įrangos Nr. 3  techninei specifikacijai“</w:t>
        </w:r>
      </w:p>
      <w:p w:rsidR="00AD659F" w:rsidRPr="00AD659F" w:rsidRDefault="00AD659F" w:rsidP="00AD659F">
        <w:pPr>
          <w:pStyle w:val="Header"/>
          <w:jc w:val="center"/>
          <w:rPr>
            <w:rFonts w:ascii="Times New Roman" w:hAnsi="Times New Roman" w:cs="Times New Roman"/>
            <w:b/>
            <w:noProof/>
            <w:sz w:val="24"/>
            <w:szCs w:val="24"/>
          </w:rPr>
        </w:pPr>
      </w:p>
      <w:p w:rsidR="00EB019C" w:rsidRDefault="00550082" w:rsidP="00EB019C">
        <w:pPr>
          <w:pStyle w:val="Header"/>
          <w:jc w:val="center"/>
        </w:pPr>
      </w:p>
    </w:sdtContent>
  </w:sdt>
  <w:p w:rsidR="00EB019C" w:rsidRDefault="00EB0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473E"/>
    <w:multiLevelType w:val="hybridMultilevel"/>
    <w:tmpl w:val="DD2A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CB9"/>
    <w:multiLevelType w:val="hybridMultilevel"/>
    <w:tmpl w:val="FF4CC62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5484B6B"/>
    <w:multiLevelType w:val="multilevel"/>
    <w:tmpl w:val="4672FF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F3F0601"/>
    <w:multiLevelType w:val="hybridMultilevel"/>
    <w:tmpl w:val="F87AFE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9C"/>
    <w:rsid w:val="00045F82"/>
    <w:rsid w:val="000A0A3F"/>
    <w:rsid w:val="000A4BCE"/>
    <w:rsid w:val="000A7877"/>
    <w:rsid w:val="000B340C"/>
    <w:rsid w:val="000D6EE7"/>
    <w:rsid w:val="00155A17"/>
    <w:rsid w:val="001607CB"/>
    <w:rsid w:val="00172610"/>
    <w:rsid w:val="001D2E90"/>
    <w:rsid w:val="001F4D30"/>
    <w:rsid w:val="00210385"/>
    <w:rsid w:val="0027768A"/>
    <w:rsid w:val="002A3BBC"/>
    <w:rsid w:val="002F43CE"/>
    <w:rsid w:val="003279EB"/>
    <w:rsid w:val="003577F5"/>
    <w:rsid w:val="003B2638"/>
    <w:rsid w:val="004406A2"/>
    <w:rsid w:val="004608A3"/>
    <w:rsid w:val="00465A75"/>
    <w:rsid w:val="004E4532"/>
    <w:rsid w:val="00550082"/>
    <w:rsid w:val="00593F67"/>
    <w:rsid w:val="005E5A2F"/>
    <w:rsid w:val="005F7584"/>
    <w:rsid w:val="006844DC"/>
    <w:rsid w:val="006A5C34"/>
    <w:rsid w:val="006B1F2F"/>
    <w:rsid w:val="00750767"/>
    <w:rsid w:val="00777977"/>
    <w:rsid w:val="00843700"/>
    <w:rsid w:val="008810C4"/>
    <w:rsid w:val="00942D2D"/>
    <w:rsid w:val="00957345"/>
    <w:rsid w:val="009741A0"/>
    <w:rsid w:val="00981174"/>
    <w:rsid w:val="009A73DA"/>
    <w:rsid w:val="009A7F6A"/>
    <w:rsid w:val="009E3150"/>
    <w:rsid w:val="009F065E"/>
    <w:rsid w:val="00A109AC"/>
    <w:rsid w:val="00A23888"/>
    <w:rsid w:val="00A82171"/>
    <w:rsid w:val="00A87C77"/>
    <w:rsid w:val="00A9612A"/>
    <w:rsid w:val="00AD659F"/>
    <w:rsid w:val="00AE4D45"/>
    <w:rsid w:val="00B10B97"/>
    <w:rsid w:val="00B37BA6"/>
    <w:rsid w:val="00B75560"/>
    <w:rsid w:val="00B86C40"/>
    <w:rsid w:val="00B86F0D"/>
    <w:rsid w:val="00BE1691"/>
    <w:rsid w:val="00C43153"/>
    <w:rsid w:val="00C54198"/>
    <w:rsid w:val="00C56E0A"/>
    <w:rsid w:val="00CE76C9"/>
    <w:rsid w:val="00D026AC"/>
    <w:rsid w:val="00DC2A85"/>
    <w:rsid w:val="00DD6469"/>
    <w:rsid w:val="00DF2D14"/>
    <w:rsid w:val="00E0585E"/>
    <w:rsid w:val="00E44322"/>
    <w:rsid w:val="00E4774D"/>
    <w:rsid w:val="00E67F9A"/>
    <w:rsid w:val="00EB019C"/>
    <w:rsid w:val="00F27634"/>
    <w:rsid w:val="00F31F48"/>
    <w:rsid w:val="00F64482"/>
    <w:rsid w:val="00FA63C6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E291"/>
  <w15:chartTrackingRefBased/>
  <w15:docId w15:val="{8589BD7D-E2BA-4F8B-B376-67C8527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1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01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19C"/>
  </w:style>
  <w:style w:type="paragraph" w:styleId="Footer">
    <w:name w:val="footer"/>
    <w:basedOn w:val="Normal"/>
    <w:link w:val="FooterChar"/>
    <w:uiPriority w:val="99"/>
    <w:unhideWhenUsed/>
    <w:rsid w:val="00EB019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19C"/>
  </w:style>
  <w:style w:type="table" w:styleId="TableGrid">
    <w:name w:val="Table Grid"/>
    <w:basedOn w:val="TableNormal"/>
    <w:uiPriority w:val="59"/>
    <w:rsid w:val="00EB019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D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21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1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2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CCB9-BCD8-4819-8A25-76239FA9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2025-07-31T14:23:00Z</dcterms:created>
  <dcterms:modified xsi:type="dcterms:W3CDTF">2025-08-04T08:11:00Z</dcterms:modified>
</cp:coreProperties>
</file>