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2A27CCD1" w:rsidR="00771D04" w:rsidRPr="00BC645D" w:rsidRDefault="0083112E" w:rsidP="00771D04">
      <w:pPr>
        <w:jc w:val="center"/>
        <w:rPr>
          <w:sz w:val="18"/>
          <w:szCs w:val="18"/>
        </w:rPr>
      </w:pPr>
      <w:r>
        <w:rPr>
          <w:b/>
          <w:bCs/>
          <w:sz w:val="18"/>
          <w:szCs w:val="18"/>
        </w:rPr>
        <w:t xml:space="preserve">DĖL </w:t>
      </w:r>
      <w:r w:rsidR="00A15B7C">
        <w:rPr>
          <w:b/>
          <w:bCs/>
          <w:sz w:val="18"/>
          <w:szCs w:val="18"/>
        </w:rPr>
        <w:t>MINŲ IEŠKIKLIŲ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7E59FB01"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2C76B8">
        <w:rPr>
          <w:color w:val="FF0000"/>
          <w:sz w:val="18"/>
          <w:szCs w:val="18"/>
        </w:rPr>
        <w:t>ne</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0B006B14" w14:textId="77777777" w:rsidR="00A15B7C" w:rsidRPr="00A15B7C" w:rsidRDefault="00A15B7C" w:rsidP="00A15B7C">
            <w:pPr>
              <w:widowControl w:val="0"/>
              <w:suppressAutoHyphens/>
              <w:rPr>
                <w:rFonts w:eastAsia="Calibri"/>
                <w:b/>
                <w:iCs/>
                <w:color w:val="000000"/>
                <w:lang w:eastAsia="lt-LT"/>
              </w:rPr>
            </w:pPr>
            <w:r w:rsidRPr="00A15B7C">
              <w:rPr>
                <w:rFonts w:eastAsia="Calibri"/>
                <w:b/>
                <w:iCs/>
                <w:color w:val="000000"/>
                <w:lang w:eastAsia="lt-LT"/>
              </w:rPr>
              <w:t>1.Techninės savybės.</w:t>
            </w:r>
          </w:p>
          <w:p w14:paraId="2A188634" w14:textId="77777777" w:rsidR="00A15B7C" w:rsidRPr="00A15B7C" w:rsidRDefault="00A15B7C" w:rsidP="00A15B7C">
            <w:pPr>
              <w:widowControl w:val="0"/>
              <w:suppressAutoHyphens/>
              <w:rPr>
                <w:rFonts w:eastAsia="Calibri"/>
                <w:iCs/>
                <w:color w:val="000000"/>
                <w:lang w:eastAsia="lt-LT"/>
              </w:rPr>
            </w:pPr>
            <w:r w:rsidRPr="00A15B7C">
              <w:rPr>
                <w:rFonts w:eastAsia="Calibri"/>
                <w:iCs/>
                <w:color w:val="000000"/>
                <w:lang w:eastAsia="lt-LT"/>
              </w:rPr>
              <w:t xml:space="preserve">Reikalavimai minų ieškikliui: </w:t>
            </w:r>
          </w:p>
          <w:p w14:paraId="09E14B9D"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1.1. Minų ieškiklis turi aptikti tipines </w:t>
            </w:r>
            <w:proofErr w:type="spellStart"/>
            <w:r w:rsidRPr="00A15B7C">
              <w:rPr>
                <w:rFonts w:eastAsia="Calibri"/>
                <w:iCs/>
                <w:color w:val="000000"/>
                <w:lang w:eastAsia="lt-LT"/>
              </w:rPr>
              <w:t>priešpėstines</w:t>
            </w:r>
            <w:proofErr w:type="spellEnd"/>
            <w:r w:rsidRPr="00A15B7C">
              <w:rPr>
                <w:rFonts w:eastAsia="Calibri"/>
                <w:iCs/>
                <w:color w:val="000000"/>
                <w:lang w:eastAsia="lt-LT"/>
              </w:rPr>
              <w:t xml:space="preserve"> ir prieštankines minas bei kitus standartinius sprogmenis ir objektus, kurių konstrukcijoje yra metalinių komponentų.</w:t>
            </w:r>
          </w:p>
          <w:p w14:paraId="231E8DE5"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1.2. Minų ieškiklio veikimo principas ir sandara turi </w:t>
            </w:r>
            <w:r w:rsidRPr="00A15B7C">
              <w:rPr>
                <w:rFonts w:eastAsia="Calibri"/>
                <w:iCs/>
                <w:color w:val="000000"/>
                <w:lang w:eastAsia="lt-LT"/>
              </w:rPr>
              <w:lastRenderedPageBreak/>
              <w:t>užtikrinti saugų ir nepriekaištingą veikimą įvairiomis aplinkos sąlygomis (dulkės, smėlio audros, vanduo, lietus, sniegas), aptinkant tipines prieštankines minas ne mažesniame kaip 45 cm gylyje.</w:t>
            </w:r>
          </w:p>
          <w:p w14:paraId="66364515"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1.3. Minų ieškiklis turi būti efektyviai ir patogiai naudojamas atvirose vietovėse, tankioje augalijoje, uolėtame paviršiuje, purve, sekliame vandenyje, miške ar miesto sąlygomis.</w:t>
            </w:r>
          </w:p>
          <w:p w14:paraId="4B052DFD"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1.4. Minų ieškiklis turi būti tamsiai žalios matinės (maskuojamos) spalvos, nedažytas.</w:t>
            </w:r>
          </w:p>
          <w:p w14:paraId="20C22A50"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1.5. Minų ieškiklio dalys neturi atspindėti šviesos (neblizgėti).</w:t>
            </w:r>
          </w:p>
          <w:p w14:paraId="53DE0C03"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1.6. Minų ieškiklis turi būti pritaikytas dešiniarankiams ir </w:t>
            </w:r>
            <w:proofErr w:type="spellStart"/>
            <w:r w:rsidRPr="00A15B7C">
              <w:rPr>
                <w:rFonts w:eastAsia="Calibri"/>
                <w:iCs/>
                <w:color w:val="000000"/>
                <w:lang w:eastAsia="lt-LT"/>
              </w:rPr>
              <w:t>kariarankiams</w:t>
            </w:r>
            <w:proofErr w:type="spellEnd"/>
            <w:r w:rsidRPr="00A15B7C">
              <w:rPr>
                <w:rFonts w:eastAsia="Calibri"/>
                <w:iCs/>
                <w:color w:val="000000"/>
                <w:lang w:eastAsia="lt-LT"/>
              </w:rPr>
              <w:t>.</w:t>
            </w:r>
          </w:p>
          <w:p w14:paraId="087FBDD6"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1.7. Parengto darbui minų ieškiklio svoris be priedų negali būti sunkesnis kaip 3 kg.</w:t>
            </w:r>
          </w:p>
          <w:p w14:paraId="27A2800D"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1.8. Minų ieškiklio su visais priedais svoris negali būti sunkesnis kaip 9 kg.</w:t>
            </w:r>
          </w:p>
          <w:p w14:paraId="20174D3D"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1.9. Minų ieškiklio ilgis turi būti reguliuojamas – pritaikytas naudoti įvairaus ūgio operatoriams.</w:t>
            </w:r>
          </w:p>
          <w:p w14:paraId="38FAE0D2"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1.11. Minų </w:t>
            </w:r>
            <w:r w:rsidRPr="00A15B7C">
              <w:rPr>
                <w:rFonts w:eastAsia="Calibri"/>
                <w:iCs/>
                <w:color w:val="000000"/>
                <w:lang w:eastAsia="lt-LT"/>
              </w:rPr>
              <w:lastRenderedPageBreak/>
              <w:t>ieškiklis negali būti vienetinis (eksperimentinis) modelis.</w:t>
            </w:r>
          </w:p>
          <w:p w14:paraId="0B8FB2F5"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1.12. Apie aptiktą miną ir kitus objektus, kurių sudėtyje yra metalinių komponentų, signalas turi būti duodamas garsu (garso lygis turi būti reguliuojamas) ir vaizdu. Galimybė pasirinkti vieną norimą būdą. Turi būti atskirai prijungiamos ausinės tyliam darbui su detektoriumi.</w:t>
            </w:r>
          </w:p>
          <w:p w14:paraId="22D10C3D"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1.13. Minų ieškiklis turi būti vientisas – minų paieškos elementas ir informacijos apdorojimo ir maitinimo blokai neturi būti sujungti tarpusavyje atskiru laidu, jie turi būti sumontuoti ant reguliuojamo ilgio strypo.</w:t>
            </w:r>
          </w:p>
          <w:p w14:paraId="48CF5295" w14:textId="77777777" w:rsidR="00A15B7C" w:rsidRPr="00A15B7C" w:rsidRDefault="00A15B7C" w:rsidP="00A15B7C">
            <w:pPr>
              <w:widowControl w:val="0"/>
              <w:suppressAutoHyphens/>
              <w:rPr>
                <w:rFonts w:eastAsia="Calibri"/>
                <w:b/>
                <w:iCs/>
                <w:color w:val="000000"/>
                <w:lang w:eastAsia="lt-LT"/>
              </w:rPr>
            </w:pPr>
            <w:r w:rsidRPr="00A15B7C">
              <w:rPr>
                <w:rFonts w:eastAsia="Calibri"/>
                <w:b/>
                <w:iCs/>
                <w:color w:val="000000"/>
                <w:lang w:eastAsia="lt-LT"/>
              </w:rPr>
              <w:t>2. Komplektacija:</w:t>
            </w:r>
          </w:p>
          <w:p w14:paraId="549FF079"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2.1. Standi, sandariai uždaroma, plastikinė dėžė ar kuprinė minų ieškikliui ir visiems komplektą sudarantiems priedams laikyti ir transportuoti.</w:t>
            </w:r>
          </w:p>
          <w:p w14:paraId="16D943B3"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2.2. Du komplektai akumuliatorių baterijų.</w:t>
            </w:r>
          </w:p>
          <w:p w14:paraId="2806F987"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2.3. Ausinės su prijungimo laidu ir fiksavimo ant galvos sistema (toliau – ausinės.</w:t>
            </w:r>
          </w:p>
          <w:p w14:paraId="2E9F7F2B"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lastRenderedPageBreak/>
              <w:t>2.4. Testavimo etalonai jutikliui testuoti.</w:t>
            </w:r>
          </w:p>
          <w:p w14:paraId="37DE6745"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2.5. Akumuliatorių baterijų įkroviklis pritaikytas naudoti 110-240 V / 50-60 Hz kintamą elektros srovę ir 12-30 V nuolatinę elektros srovę įjungiamą naudojantis automobilio elektros šaltiniais.</w:t>
            </w:r>
          </w:p>
          <w:p w14:paraId="6A2C82F4"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2.6. Nešiojimui skirta kuprinė, kurioje turi tilpti ir atskirus skyrius turėti minų ieškiklis, papildomas baterijų komplektas, įkroviklis, ausinės.</w:t>
            </w:r>
          </w:p>
          <w:p w14:paraId="48A8B005"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2.7. Minų ieškiklio korpusas ir visi komponentai turi būti pagaminti iš smūgiams atsparios medžiagos.</w:t>
            </w:r>
          </w:p>
          <w:p w14:paraId="0A758071"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2.8. Minų ieškiklis turi aptikti objektus, turinčius metalinių komponentų.</w:t>
            </w:r>
          </w:p>
          <w:p w14:paraId="58CD339C"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2.9. Minų ieškiklio akumuliatorių baterijos turi veikti ne trumpiau kaip 10 val., naudojant įkraunamąjį elektros šaltinį A1-C1 temperatūros aplinkoje (NATO STANAG 4370).</w:t>
            </w:r>
          </w:p>
          <w:p w14:paraId="5341C93A"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2.10. Minų ieškiklis turi turėti nuolatinę </w:t>
            </w:r>
            <w:proofErr w:type="spellStart"/>
            <w:r w:rsidRPr="00A15B7C">
              <w:rPr>
                <w:rFonts w:eastAsia="Calibri"/>
                <w:iCs/>
                <w:color w:val="000000"/>
                <w:lang w:eastAsia="lt-LT"/>
              </w:rPr>
              <w:t>savidiagnostikos</w:t>
            </w:r>
            <w:proofErr w:type="spellEnd"/>
            <w:r w:rsidRPr="00A15B7C">
              <w:rPr>
                <w:rFonts w:eastAsia="Calibri"/>
                <w:iCs/>
                <w:color w:val="000000"/>
                <w:lang w:eastAsia="lt-LT"/>
              </w:rPr>
              <w:t xml:space="preserve"> funkciją, nedelsiant informuojančią vartotoją apie atsiradusius gedimus.</w:t>
            </w:r>
          </w:p>
          <w:p w14:paraId="1DD1A2F2"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2.11. Minų </w:t>
            </w:r>
            <w:r w:rsidRPr="00A15B7C">
              <w:rPr>
                <w:rFonts w:eastAsia="Calibri"/>
                <w:iCs/>
                <w:color w:val="000000"/>
                <w:lang w:eastAsia="lt-LT"/>
              </w:rPr>
              <w:lastRenderedPageBreak/>
              <w:t>ieškiklio jautrumas turi būti reguliuojamas.</w:t>
            </w:r>
          </w:p>
          <w:p w14:paraId="0E64CE79"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2.12. Minų ieškiklis turi turėti automatinę kalibravimo funkciją.</w:t>
            </w:r>
          </w:p>
          <w:p w14:paraId="4C51A00B"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2.13. Įkraunamo elektros šaltinio įkrovimų ciklų skaičius turi būti ne mažiau kaip 1000 kartų.</w:t>
            </w:r>
          </w:p>
          <w:p w14:paraId="7275A6A7"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2.14. Minų ieškiklis turi būti pritaikytas naudotis šliaužiant, klūpint, </w:t>
            </w:r>
            <w:r w:rsidRPr="00A15B7C">
              <w:rPr>
                <w:rFonts w:eastAsia="Calibri"/>
                <w:iCs/>
                <w:color w:val="000000"/>
                <w:lang w:eastAsia="lt-LT"/>
              </w:rPr>
              <w:br/>
              <w:t>stovint.</w:t>
            </w:r>
          </w:p>
          <w:p w14:paraId="26873AA6" w14:textId="77777777" w:rsidR="00A15B7C" w:rsidRPr="00A15B7C" w:rsidRDefault="00A15B7C" w:rsidP="00A15B7C">
            <w:pPr>
              <w:widowControl w:val="0"/>
              <w:suppressAutoHyphens/>
              <w:jc w:val="both"/>
              <w:rPr>
                <w:rFonts w:eastAsia="Calibri"/>
                <w:b/>
                <w:iCs/>
                <w:color w:val="000000"/>
                <w:lang w:eastAsia="lt-LT"/>
              </w:rPr>
            </w:pPr>
            <w:r w:rsidRPr="00A15B7C">
              <w:rPr>
                <w:rFonts w:eastAsia="Calibri"/>
                <w:b/>
                <w:iCs/>
                <w:color w:val="000000"/>
                <w:lang w:eastAsia="lt-LT"/>
              </w:rPr>
              <w:t>3. Tinkamumas:</w:t>
            </w:r>
          </w:p>
          <w:p w14:paraId="2CE1AE06"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3.1. Minų ieškiklis turi atlikti MIL STD 810 standartų reikalavimus, turėti NATO </w:t>
            </w:r>
            <w:proofErr w:type="spellStart"/>
            <w:r w:rsidRPr="00A15B7C">
              <w:rPr>
                <w:rFonts w:eastAsia="Calibri"/>
                <w:iCs/>
                <w:color w:val="000000"/>
                <w:lang w:eastAsia="lt-LT"/>
              </w:rPr>
              <w:t>Stock</w:t>
            </w:r>
            <w:proofErr w:type="spellEnd"/>
            <w:r w:rsidRPr="00A15B7C">
              <w:rPr>
                <w:rFonts w:eastAsia="Calibri"/>
                <w:iCs/>
                <w:color w:val="000000"/>
                <w:lang w:eastAsia="lt-LT"/>
              </w:rPr>
              <w:t xml:space="preserve"> </w:t>
            </w:r>
            <w:proofErr w:type="spellStart"/>
            <w:r w:rsidRPr="00A15B7C">
              <w:rPr>
                <w:rFonts w:eastAsia="Calibri"/>
                <w:iCs/>
                <w:color w:val="000000"/>
                <w:lang w:eastAsia="lt-LT"/>
              </w:rPr>
              <w:t>Number</w:t>
            </w:r>
            <w:proofErr w:type="spellEnd"/>
            <w:r w:rsidRPr="00A15B7C">
              <w:rPr>
                <w:rFonts w:eastAsia="Calibri"/>
                <w:iCs/>
                <w:color w:val="000000"/>
                <w:lang w:eastAsia="lt-LT"/>
              </w:rPr>
              <w:t xml:space="preserve"> ir būti tinkamas naudoti pagal paskirtį.</w:t>
            </w:r>
          </w:p>
          <w:p w14:paraId="68DDED1A"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3.2. Pakuotė turi atlikti Jungtinių Tautų taisykles transporto priemonėms ir karinės įrangos gabenimo saugumo reikalavimus.</w:t>
            </w:r>
          </w:p>
          <w:p w14:paraId="24DDDEE1"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3.3. Minų ieškiklis turi būti komplektuojamas su visais įrankių komplektais, reikalingais remontui ir priežiūrai.</w:t>
            </w:r>
          </w:p>
          <w:p w14:paraId="6EBC2ECF" w14:textId="77777777" w:rsidR="00A15B7C" w:rsidRPr="00A15B7C" w:rsidRDefault="00A15B7C" w:rsidP="00A15B7C">
            <w:pPr>
              <w:widowControl w:val="0"/>
              <w:suppressAutoHyphens/>
              <w:jc w:val="both"/>
              <w:rPr>
                <w:rFonts w:eastAsia="Calibri"/>
                <w:b/>
                <w:iCs/>
                <w:color w:val="000000"/>
                <w:lang w:eastAsia="lt-LT"/>
              </w:rPr>
            </w:pPr>
            <w:r w:rsidRPr="00A15B7C">
              <w:rPr>
                <w:rFonts w:eastAsia="Calibri"/>
                <w:b/>
                <w:iCs/>
                <w:color w:val="000000"/>
                <w:lang w:eastAsia="lt-LT"/>
              </w:rPr>
              <w:t>4. Reikalavimai pardavėjui:</w:t>
            </w:r>
          </w:p>
          <w:p w14:paraId="445CA992"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4.1. Techniniai dokumentai. Tiekėjas turi pateikti minų ieškiklio eksploataciją, techninę priežiūrą ir remontą reglamentuojančią dokumentaciją, </w:t>
            </w:r>
            <w:r w:rsidRPr="00A15B7C">
              <w:rPr>
                <w:rFonts w:eastAsia="Calibri"/>
                <w:iCs/>
                <w:color w:val="000000"/>
                <w:lang w:eastAsia="lt-LT"/>
              </w:rPr>
              <w:lastRenderedPageBreak/>
              <w:t>neapsiribojant sudedamųjų dalių aprašymu, anglų kalba ir lietuvių kalba (spausdinta kopija ir skaitmeninė laikmena).</w:t>
            </w:r>
          </w:p>
          <w:p w14:paraId="31E20EF2"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4.2. Tiekėjas atsako už produkto kokybės kontrolę gamybos metu ir turi pateikti tik tokias prekes, kurios atitinka sutarties reikalavimus, kai būtina, turi pateikti objektyvius tokios atitikties </w:t>
            </w:r>
            <w:proofErr w:type="spellStart"/>
            <w:r w:rsidRPr="00A15B7C">
              <w:rPr>
                <w:rFonts w:eastAsia="Calibri"/>
                <w:iCs/>
                <w:color w:val="000000"/>
                <w:lang w:eastAsia="lt-LT"/>
              </w:rPr>
              <w:t>įrodymus</w:t>
            </w:r>
            <w:proofErr w:type="spellEnd"/>
            <w:r w:rsidRPr="00A15B7C">
              <w:rPr>
                <w:rFonts w:eastAsia="Calibri"/>
                <w:iCs/>
                <w:color w:val="000000"/>
                <w:lang w:eastAsia="lt-LT"/>
              </w:rPr>
              <w:t>.</w:t>
            </w:r>
          </w:p>
          <w:p w14:paraId="486429A3"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4.3. Tiekėjas turi atlikti visus patikrinimus ir bandymus, kurie reikalingi įrodyti produkto atitikimą sutarties reikalavimus.</w:t>
            </w:r>
          </w:p>
          <w:p w14:paraId="459E363E"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4.4. Tiekėjas privalo pateikti komplekto ne žemesnės kaip IP54W </w:t>
            </w:r>
            <w:proofErr w:type="spellStart"/>
            <w:r w:rsidRPr="00A15B7C">
              <w:rPr>
                <w:rFonts w:eastAsia="Calibri"/>
                <w:iCs/>
                <w:color w:val="000000"/>
                <w:lang w:eastAsia="lt-LT"/>
              </w:rPr>
              <w:t>hermetiškumo</w:t>
            </w:r>
            <w:proofErr w:type="spellEnd"/>
            <w:r w:rsidRPr="00A15B7C">
              <w:rPr>
                <w:rFonts w:eastAsia="Calibri"/>
                <w:iCs/>
                <w:color w:val="000000"/>
                <w:lang w:eastAsia="lt-LT"/>
              </w:rPr>
              <w:t xml:space="preserve"> apsaugos nuo dulkių ir vandens laboratorinių bandymų arba ne žemesnio atsparumo bandymų sertifikato dokumentus (popierinę versiją anglų kalba).</w:t>
            </w:r>
          </w:p>
          <w:p w14:paraId="6193D52B"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4.5. Turi būti pateikta tiekėjo produkto atitikties deklaracija pagal ISO 17050.</w:t>
            </w:r>
          </w:p>
          <w:p w14:paraId="7F65BAFE"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 xml:space="preserve">Patvirtinamieji dokumentai parengiami, saugomi, kontroliuojami ir laikomi taip, kad juos būtų galima </w:t>
            </w:r>
            <w:r w:rsidRPr="00A15B7C">
              <w:rPr>
                <w:rFonts w:eastAsia="Calibri"/>
                <w:iCs/>
                <w:color w:val="000000"/>
                <w:lang w:eastAsia="lt-LT"/>
              </w:rPr>
              <w:lastRenderedPageBreak/>
              <w:t>patikrinti pagal tiekėjo atitikties deklaraciją.</w:t>
            </w:r>
          </w:p>
          <w:p w14:paraId="7CC3A372"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4.6. Tiekėjo atitikties deklaracijoje turi būti informacija apie atliktus bandymus, testavimus, patvirtinančius atitikimą pagal nustatytus reikalavimus.</w:t>
            </w:r>
          </w:p>
          <w:p w14:paraId="7862524F"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4.7. Atitikties deklaraciją turi būti pateikta šios prekės gamintojo.</w:t>
            </w:r>
          </w:p>
          <w:p w14:paraId="6EFC9150"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4.8. Tiekėjas turi užtikrinti minų ieškiklio 24 mėn. garantinį laikotarpį nuo pirkėjo ir pardavėjo priėmimo – perdavimo akto pasirašymo datos ir tiekėjas turi įsipareigoti per šį laikotarpį operatyviai (per ne ilgesnį kaip 1 mėnesio terminą) šalinti atsiradusius gedimus arba pakeisti sugedusius komponentus veikiančiais.</w:t>
            </w:r>
          </w:p>
          <w:p w14:paraId="6A5FAA90"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t>4.9. Garantiniu laikotarpiu ir šiam laikotarpiui pasibaigus, tiekėjas turi užtikrinti minų ieškiklio remontą, taip pat turi būti užtikrintas pakartotinis minų ieškiklio testavimas, norint pratęsti garantinį laikotarpį, jeigu minų ieškiklis buvo taisomas ar keičiami jame esantys komponentai.</w:t>
            </w:r>
          </w:p>
          <w:p w14:paraId="731F43EE" w14:textId="77777777" w:rsidR="00A15B7C" w:rsidRPr="00A15B7C" w:rsidRDefault="00A15B7C" w:rsidP="00A15B7C">
            <w:pPr>
              <w:widowControl w:val="0"/>
              <w:suppressAutoHyphens/>
              <w:jc w:val="both"/>
              <w:rPr>
                <w:rFonts w:eastAsia="Calibri"/>
                <w:iCs/>
                <w:color w:val="000000"/>
                <w:lang w:eastAsia="lt-LT"/>
              </w:rPr>
            </w:pPr>
            <w:r w:rsidRPr="00A15B7C">
              <w:rPr>
                <w:rFonts w:eastAsia="Calibri"/>
                <w:iCs/>
                <w:color w:val="000000"/>
                <w:lang w:eastAsia="lt-LT"/>
              </w:rPr>
              <w:lastRenderedPageBreak/>
              <w:t>4.10. Pristatyti į Lietuvos kariuomenės Sausumos pajėgų Majoro Juozo Lukšos mokymo centrą, pateikti naudojimo, priežiūros ir saugos instrukcijas lietuvių kalba.</w:t>
            </w:r>
          </w:p>
          <w:p w14:paraId="5CA62FBA" w14:textId="117DF7B3" w:rsidR="007D07A5" w:rsidRPr="00DA4A0B" w:rsidRDefault="00A15B7C" w:rsidP="00A15B7C">
            <w:pPr>
              <w:rPr>
                <w:sz w:val="18"/>
                <w:szCs w:val="18"/>
              </w:rPr>
            </w:pPr>
            <w:r w:rsidRPr="00A15B7C">
              <w:rPr>
                <w:rFonts w:eastAsia="Calibri"/>
                <w:iCs/>
                <w:color w:val="000000"/>
                <w:lang w:eastAsia="lt-LT"/>
              </w:rPr>
              <w:t>4.11. Minų ieškiklis turi būti sumontuotas pardavėjo medžiagomis ir lėšomis.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1244521D" w:rsidR="007D07A5" w:rsidRPr="0083112E" w:rsidRDefault="00BE231C" w:rsidP="007D07A5">
            <w:pPr>
              <w:rPr>
                <w:sz w:val="18"/>
                <w:szCs w:val="18"/>
              </w:rPr>
            </w:pPr>
            <w:r>
              <w:rPr>
                <w:sz w:val="18"/>
                <w:szCs w:val="18"/>
              </w:rPr>
              <w:t>4</w:t>
            </w:r>
            <w:bookmarkStart w:id="0" w:name="_GoBack"/>
            <w:bookmarkEnd w:id="0"/>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lastRenderedPageBreak/>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BE231C"/>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8D58-F3D7-4C99-ACB9-196C8EAA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1339</Words>
  <Characters>7636</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25</cp:revision>
  <cp:lastPrinted>2017-02-07T13:26:00Z</cp:lastPrinted>
  <dcterms:created xsi:type="dcterms:W3CDTF">2024-01-10T10:35:00Z</dcterms:created>
  <dcterms:modified xsi:type="dcterms:W3CDTF">2025-07-23T05:48:00Z</dcterms:modified>
</cp:coreProperties>
</file>