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3E5E8E">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570"/>
        <w:gridCol w:w="1979"/>
        <w:gridCol w:w="9901"/>
        <w:gridCol w:w="2713"/>
      </w:tblGrid>
      <w:tr w:rsidR="00FA036A" w:rsidRPr="003E5E8E" w14:paraId="65AE03FD" w14:textId="77777777" w:rsidTr="6FCCA040">
        <w:tc>
          <w:tcPr>
            <w:tcW w:w="15163" w:type="dxa"/>
            <w:gridSpan w:val="4"/>
            <w:shd w:val="clear" w:color="auto" w:fill="E2EFD9"/>
          </w:tcPr>
          <w:p w14:paraId="4A34C673" w14:textId="77777777" w:rsidR="00FA036A" w:rsidRPr="003E5E8E" w:rsidRDefault="00FA036A" w:rsidP="00FA036A">
            <w:pPr>
              <w:tabs>
                <w:tab w:val="left" w:pos="527"/>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I.</w:t>
            </w:r>
            <w:r w:rsidRPr="003E5E8E">
              <w:rPr>
                <w:rFonts w:ascii="Times New Roman" w:eastAsia="Times New Roman" w:hAnsi="Times New Roman" w:cs="Times New Roman"/>
                <w:b/>
                <w:bCs/>
                <w:sz w:val="24"/>
                <w:szCs w:val="24"/>
              </w:rPr>
              <w:tab/>
              <w:t>RINKOS KONSULTACIJOS OBJEKTAS IR TIKSLAS</w:t>
            </w:r>
          </w:p>
        </w:tc>
      </w:tr>
      <w:tr w:rsidR="00FA036A" w:rsidRPr="003E5E8E" w14:paraId="391E4EB3" w14:textId="77777777" w:rsidTr="009723C3">
        <w:trPr>
          <w:trHeight w:val="396"/>
        </w:trPr>
        <w:tc>
          <w:tcPr>
            <w:tcW w:w="2549" w:type="dxa"/>
            <w:gridSpan w:val="2"/>
          </w:tcPr>
          <w:p w14:paraId="5FDBF56C" w14:textId="77777777" w:rsidR="00FA036A" w:rsidRPr="003E5E8E" w:rsidRDefault="00FA036A" w:rsidP="00FA036A">
            <w:pP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Pirkimo objektas</w:t>
            </w:r>
          </w:p>
        </w:tc>
        <w:tc>
          <w:tcPr>
            <w:tcW w:w="12614" w:type="dxa"/>
            <w:gridSpan w:val="2"/>
          </w:tcPr>
          <w:p w14:paraId="14631B63" w14:textId="31682456" w:rsidR="000207F0" w:rsidRPr="003E5E8E" w:rsidRDefault="009723C3" w:rsidP="000207F0">
            <w:pPr>
              <w:jc w:val="both"/>
              <w:rPr>
                <w:rFonts w:ascii="Times New Roman" w:eastAsia="Times New Roman" w:hAnsi="Times New Roman" w:cs="Times New Roman"/>
                <w:b/>
                <w:bCs/>
                <w:sz w:val="24"/>
                <w:szCs w:val="24"/>
              </w:rPr>
            </w:pPr>
            <w:r w:rsidRPr="009723C3">
              <w:rPr>
                <w:rFonts w:ascii="Times New Roman" w:eastAsia="Times New Roman" w:hAnsi="Times New Roman" w:cs="Times New Roman"/>
                <w:b/>
                <w:bCs/>
                <w:color w:val="000000"/>
                <w:sz w:val="24"/>
                <w:szCs w:val="24"/>
              </w:rPr>
              <w:t>Tarnybinių stočių plėtr</w:t>
            </w:r>
            <w:r>
              <w:rPr>
                <w:rFonts w:ascii="Times New Roman" w:eastAsia="Times New Roman" w:hAnsi="Times New Roman" w:cs="Times New Roman"/>
                <w:b/>
                <w:bCs/>
                <w:color w:val="000000"/>
                <w:sz w:val="24"/>
                <w:szCs w:val="24"/>
              </w:rPr>
              <w:t>a</w:t>
            </w:r>
          </w:p>
        </w:tc>
      </w:tr>
      <w:tr w:rsidR="00FA036A" w:rsidRPr="003E5E8E" w14:paraId="2D3F8373" w14:textId="77777777" w:rsidTr="009723C3">
        <w:trPr>
          <w:trHeight w:val="759"/>
        </w:trPr>
        <w:tc>
          <w:tcPr>
            <w:tcW w:w="2549" w:type="dxa"/>
            <w:gridSpan w:val="2"/>
          </w:tcPr>
          <w:p w14:paraId="5ABE0989"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tikslas</w:t>
            </w:r>
          </w:p>
        </w:tc>
        <w:tc>
          <w:tcPr>
            <w:tcW w:w="12614" w:type="dxa"/>
            <w:gridSpan w:val="2"/>
          </w:tcPr>
          <w:p w14:paraId="4780A4CF"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3E5E8E" w14:paraId="1146D7C9" w14:textId="77777777" w:rsidTr="6FCCA040">
        <w:tc>
          <w:tcPr>
            <w:tcW w:w="15163" w:type="dxa"/>
            <w:gridSpan w:val="4"/>
            <w:shd w:val="clear" w:color="auto" w:fill="E2EFD9"/>
          </w:tcPr>
          <w:p w14:paraId="78A29BFB" w14:textId="77777777" w:rsidR="00FA036A" w:rsidRPr="003E5E8E" w:rsidRDefault="00FA036A" w:rsidP="00FA036A">
            <w:pPr>
              <w:tabs>
                <w:tab w:val="left" w:pos="527"/>
              </w:tabs>
              <w:spacing w:before="120" w:after="120"/>
              <w:jc w:val="center"/>
              <w:rPr>
                <w:rFonts w:ascii="Times New Roman" w:eastAsia="Times New Roman" w:hAnsi="Times New Roman" w:cs="Times New Roman"/>
                <w:bCs/>
                <w:sz w:val="24"/>
                <w:szCs w:val="24"/>
              </w:rPr>
            </w:pPr>
            <w:r w:rsidRPr="003E5E8E">
              <w:rPr>
                <w:rFonts w:ascii="Times New Roman" w:eastAsia="Times New Roman" w:hAnsi="Times New Roman" w:cs="Times New Roman"/>
                <w:b/>
                <w:sz w:val="24"/>
                <w:szCs w:val="24"/>
              </w:rPr>
              <w:t>II.</w:t>
            </w:r>
            <w:r w:rsidRPr="003E5E8E">
              <w:rPr>
                <w:rFonts w:ascii="Times New Roman" w:eastAsia="Times New Roman" w:hAnsi="Times New Roman" w:cs="Times New Roman"/>
                <w:bCs/>
                <w:sz w:val="24"/>
                <w:szCs w:val="24"/>
              </w:rPr>
              <w:tab/>
            </w:r>
            <w:r w:rsidRPr="003E5E8E">
              <w:rPr>
                <w:rFonts w:ascii="Times New Roman" w:eastAsia="Times New Roman" w:hAnsi="Times New Roman" w:cs="Times New Roman"/>
                <w:b/>
                <w:sz w:val="24"/>
                <w:szCs w:val="24"/>
              </w:rPr>
              <w:t>RINKOS KONSULTACIJOS ATLIKIMAS</w:t>
            </w:r>
          </w:p>
        </w:tc>
      </w:tr>
      <w:tr w:rsidR="00FA036A" w:rsidRPr="003E5E8E" w14:paraId="03DC09C7" w14:textId="77777777" w:rsidTr="009723C3">
        <w:trPr>
          <w:trHeight w:val="477"/>
        </w:trPr>
        <w:tc>
          <w:tcPr>
            <w:tcW w:w="2549" w:type="dxa"/>
            <w:gridSpan w:val="2"/>
          </w:tcPr>
          <w:p w14:paraId="65D0E733"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Naudotos priemonės</w:t>
            </w:r>
          </w:p>
        </w:tc>
        <w:tc>
          <w:tcPr>
            <w:tcW w:w="12614" w:type="dxa"/>
            <w:gridSpan w:val="2"/>
          </w:tcPr>
          <w:p w14:paraId="1A427DAD"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Konsultacija vyko Centrinės viešųjų pirkimų informacinės sistemos priemonėmis</w:t>
            </w:r>
          </w:p>
        </w:tc>
      </w:tr>
      <w:tr w:rsidR="00FA036A" w:rsidRPr="003E5E8E" w14:paraId="125D5CD4" w14:textId="77777777" w:rsidTr="009723C3">
        <w:trPr>
          <w:trHeight w:val="683"/>
        </w:trPr>
        <w:tc>
          <w:tcPr>
            <w:tcW w:w="2549" w:type="dxa"/>
            <w:gridSpan w:val="2"/>
          </w:tcPr>
          <w:p w14:paraId="2B6FC60D"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paskelbimo ir atsakymų pateikimo datos</w:t>
            </w:r>
          </w:p>
        </w:tc>
        <w:tc>
          <w:tcPr>
            <w:tcW w:w="12614" w:type="dxa"/>
            <w:gridSpan w:val="2"/>
          </w:tcPr>
          <w:p w14:paraId="7A0DA162" w14:textId="0808561B" w:rsidR="00FA036A" w:rsidRPr="003E5E8E" w:rsidRDefault="00FA036A" w:rsidP="00FA036A">
            <w:pP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 xml:space="preserve">Paskelbimo CVP IS data: </w:t>
            </w:r>
            <w:bookmarkStart w:id="0" w:name="_Hlk109129868"/>
            <w:r w:rsidRPr="003E5E8E">
              <w:rPr>
                <w:rFonts w:ascii="Times New Roman" w:eastAsia="Times New Roman" w:hAnsi="Times New Roman" w:cs="Times New Roman"/>
                <w:color w:val="000000" w:themeColor="text1"/>
                <w:sz w:val="24"/>
                <w:szCs w:val="24"/>
              </w:rPr>
              <w:t>2025-</w:t>
            </w:r>
            <w:r w:rsidR="009723C3">
              <w:rPr>
                <w:rFonts w:ascii="Times New Roman" w:eastAsia="Times New Roman" w:hAnsi="Times New Roman" w:cs="Times New Roman"/>
                <w:color w:val="000000" w:themeColor="text1"/>
                <w:sz w:val="24"/>
                <w:szCs w:val="24"/>
              </w:rPr>
              <w:t>08-08</w:t>
            </w:r>
            <w:r w:rsidRPr="003E5E8E">
              <w:rPr>
                <w:rFonts w:ascii="Times New Roman" w:eastAsia="Times New Roman" w:hAnsi="Times New Roman" w:cs="Times New Roman"/>
                <w:color w:val="000000" w:themeColor="text1"/>
                <w:sz w:val="24"/>
                <w:szCs w:val="24"/>
              </w:rPr>
              <w:t xml:space="preserve"> (Nr. </w:t>
            </w:r>
            <w:r w:rsidR="009723C3" w:rsidRPr="009723C3">
              <w:rPr>
                <w:rFonts w:ascii="Times New Roman" w:eastAsia="Times New Roman" w:hAnsi="Times New Roman" w:cs="Times New Roman"/>
                <w:color w:val="000000" w:themeColor="text1"/>
                <w:sz w:val="24"/>
                <w:szCs w:val="24"/>
              </w:rPr>
              <w:t>4037746</w:t>
            </w:r>
            <w:r w:rsidRPr="003E5E8E">
              <w:rPr>
                <w:rFonts w:ascii="Times New Roman" w:eastAsia="Times New Roman" w:hAnsi="Times New Roman" w:cs="Times New Roman"/>
                <w:color w:val="000000" w:themeColor="text1"/>
                <w:sz w:val="24"/>
                <w:szCs w:val="24"/>
              </w:rPr>
              <w:t xml:space="preserve">). </w:t>
            </w:r>
          </w:p>
          <w:p w14:paraId="77F5236F" w14:textId="26491B1D" w:rsidR="00FA036A" w:rsidRPr="003E5E8E" w:rsidRDefault="00FA036A" w:rsidP="00FA036A">
            <w:pPr>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Atsakymų pateikimo terminas: iki 2025-</w:t>
            </w:r>
            <w:r w:rsidR="009723C3">
              <w:rPr>
                <w:rFonts w:ascii="Times New Roman" w:eastAsia="Times New Roman" w:hAnsi="Times New Roman" w:cs="Times New Roman"/>
                <w:sz w:val="24"/>
                <w:szCs w:val="24"/>
              </w:rPr>
              <w:t>08-18</w:t>
            </w:r>
            <w:r w:rsidRPr="003E5E8E">
              <w:rPr>
                <w:rFonts w:ascii="Times New Roman" w:eastAsia="Times New Roman" w:hAnsi="Times New Roman" w:cs="Times New Roman"/>
                <w:sz w:val="24"/>
                <w:szCs w:val="24"/>
              </w:rPr>
              <w:t xml:space="preserve"> 1</w:t>
            </w:r>
            <w:r w:rsidR="000207F0">
              <w:rPr>
                <w:rFonts w:ascii="Times New Roman" w:eastAsia="Times New Roman" w:hAnsi="Times New Roman" w:cs="Times New Roman"/>
                <w:sz w:val="24"/>
                <w:szCs w:val="24"/>
              </w:rPr>
              <w:t>0</w:t>
            </w:r>
            <w:r w:rsidRPr="003E5E8E">
              <w:rPr>
                <w:rFonts w:ascii="Times New Roman" w:eastAsia="Times New Roman" w:hAnsi="Times New Roman" w:cs="Times New Roman"/>
                <w:sz w:val="24"/>
                <w:szCs w:val="24"/>
              </w:rPr>
              <w:t>.00 val. </w:t>
            </w:r>
            <w:bookmarkEnd w:id="0"/>
          </w:p>
        </w:tc>
      </w:tr>
      <w:tr w:rsidR="00FA036A" w:rsidRPr="003E5E8E" w14:paraId="3D9AA60D" w14:textId="77777777" w:rsidTr="009723C3">
        <w:trPr>
          <w:trHeight w:val="982"/>
        </w:trPr>
        <w:tc>
          <w:tcPr>
            <w:tcW w:w="2549" w:type="dxa"/>
            <w:gridSpan w:val="2"/>
          </w:tcPr>
          <w:p w14:paraId="22BEDC1A"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dalyviams teikti dokumentai bei kita informacija</w:t>
            </w:r>
          </w:p>
        </w:tc>
        <w:tc>
          <w:tcPr>
            <w:tcW w:w="12614" w:type="dxa"/>
            <w:gridSpan w:val="2"/>
          </w:tcPr>
          <w:p w14:paraId="0F0E95EF" w14:textId="27A91940" w:rsidR="00FA036A" w:rsidRPr="003E5E8E" w:rsidRDefault="00FA036A" w:rsidP="00FA036A">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Buvo skelbiamas klausimynas</w:t>
            </w:r>
            <w:r w:rsidR="00472834">
              <w:rPr>
                <w:rFonts w:ascii="Times New Roman" w:eastAsia="Times New Roman" w:hAnsi="Times New Roman" w:cs="Times New Roman"/>
                <w:sz w:val="24"/>
                <w:szCs w:val="24"/>
              </w:rPr>
              <w:t xml:space="preserve">, </w:t>
            </w:r>
            <w:r w:rsidRPr="003E5E8E">
              <w:rPr>
                <w:rFonts w:ascii="Times New Roman" w:eastAsia="Times New Roman" w:hAnsi="Times New Roman" w:cs="Times New Roman"/>
                <w:sz w:val="24"/>
                <w:szCs w:val="24"/>
              </w:rPr>
              <w:t>Technin</w:t>
            </w:r>
            <w:r w:rsidR="00AB7FCD">
              <w:rPr>
                <w:rFonts w:ascii="Times New Roman" w:eastAsia="Times New Roman" w:hAnsi="Times New Roman" w:cs="Times New Roman"/>
                <w:sz w:val="24"/>
                <w:szCs w:val="24"/>
              </w:rPr>
              <w:t>ės</w:t>
            </w:r>
            <w:r w:rsidRPr="003E5E8E">
              <w:rPr>
                <w:rFonts w:ascii="Times New Roman" w:eastAsia="Times New Roman" w:hAnsi="Times New Roman" w:cs="Times New Roman"/>
                <w:sz w:val="24"/>
                <w:szCs w:val="24"/>
              </w:rPr>
              <w:t xml:space="preserve"> specifikacij</w:t>
            </w:r>
            <w:r w:rsidR="00AB7FCD">
              <w:rPr>
                <w:rFonts w:ascii="Times New Roman" w:eastAsia="Times New Roman" w:hAnsi="Times New Roman" w:cs="Times New Roman"/>
                <w:sz w:val="24"/>
                <w:szCs w:val="24"/>
              </w:rPr>
              <w:t>os</w:t>
            </w:r>
            <w:r w:rsidRPr="003E5E8E">
              <w:rPr>
                <w:rFonts w:ascii="Times New Roman" w:eastAsia="Times New Roman" w:hAnsi="Times New Roman" w:cs="Times New Roman"/>
                <w:sz w:val="24"/>
                <w:szCs w:val="24"/>
              </w:rPr>
              <w:t xml:space="preserve"> projekta</w:t>
            </w:r>
            <w:r w:rsidR="00AB7FCD">
              <w:rPr>
                <w:rFonts w:ascii="Times New Roman" w:eastAsia="Times New Roman" w:hAnsi="Times New Roman" w:cs="Times New Roman"/>
                <w:sz w:val="24"/>
                <w:szCs w:val="24"/>
              </w:rPr>
              <w:t>s</w:t>
            </w:r>
            <w:r w:rsidRPr="003E5E8E">
              <w:rPr>
                <w:rFonts w:ascii="Times New Roman" w:eastAsia="Times New Roman" w:hAnsi="Times New Roman" w:cs="Times New Roman"/>
                <w:sz w:val="24"/>
                <w:szCs w:val="24"/>
              </w:rPr>
              <w:t xml:space="preserve">, sudaromos galimybės pateikti pastabas ir pasiūlymus, atsakant į Perkančiosios organizacijos suformuluotus klausimus </w:t>
            </w:r>
            <w:r w:rsidRPr="003E5E8E">
              <w:rPr>
                <w:rFonts w:ascii="Times New Roman" w:eastAsia="Arial Unicode MS" w:hAnsi="Times New Roman" w:cs="Times New Roman"/>
                <w:sz w:val="24"/>
                <w:szCs w:val="24"/>
                <w:bdr w:val="nil"/>
                <w:lang w:eastAsia="en-GB"/>
              </w:rPr>
              <w:t>(visi skelbiami dokumentai saugomi CVP IS)</w:t>
            </w:r>
            <w:r w:rsidRPr="003E5E8E">
              <w:rPr>
                <w:rFonts w:ascii="Times New Roman" w:eastAsia="Times New Roman" w:hAnsi="Times New Roman" w:cs="Times New Roman"/>
                <w:sz w:val="24"/>
                <w:szCs w:val="24"/>
              </w:rPr>
              <w:t xml:space="preserve">. </w:t>
            </w:r>
          </w:p>
        </w:tc>
      </w:tr>
      <w:tr w:rsidR="00FA036A" w:rsidRPr="003E5E8E" w14:paraId="047D523E" w14:textId="77777777" w:rsidTr="6FCCA040">
        <w:tc>
          <w:tcPr>
            <w:tcW w:w="15163" w:type="dxa"/>
            <w:gridSpan w:val="4"/>
            <w:shd w:val="clear" w:color="auto" w:fill="E2EFD9"/>
          </w:tcPr>
          <w:p w14:paraId="70E10B59" w14:textId="77777777" w:rsidR="00FA036A" w:rsidRPr="003E5E8E" w:rsidRDefault="00FA036A" w:rsidP="00FA036A">
            <w:pPr>
              <w:tabs>
                <w:tab w:val="left" w:pos="595"/>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caps/>
                <w:sz w:val="24"/>
                <w:szCs w:val="24"/>
              </w:rPr>
              <w:t>III. Rinkos dalyvių pateiktų atsakymų nagrinėjimas</w:t>
            </w:r>
          </w:p>
        </w:tc>
      </w:tr>
      <w:tr w:rsidR="00FA036A" w:rsidRPr="003E5E8E" w14:paraId="32CCD063" w14:textId="77777777" w:rsidTr="009723C3">
        <w:trPr>
          <w:trHeight w:val="1040"/>
        </w:trPr>
        <w:tc>
          <w:tcPr>
            <w:tcW w:w="570" w:type="dxa"/>
            <w:shd w:val="clear" w:color="auto" w:fill="DEEAF6"/>
          </w:tcPr>
          <w:p w14:paraId="56C8C035"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1979" w:type="dxa"/>
            <w:shd w:val="clear" w:color="auto" w:fill="DEEAF6"/>
          </w:tcPr>
          <w:p w14:paraId="6E82871F"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2086903F" w14:textId="77777777" w:rsidR="00FA036A" w:rsidRPr="003E5E8E" w:rsidRDefault="00FA036A" w:rsidP="00FA036A">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9901" w:type="dxa"/>
            <w:shd w:val="clear" w:color="auto" w:fill="DEEAF6"/>
          </w:tcPr>
          <w:p w14:paraId="65588E96" w14:textId="69061439" w:rsidR="00FA036A" w:rsidRPr="003E5E8E" w:rsidRDefault="00FA036A" w:rsidP="00FA036A">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sidR="009723C3">
              <w:rPr>
                <w:rFonts w:ascii="Times New Roman" w:eastAsia="Times New Roman" w:hAnsi="Times New Roman" w:cs="Times New Roman"/>
                <w:b/>
                <w:bCs/>
                <w:sz w:val="24"/>
                <w:szCs w:val="24"/>
              </w:rPr>
              <w:t xml:space="preserve">1 </w:t>
            </w:r>
            <w:r w:rsidRPr="003E5E8E">
              <w:rPr>
                <w:rFonts w:ascii="Times New Roman" w:eastAsia="Times New Roman" w:hAnsi="Times New Roman" w:cs="Times New Roman"/>
                <w:b/>
                <w:bCs/>
                <w:sz w:val="24"/>
                <w:szCs w:val="24"/>
              </w:rPr>
              <w:t>dalyvio atsakymai</w:t>
            </w:r>
          </w:p>
          <w:p w14:paraId="1162F832" w14:textId="77777777"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1CD858A1" w14:textId="01F77E9B"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sidR="009723C3">
              <w:rPr>
                <w:rFonts w:ascii="Times New Roman" w:eastAsia="Times New Roman" w:hAnsi="Times New Roman" w:cs="Times New Roman"/>
                <w:b/>
                <w:bCs/>
                <w:sz w:val="24"/>
                <w:szCs w:val="24"/>
              </w:rPr>
              <w:t xml:space="preserve">1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AB7FCD" w:rsidRPr="003E5E8E" w14:paraId="53319827" w14:textId="77777777" w:rsidTr="009723C3">
        <w:tc>
          <w:tcPr>
            <w:tcW w:w="570" w:type="dxa"/>
          </w:tcPr>
          <w:p w14:paraId="76632CC5"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1979" w:type="dxa"/>
          </w:tcPr>
          <w:p w14:paraId="55B9745B" w14:textId="5D21A292"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9901" w:type="dxa"/>
          </w:tcPr>
          <w:p w14:paraId="46B1AB63" w14:textId="34C10E85" w:rsidR="00AB7FCD" w:rsidRPr="003E5E8E" w:rsidRDefault="009723C3" w:rsidP="00AB7FCD">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 teiktume, jeigu būtų atnaujintos techninės specifikacijos sąlygos</w:t>
            </w:r>
          </w:p>
        </w:tc>
        <w:tc>
          <w:tcPr>
            <w:tcW w:w="2713" w:type="dxa"/>
          </w:tcPr>
          <w:p w14:paraId="2908D71F" w14:textId="77777777" w:rsidR="00AB7FCD" w:rsidRPr="003E5E8E" w:rsidRDefault="00AB7FCD"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9723C3" w:rsidRPr="003E5E8E" w14:paraId="4CBBEB82" w14:textId="77777777" w:rsidTr="009723C3">
        <w:tc>
          <w:tcPr>
            <w:tcW w:w="570" w:type="dxa"/>
          </w:tcPr>
          <w:p w14:paraId="30A6EC7B" w14:textId="77777777" w:rsidR="009723C3" w:rsidRPr="003E5E8E" w:rsidRDefault="009723C3" w:rsidP="009723C3">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1979" w:type="dxa"/>
          </w:tcPr>
          <w:p w14:paraId="0ECAFC22" w14:textId="7AC9D293" w:rsidR="009723C3" w:rsidRPr="003E5E8E" w:rsidRDefault="009723C3" w:rsidP="009723C3">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1 -5 pirkimo dalių techninėse specifikacijose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9901" w:type="dxa"/>
          </w:tcPr>
          <w:p w14:paraId="1C3768D7" w14:textId="794385E0" w:rsidR="009723C3" w:rsidRPr="00ED6635" w:rsidRDefault="00BF0572" w:rsidP="009723C3">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2713" w:type="dxa"/>
          </w:tcPr>
          <w:p w14:paraId="14BDB455" w14:textId="2E73EBA5" w:rsidR="009723C3" w:rsidRPr="00ED6635" w:rsidRDefault="00BF0572" w:rsidP="009723C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r w:rsidR="009723C3" w:rsidRPr="003E5E8E" w14:paraId="2B7B2358" w14:textId="77777777" w:rsidTr="009723C3">
        <w:tc>
          <w:tcPr>
            <w:tcW w:w="570" w:type="dxa"/>
          </w:tcPr>
          <w:p w14:paraId="6046B0C4" w14:textId="77777777" w:rsidR="009723C3" w:rsidRPr="003E5E8E" w:rsidRDefault="009723C3" w:rsidP="009723C3">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1979" w:type="dxa"/>
            <w:tcBorders>
              <w:top w:val="single" w:sz="6" w:space="0" w:color="auto"/>
              <w:left w:val="single" w:sz="6" w:space="0" w:color="auto"/>
              <w:bottom w:val="single" w:sz="6" w:space="0" w:color="auto"/>
              <w:right w:val="single" w:sz="6" w:space="0" w:color="auto"/>
            </w:tcBorders>
          </w:tcPr>
          <w:p w14:paraId="12F8478B" w14:textId="410871D0" w:rsidR="009723C3" w:rsidRPr="003E5E8E" w:rsidRDefault="009723C3" w:rsidP="009723C3">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9901" w:type="dxa"/>
          </w:tcPr>
          <w:p w14:paraId="59DD4808" w14:textId="3023E9CA" w:rsidR="009723C3" w:rsidRPr="00ED6635" w:rsidRDefault="00BF0572" w:rsidP="009723C3">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2713" w:type="dxa"/>
          </w:tcPr>
          <w:p w14:paraId="19213F03" w14:textId="6CCCC3D8" w:rsidR="009723C3" w:rsidRPr="00ED6635" w:rsidRDefault="00BF0572" w:rsidP="009723C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r w:rsidR="00AF709A" w:rsidRPr="003E5E8E" w14:paraId="14423423" w14:textId="77777777" w:rsidTr="009723C3">
        <w:tc>
          <w:tcPr>
            <w:tcW w:w="570" w:type="dxa"/>
          </w:tcPr>
          <w:p w14:paraId="2E07A4DC" w14:textId="77777777" w:rsidR="00AF709A" w:rsidRPr="00225988" w:rsidRDefault="00AF709A" w:rsidP="00AB7FCD">
            <w:pPr>
              <w:jc w:val="both"/>
              <w:rPr>
                <w:rFonts w:ascii="Times New Roman" w:eastAsia="Times New Roman" w:hAnsi="Times New Roman" w:cs="Times New Roman"/>
                <w:bCs/>
                <w:sz w:val="24"/>
                <w:szCs w:val="24"/>
              </w:rPr>
            </w:pPr>
            <w:r w:rsidRPr="00225988">
              <w:rPr>
                <w:rFonts w:ascii="Times New Roman" w:eastAsia="Times New Roman" w:hAnsi="Times New Roman" w:cs="Times New Roman"/>
                <w:bCs/>
                <w:sz w:val="24"/>
                <w:szCs w:val="24"/>
              </w:rPr>
              <w:t>4.</w:t>
            </w:r>
          </w:p>
        </w:tc>
        <w:tc>
          <w:tcPr>
            <w:tcW w:w="1979" w:type="dxa"/>
            <w:tcBorders>
              <w:top w:val="single" w:sz="6" w:space="0" w:color="auto"/>
              <w:left w:val="single" w:sz="6" w:space="0" w:color="auto"/>
              <w:bottom w:val="single" w:sz="6" w:space="0" w:color="auto"/>
              <w:right w:val="single" w:sz="6" w:space="0" w:color="auto"/>
            </w:tcBorders>
          </w:tcPr>
          <w:p w14:paraId="764C671B" w14:textId="71BF8141" w:rsidR="00AF709A" w:rsidRPr="00225988" w:rsidRDefault="00AF709A" w:rsidP="00AB7FCD">
            <w:pPr>
              <w:jc w:val="both"/>
              <w:rPr>
                <w:rFonts w:ascii="Times New Roman" w:eastAsia="Times New Roman" w:hAnsi="Times New Roman" w:cs="Times New Roman"/>
                <w:bCs/>
                <w:sz w:val="24"/>
                <w:szCs w:val="24"/>
              </w:rPr>
            </w:pPr>
            <w:r w:rsidRPr="00225988">
              <w:rPr>
                <w:rStyle w:val="normaltextrun"/>
                <w:rFonts w:ascii="Times New Roman" w:hAnsi="Times New Roman" w:cs="Times New Roman"/>
                <w:sz w:val="24"/>
                <w:szCs w:val="24"/>
              </w:rPr>
              <w:t xml:space="preserve">Ar TS yra reikalavimų, kurie riboja konkurenciją bei yra sunkiai įgyvendinami? </w:t>
            </w:r>
            <w:r w:rsidRPr="00225988">
              <w:rPr>
                <w:rStyle w:val="normaltextrun"/>
                <w:rFonts w:ascii="Times New Roman" w:hAnsi="Times New Roman" w:cs="Times New Roman"/>
                <w:i/>
                <w:iCs/>
                <w:sz w:val="24"/>
                <w:szCs w:val="24"/>
              </w:rPr>
              <w:t>(jei taip, prašome nurodyti šiuos reikalavimus)</w:t>
            </w:r>
            <w:r w:rsidRPr="00225988">
              <w:rPr>
                <w:rStyle w:val="eop"/>
                <w:rFonts w:ascii="Times New Roman" w:hAnsi="Times New Roman" w:cs="Times New Roman"/>
                <w:sz w:val="24"/>
                <w:szCs w:val="24"/>
              </w:rPr>
              <w:t> </w:t>
            </w:r>
          </w:p>
        </w:tc>
        <w:tc>
          <w:tcPr>
            <w:tcW w:w="9901" w:type="dxa"/>
            <w:vMerge w:val="restart"/>
            <w:vAlign w:val="center"/>
          </w:tcPr>
          <w:p w14:paraId="4C97CDAA" w14:textId="77777777" w:rsidR="00AF709A" w:rsidRPr="009723C3" w:rsidRDefault="00AF709A" w:rsidP="009723C3">
            <w:pPr>
              <w:numPr>
                <w:ilvl w:val="0"/>
                <w:numId w:val="18"/>
              </w:num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Dėl suderinamumo su operacinėmis sistemomis reikalavimo visose penkiose pirkimo dalyse: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2"/>
              <w:gridCol w:w="6293"/>
            </w:tblGrid>
            <w:tr w:rsidR="00AF709A" w:rsidRPr="009723C3" w14:paraId="56F73F99" w14:textId="77777777">
              <w:trPr>
                <w:trHeight w:val="1392"/>
              </w:trPr>
              <w:tc>
                <w:tcPr>
                  <w:tcW w:w="1980" w:type="dxa"/>
                  <w:tcBorders>
                    <w:top w:val="single" w:sz="4" w:space="0" w:color="auto"/>
                    <w:left w:val="single" w:sz="4" w:space="0" w:color="auto"/>
                    <w:bottom w:val="single" w:sz="4" w:space="0" w:color="auto"/>
                    <w:right w:val="single" w:sz="4" w:space="0" w:color="auto"/>
                  </w:tcBorders>
                  <w:vAlign w:val="center"/>
                  <w:hideMark/>
                </w:tcPr>
                <w:p w14:paraId="76B9CE3E"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Suderinamumas su operacinėmis sistemomis ir </w:t>
                  </w:r>
                  <w:proofErr w:type="spellStart"/>
                  <w:r w:rsidRPr="009723C3">
                    <w:rPr>
                      <w:rFonts w:ascii="Times New Roman" w:eastAsia="Times New Roman" w:hAnsi="Times New Roman" w:cs="Times New Roman"/>
                      <w:bCs/>
                      <w:color w:val="000000" w:themeColor="text1"/>
                      <w:sz w:val="24"/>
                      <w:szCs w:val="24"/>
                    </w:rPr>
                    <w:t>virtualizavimo</w:t>
                  </w:r>
                  <w:proofErr w:type="spellEnd"/>
                  <w:r w:rsidRPr="009723C3">
                    <w:rPr>
                      <w:rFonts w:ascii="Times New Roman" w:eastAsia="Times New Roman" w:hAnsi="Times New Roman" w:cs="Times New Roman"/>
                      <w:bCs/>
                      <w:color w:val="000000" w:themeColor="text1"/>
                      <w:sz w:val="24"/>
                      <w:szCs w:val="24"/>
                    </w:rPr>
                    <w:t xml:space="preserve"> platformomis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12A1868"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Tarnybinė stotis turi būti sertifikuota darbui su ne blogiau kaip šiomis arba lygiavertėmis platformomis: Windows Server 2022; </w:t>
                  </w:r>
                  <w:proofErr w:type="spellStart"/>
                  <w:r w:rsidRPr="009723C3">
                    <w:rPr>
                      <w:rFonts w:ascii="Times New Roman" w:eastAsia="Times New Roman" w:hAnsi="Times New Roman" w:cs="Times New Roman"/>
                      <w:bCs/>
                      <w:color w:val="000000" w:themeColor="text1"/>
                      <w:sz w:val="24"/>
                      <w:szCs w:val="24"/>
                    </w:rPr>
                    <w:t>VMware</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ESXi</w:t>
                  </w:r>
                  <w:proofErr w:type="spellEnd"/>
                  <w:r w:rsidRPr="009723C3">
                    <w:rPr>
                      <w:rFonts w:ascii="Times New Roman" w:eastAsia="Times New Roman" w:hAnsi="Times New Roman" w:cs="Times New Roman"/>
                      <w:bCs/>
                      <w:color w:val="000000" w:themeColor="text1"/>
                      <w:sz w:val="24"/>
                      <w:szCs w:val="24"/>
                    </w:rPr>
                    <w:t xml:space="preserve"> 7.x; </w:t>
                  </w:r>
                  <w:proofErr w:type="spellStart"/>
                  <w:r w:rsidRPr="009723C3">
                    <w:rPr>
                      <w:rFonts w:ascii="Times New Roman" w:eastAsia="Times New Roman" w:hAnsi="Times New Roman" w:cs="Times New Roman"/>
                      <w:bCs/>
                      <w:color w:val="000000" w:themeColor="text1"/>
                      <w:sz w:val="24"/>
                      <w:szCs w:val="24"/>
                    </w:rPr>
                    <w:t>Red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Hat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Linux 7/8; SUSE Linux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Server 15, </w:t>
                  </w:r>
                  <w:proofErr w:type="spellStart"/>
                  <w:r w:rsidRPr="009723C3">
                    <w:rPr>
                      <w:rFonts w:ascii="Times New Roman" w:eastAsia="Times New Roman" w:hAnsi="Times New Roman" w:cs="Times New Roman"/>
                      <w:bCs/>
                      <w:color w:val="000000" w:themeColor="text1"/>
                      <w:sz w:val="24"/>
                      <w:szCs w:val="24"/>
                    </w:rPr>
                    <w:t>Oracle</w:t>
                  </w:r>
                  <w:proofErr w:type="spellEnd"/>
                  <w:r w:rsidRPr="009723C3">
                    <w:rPr>
                      <w:rFonts w:ascii="Times New Roman" w:eastAsia="Times New Roman" w:hAnsi="Times New Roman" w:cs="Times New Roman"/>
                      <w:bCs/>
                      <w:color w:val="000000" w:themeColor="text1"/>
                      <w:sz w:val="24"/>
                      <w:szCs w:val="24"/>
                    </w:rPr>
                    <w:t xml:space="preserve"> Linux 7/8.</w:t>
                  </w:r>
                </w:p>
              </w:tc>
            </w:tr>
          </w:tbl>
          <w:p w14:paraId="664FA70C"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
          <w:p w14:paraId="18C868BB"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roofErr w:type="spellStart"/>
            <w:r w:rsidRPr="009723C3">
              <w:rPr>
                <w:rFonts w:ascii="Times New Roman" w:eastAsia="Times New Roman" w:hAnsi="Times New Roman" w:cs="Times New Roman"/>
                <w:bCs/>
                <w:color w:val="000000" w:themeColor="text1"/>
                <w:sz w:val="24"/>
                <w:szCs w:val="24"/>
              </w:rPr>
              <w:t>VMware</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ESXi</w:t>
            </w:r>
            <w:proofErr w:type="spellEnd"/>
            <w:r w:rsidRPr="009723C3">
              <w:rPr>
                <w:rFonts w:ascii="Times New Roman" w:eastAsia="Times New Roman" w:hAnsi="Times New Roman" w:cs="Times New Roman"/>
                <w:bCs/>
                <w:color w:val="000000" w:themeColor="text1"/>
                <w:sz w:val="24"/>
                <w:szCs w:val="24"/>
              </w:rPr>
              <w:t xml:space="preserve"> 7.x jau yra paskelbta “</w:t>
            </w:r>
            <w:proofErr w:type="spellStart"/>
            <w:r w:rsidRPr="009723C3">
              <w:rPr>
                <w:rFonts w:ascii="Times New Roman" w:eastAsia="Times New Roman" w:hAnsi="Times New Roman" w:cs="Times New Roman"/>
                <w:bCs/>
                <w:color w:val="000000" w:themeColor="text1"/>
                <w:sz w:val="24"/>
                <w:szCs w:val="24"/>
              </w:rPr>
              <w:t>End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of</w:t>
            </w:r>
            <w:proofErr w:type="spellEnd"/>
            <w:r w:rsidRPr="009723C3">
              <w:rPr>
                <w:rFonts w:ascii="Times New Roman" w:eastAsia="Times New Roman" w:hAnsi="Times New Roman" w:cs="Times New Roman"/>
                <w:bCs/>
                <w:color w:val="000000" w:themeColor="text1"/>
                <w:sz w:val="24"/>
                <w:szCs w:val="24"/>
              </w:rPr>
              <w:t xml:space="preserve"> General </w:t>
            </w:r>
            <w:proofErr w:type="spellStart"/>
            <w:r w:rsidRPr="009723C3">
              <w:rPr>
                <w:rFonts w:ascii="Times New Roman" w:eastAsia="Times New Roman" w:hAnsi="Times New Roman" w:cs="Times New Roman"/>
                <w:bCs/>
                <w:color w:val="000000" w:themeColor="text1"/>
                <w:sz w:val="24"/>
                <w:szCs w:val="24"/>
              </w:rPr>
              <w:t>Support</w:t>
            </w:r>
            <w:proofErr w:type="spellEnd"/>
            <w:r w:rsidRPr="009723C3">
              <w:rPr>
                <w:rFonts w:ascii="Times New Roman" w:eastAsia="Times New Roman" w:hAnsi="Times New Roman" w:cs="Times New Roman"/>
                <w:bCs/>
                <w:color w:val="000000" w:themeColor="text1"/>
                <w:sz w:val="24"/>
                <w:szCs w:val="24"/>
              </w:rPr>
              <w:t>” data, kuri yra 2025-10-02:</w:t>
            </w:r>
          </w:p>
          <w:p w14:paraId="5B667A97"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noProof/>
                <w:color w:val="000000" w:themeColor="text1"/>
                <w:sz w:val="24"/>
                <w:szCs w:val="24"/>
              </w:rPr>
              <w:drawing>
                <wp:inline distT="0" distB="0" distL="0" distR="0" wp14:anchorId="3C788892" wp14:editId="771C0D00">
                  <wp:extent cx="5724525" cy="1933575"/>
                  <wp:effectExtent l="0" t="0" r="9525" b="9525"/>
                  <wp:docPr id="198896494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1933575"/>
                          </a:xfrm>
                          <a:prstGeom prst="rect">
                            <a:avLst/>
                          </a:prstGeom>
                          <a:noFill/>
                          <a:ln>
                            <a:noFill/>
                          </a:ln>
                        </pic:spPr>
                      </pic:pic>
                    </a:graphicData>
                  </a:graphic>
                </wp:inline>
              </w:drawing>
            </w:r>
          </w:p>
          <w:p w14:paraId="0579D697"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hyperlink r:id="rId12" w:history="1">
              <w:r w:rsidRPr="009723C3">
                <w:rPr>
                  <w:rStyle w:val="Hyperlink"/>
                  <w:rFonts w:ascii="Times New Roman" w:eastAsia="Times New Roman" w:hAnsi="Times New Roman" w:cs="Times New Roman"/>
                  <w:bCs/>
                  <w:sz w:val="24"/>
                  <w:szCs w:val="24"/>
                </w:rPr>
                <w:t>https://blogs.vmware.com/cloud-foundation/2025/03/31/reminder-vsphere-7-to-reach-end-of-service-october-2-2025/</w:t>
              </w:r>
            </w:hyperlink>
          </w:p>
          <w:p w14:paraId="2E2A0944"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Nėra tikslinga reikalauti 7.x versijos, kuri jau šių metų spalį taps nebepalaikoma ir šiemet jau išleista 9.0 versija. </w:t>
            </w:r>
          </w:p>
          <w:p w14:paraId="1DB24834"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Dar prastesnė situacija yra su </w:t>
            </w:r>
            <w:proofErr w:type="spellStart"/>
            <w:r w:rsidRPr="009723C3">
              <w:rPr>
                <w:rFonts w:ascii="Times New Roman" w:eastAsia="Times New Roman" w:hAnsi="Times New Roman" w:cs="Times New Roman"/>
                <w:bCs/>
                <w:color w:val="000000" w:themeColor="text1"/>
                <w:sz w:val="24"/>
                <w:szCs w:val="24"/>
              </w:rPr>
              <w:t>Red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Hat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Linux 7 versija, kuri nebepalaikoma jau nuo 2024 metų birželio:</w:t>
            </w:r>
          </w:p>
          <w:p w14:paraId="5B88A5D7"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hyperlink r:id="rId13" w:history="1">
              <w:r w:rsidRPr="009723C3">
                <w:rPr>
                  <w:rStyle w:val="Hyperlink"/>
                  <w:rFonts w:ascii="Times New Roman" w:eastAsia="Times New Roman" w:hAnsi="Times New Roman" w:cs="Times New Roman"/>
                  <w:bCs/>
                  <w:sz w:val="24"/>
                  <w:szCs w:val="24"/>
                </w:rPr>
                <w:t>https://www.redhat.com/en/technologies/linux-platforms/enterprise-linux/rhel-7-end-of-maintenance</w:t>
              </w:r>
            </w:hyperlink>
          </w:p>
          <w:p w14:paraId="244F16BA"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hyperlink r:id="rId14" w:history="1">
              <w:r w:rsidRPr="009723C3">
                <w:rPr>
                  <w:rStyle w:val="Hyperlink"/>
                  <w:rFonts w:ascii="Times New Roman" w:eastAsia="Times New Roman" w:hAnsi="Times New Roman" w:cs="Times New Roman"/>
                  <w:bCs/>
                  <w:sz w:val="24"/>
                  <w:szCs w:val="24"/>
                </w:rPr>
                <w:t>https://access.redhat.com/support/policy/updates/errata</w:t>
              </w:r>
            </w:hyperlink>
          </w:p>
          <w:p w14:paraId="0927AD73"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roofErr w:type="spellStart"/>
            <w:r w:rsidRPr="009723C3">
              <w:rPr>
                <w:rFonts w:ascii="Times New Roman" w:eastAsia="Times New Roman" w:hAnsi="Times New Roman" w:cs="Times New Roman"/>
                <w:bCs/>
                <w:color w:val="000000" w:themeColor="text1"/>
                <w:sz w:val="24"/>
                <w:szCs w:val="24"/>
              </w:rPr>
              <w:t>Red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Hat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Linux 8 versija jau eina į savo gyvavimo pabaigą, o šiemet jau išleista net </w:t>
            </w:r>
            <w:proofErr w:type="spellStart"/>
            <w:r w:rsidRPr="009723C3">
              <w:rPr>
                <w:rFonts w:ascii="Times New Roman" w:eastAsia="Times New Roman" w:hAnsi="Times New Roman" w:cs="Times New Roman"/>
                <w:bCs/>
                <w:color w:val="000000" w:themeColor="text1"/>
                <w:sz w:val="24"/>
                <w:szCs w:val="24"/>
              </w:rPr>
              <w:t>Red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Hat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Linux 10 versija. </w:t>
            </w:r>
          </w:p>
          <w:p w14:paraId="5235BA04"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roofErr w:type="spellStart"/>
            <w:r w:rsidRPr="009723C3">
              <w:rPr>
                <w:rFonts w:ascii="Times New Roman" w:eastAsia="Times New Roman" w:hAnsi="Times New Roman" w:cs="Times New Roman"/>
                <w:bCs/>
                <w:color w:val="000000" w:themeColor="text1"/>
                <w:sz w:val="24"/>
                <w:szCs w:val="24"/>
              </w:rPr>
              <w:t>Oracle</w:t>
            </w:r>
            <w:proofErr w:type="spellEnd"/>
            <w:r w:rsidRPr="009723C3">
              <w:rPr>
                <w:rFonts w:ascii="Times New Roman" w:eastAsia="Times New Roman" w:hAnsi="Times New Roman" w:cs="Times New Roman"/>
                <w:bCs/>
                <w:color w:val="000000" w:themeColor="text1"/>
                <w:sz w:val="24"/>
                <w:szCs w:val="24"/>
              </w:rPr>
              <w:t xml:space="preserve"> Linux 7 buvo išleistas dar 2014 metais. Nuo to laiko išėjo jau 3 naujos versijos. Taip pat atkreipiame dėmesį, kad perkamose tarnybinių stočių konfigūracijoje yra numatyti naujausi procesoriai, kurie yra palaikomi tik nuo </w:t>
            </w:r>
            <w:proofErr w:type="spellStart"/>
            <w:r w:rsidRPr="009723C3">
              <w:rPr>
                <w:rFonts w:ascii="Times New Roman" w:eastAsia="Times New Roman" w:hAnsi="Times New Roman" w:cs="Times New Roman"/>
                <w:bCs/>
                <w:color w:val="000000" w:themeColor="text1"/>
                <w:sz w:val="24"/>
                <w:szCs w:val="24"/>
              </w:rPr>
              <w:t>Oracle</w:t>
            </w:r>
            <w:proofErr w:type="spellEnd"/>
            <w:r w:rsidRPr="009723C3">
              <w:rPr>
                <w:rFonts w:ascii="Times New Roman" w:eastAsia="Times New Roman" w:hAnsi="Times New Roman" w:cs="Times New Roman"/>
                <w:bCs/>
                <w:color w:val="000000" w:themeColor="text1"/>
                <w:sz w:val="24"/>
                <w:szCs w:val="24"/>
              </w:rPr>
              <w:t xml:space="preserve"> Linux 9 versijos. </w:t>
            </w:r>
          </w:p>
          <w:p w14:paraId="722E0FDB"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hyperlink r:id="rId15" w:history="1">
              <w:r w:rsidRPr="009723C3">
                <w:rPr>
                  <w:rStyle w:val="Hyperlink"/>
                  <w:rFonts w:ascii="Times New Roman" w:eastAsia="Times New Roman" w:hAnsi="Times New Roman" w:cs="Times New Roman"/>
                  <w:bCs/>
                  <w:sz w:val="24"/>
                  <w:szCs w:val="24"/>
                </w:rPr>
                <w:t>https://linux.oracle.com/ords/r/oraclelinux/hardware-certifications/systems</w:t>
              </w:r>
            </w:hyperlink>
          </w:p>
          <w:p w14:paraId="6C232DAE"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hyperlink r:id="rId16" w:history="1">
              <w:r w:rsidRPr="009723C3">
                <w:rPr>
                  <w:rStyle w:val="Hyperlink"/>
                  <w:rFonts w:ascii="Times New Roman" w:eastAsia="Times New Roman" w:hAnsi="Times New Roman" w:cs="Times New Roman"/>
                  <w:bCs/>
                  <w:sz w:val="24"/>
                  <w:szCs w:val="24"/>
                </w:rPr>
                <w:t>https://www.oracle.com/a/ocom/docs/elsp-lifetime-069338.pdf</w:t>
              </w:r>
            </w:hyperlink>
          </w:p>
          <w:p w14:paraId="1C9C666C"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Tarnybinių stočių ir jų komponentų gamintojai fokusuojasi į naujausias ir pažangiausias technologijas todėl naujausios tarnybinės stotys yra sertifikuojamos naujausioms operacinių sistemų versijoms. Todėl nėra prasmės sertifikuoti pasenusias, nebepalaikomas ar greitu metu numatomas kaip nebepalaikomas (</w:t>
            </w:r>
            <w:proofErr w:type="spellStart"/>
            <w:r w:rsidRPr="009723C3">
              <w:rPr>
                <w:rFonts w:ascii="Times New Roman" w:eastAsia="Times New Roman" w:hAnsi="Times New Roman" w:cs="Times New Roman"/>
                <w:bCs/>
                <w:color w:val="000000" w:themeColor="text1"/>
                <w:sz w:val="24"/>
                <w:szCs w:val="24"/>
              </w:rPr>
              <w:t>ang</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of</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life</w:t>
            </w:r>
            <w:proofErr w:type="spellEnd"/>
            <w:r w:rsidRPr="009723C3">
              <w:rPr>
                <w:rFonts w:ascii="Times New Roman" w:eastAsia="Times New Roman" w:hAnsi="Times New Roman" w:cs="Times New Roman"/>
                <w:bCs/>
                <w:color w:val="000000" w:themeColor="text1"/>
                <w:sz w:val="24"/>
                <w:szCs w:val="24"/>
              </w:rPr>
              <w:t>) operacines sistemas. Tad atsižvelgiant į esamą situaciją, siūlome šį reikalavimų punktą pakoreguoti sekančiai:</w:t>
            </w:r>
          </w:p>
          <w:p w14:paraId="3711FA9A"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“Tarnybinė stotis turi būti sertifikuota darbui su ne blogiau kaip šiomis arba lygiavertėmis platformomis: Windows Server 2022, 2025; </w:t>
            </w:r>
            <w:proofErr w:type="spellStart"/>
            <w:r w:rsidRPr="009723C3">
              <w:rPr>
                <w:rFonts w:ascii="Times New Roman" w:eastAsia="Times New Roman" w:hAnsi="Times New Roman" w:cs="Times New Roman"/>
                <w:bCs/>
                <w:color w:val="000000" w:themeColor="text1"/>
                <w:sz w:val="24"/>
                <w:szCs w:val="24"/>
              </w:rPr>
              <w:t>VMware</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ESXi</w:t>
            </w:r>
            <w:proofErr w:type="spellEnd"/>
            <w:r w:rsidRPr="009723C3">
              <w:rPr>
                <w:rFonts w:ascii="Times New Roman" w:eastAsia="Times New Roman" w:hAnsi="Times New Roman" w:cs="Times New Roman"/>
                <w:bCs/>
                <w:color w:val="000000" w:themeColor="text1"/>
                <w:sz w:val="24"/>
                <w:szCs w:val="24"/>
              </w:rPr>
              <w:t xml:space="preserve"> 8.x/9.x; </w:t>
            </w:r>
            <w:proofErr w:type="spellStart"/>
            <w:r w:rsidRPr="009723C3">
              <w:rPr>
                <w:rFonts w:ascii="Times New Roman" w:eastAsia="Times New Roman" w:hAnsi="Times New Roman" w:cs="Times New Roman"/>
                <w:bCs/>
                <w:color w:val="000000" w:themeColor="text1"/>
                <w:sz w:val="24"/>
                <w:szCs w:val="24"/>
              </w:rPr>
              <w:t>Red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Hat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Linux 9.x/10.x; SUSE Linux </w:t>
            </w:r>
            <w:proofErr w:type="spellStart"/>
            <w:r w:rsidRPr="009723C3">
              <w:rPr>
                <w:rFonts w:ascii="Times New Roman" w:eastAsia="Times New Roman" w:hAnsi="Times New Roman" w:cs="Times New Roman"/>
                <w:bCs/>
                <w:color w:val="000000" w:themeColor="text1"/>
                <w:sz w:val="24"/>
                <w:szCs w:val="24"/>
              </w:rPr>
              <w:t>Enterprise</w:t>
            </w:r>
            <w:proofErr w:type="spellEnd"/>
            <w:r w:rsidRPr="009723C3">
              <w:rPr>
                <w:rFonts w:ascii="Times New Roman" w:eastAsia="Times New Roman" w:hAnsi="Times New Roman" w:cs="Times New Roman"/>
                <w:bCs/>
                <w:color w:val="000000" w:themeColor="text1"/>
                <w:sz w:val="24"/>
                <w:szCs w:val="24"/>
              </w:rPr>
              <w:t xml:space="preserve"> Server 15, </w:t>
            </w:r>
            <w:proofErr w:type="spellStart"/>
            <w:r w:rsidRPr="009723C3">
              <w:rPr>
                <w:rFonts w:ascii="Times New Roman" w:eastAsia="Times New Roman" w:hAnsi="Times New Roman" w:cs="Times New Roman"/>
                <w:bCs/>
                <w:color w:val="000000" w:themeColor="text1"/>
                <w:sz w:val="24"/>
                <w:szCs w:val="24"/>
              </w:rPr>
              <w:t>Oracle</w:t>
            </w:r>
            <w:proofErr w:type="spellEnd"/>
            <w:r w:rsidRPr="009723C3">
              <w:rPr>
                <w:rFonts w:ascii="Times New Roman" w:eastAsia="Times New Roman" w:hAnsi="Times New Roman" w:cs="Times New Roman"/>
                <w:bCs/>
                <w:color w:val="000000" w:themeColor="text1"/>
                <w:sz w:val="24"/>
                <w:szCs w:val="24"/>
              </w:rPr>
              <w:t xml:space="preserve"> Linux 9“</w:t>
            </w:r>
          </w:p>
          <w:p w14:paraId="47C7B6B8"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
          <w:p w14:paraId="53B98357" w14:textId="77777777" w:rsidR="00AF709A" w:rsidRPr="009723C3" w:rsidRDefault="00AF709A" w:rsidP="009723C3">
            <w:pPr>
              <w:numPr>
                <w:ilvl w:val="0"/>
                <w:numId w:val="18"/>
              </w:num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Dėl 4 lentelės B tipo tarnybinės stotys procesoriaus našumo reikalavimo:</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2921"/>
              <w:gridCol w:w="5436"/>
            </w:tblGrid>
            <w:tr w:rsidR="00AF709A" w:rsidRPr="009723C3" w14:paraId="2D687E69" w14:textId="77777777">
              <w:trPr>
                <w:trHeight w:val="282"/>
              </w:trPr>
              <w:tc>
                <w:tcPr>
                  <w:tcW w:w="894" w:type="dxa"/>
                  <w:tcBorders>
                    <w:top w:val="single" w:sz="4" w:space="0" w:color="auto"/>
                    <w:left w:val="single" w:sz="4" w:space="0" w:color="auto"/>
                    <w:bottom w:val="single" w:sz="4" w:space="0" w:color="auto"/>
                    <w:right w:val="single" w:sz="4" w:space="0" w:color="auto"/>
                  </w:tcBorders>
                  <w:vAlign w:val="center"/>
                </w:tcPr>
                <w:p w14:paraId="0EF079EC" w14:textId="77777777" w:rsidR="00AF709A" w:rsidRPr="009723C3" w:rsidRDefault="00AF709A" w:rsidP="009723C3">
                  <w:pPr>
                    <w:numPr>
                      <w:ilvl w:val="0"/>
                      <w:numId w:val="19"/>
                    </w:numPr>
                    <w:spacing w:after="0" w:line="240" w:lineRule="auto"/>
                    <w:jc w:val="both"/>
                    <w:rPr>
                      <w:rFonts w:ascii="Times New Roman" w:eastAsia="Times New Roman" w:hAnsi="Times New Roman" w:cs="Times New Roman"/>
                      <w:bCs/>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A8219FE"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Tarnybinės stoties našumas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2BF526" w14:textId="77777777" w:rsidR="00AF709A" w:rsidRPr="009723C3" w:rsidRDefault="00AF709A" w:rsidP="009723C3">
                  <w:pPr>
                    <w:spacing w:after="0" w:line="240" w:lineRule="auto"/>
                    <w:jc w:val="both"/>
                    <w:rPr>
                      <w:rFonts w:ascii="Times New Roman" w:eastAsia="Times New Roman" w:hAnsi="Times New Roman" w:cs="Times New Roman"/>
                      <w:bCs/>
                      <w:i/>
                      <w:color w:val="000000" w:themeColor="text1"/>
                      <w:sz w:val="24"/>
                      <w:szCs w:val="24"/>
                    </w:rPr>
                  </w:pPr>
                  <w:r w:rsidRPr="009723C3">
                    <w:rPr>
                      <w:rFonts w:ascii="Times New Roman" w:eastAsia="Times New Roman" w:hAnsi="Times New Roman" w:cs="Times New Roman"/>
                      <w:bCs/>
                      <w:color w:val="000000" w:themeColor="text1"/>
                      <w:sz w:val="24"/>
                      <w:szCs w:val="24"/>
                    </w:rPr>
                    <w:t xml:space="preserve">Našumas turi būti ne mažesnis kaip 202 vienetai pagal </w:t>
                  </w:r>
                  <w:r w:rsidRPr="009723C3">
                    <w:rPr>
                      <w:rFonts w:ascii="Times New Roman" w:eastAsia="Times New Roman" w:hAnsi="Times New Roman" w:cs="Times New Roman"/>
                      <w:bCs/>
                      <w:color w:val="000000" w:themeColor="text1"/>
                      <w:sz w:val="24"/>
                      <w:szCs w:val="24"/>
                      <w:u w:val="single"/>
                    </w:rPr>
                    <w:t>SPECrate2017_int_base</w:t>
                  </w:r>
                  <w:r w:rsidRPr="009723C3">
                    <w:rPr>
                      <w:rFonts w:ascii="Times New Roman" w:eastAsia="Times New Roman" w:hAnsi="Times New Roman" w:cs="Times New Roman"/>
                      <w:bCs/>
                      <w:color w:val="000000" w:themeColor="text1"/>
                      <w:sz w:val="24"/>
                      <w:szCs w:val="24"/>
                    </w:rPr>
                    <w:t xml:space="preserve"> testą ir 302 vienetų pagal </w:t>
                  </w:r>
                  <w:r w:rsidRPr="009723C3">
                    <w:rPr>
                      <w:rFonts w:ascii="Times New Roman" w:eastAsia="Times New Roman" w:hAnsi="Times New Roman" w:cs="Times New Roman"/>
                      <w:bCs/>
                      <w:color w:val="000000" w:themeColor="text1"/>
                      <w:sz w:val="24"/>
                      <w:szCs w:val="24"/>
                      <w:u w:val="single"/>
                    </w:rPr>
                    <w:t>SPECrate2017_fp_base</w:t>
                  </w:r>
                  <w:r w:rsidRPr="009723C3">
                    <w:rPr>
                      <w:rFonts w:ascii="Times New Roman" w:eastAsia="Times New Roman" w:hAnsi="Times New Roman" w:cs="Times New Roman"/>
                      <w:bCs/>
                      <w:color w:val="000000" w:themeColor="text1"/>
                      <w:sz w:val="24"/>
                      <w:szCs w:val="24"/>
                    </w:rPr>
                    <w:t xml:space="preserve"> testą. Rezultatai turi būti skelbiami </w:t>
                  </w:r>
                  <w:r w:rsidRPr="009723C3">
                    <w:rPr>
                      <w:rFonts w:ascii="Times New Roman" w:eastAsia="Times New Roman" w:hAnsi="Times New Roman" w:cs="Times New Roman"/>
                      <w:bCs/>
                      <w:color w:val="000000" w:themeColor="text1"/>
                      <w:sz w:val="24"/>
                      <w:szCs w:val="24"/>
                      <w:u w:val="single"/>
                    </w:rPr>
                    <w:t>https://www.spec.org</w:t>
                  </w:r>
                  <w:r w:rsidRPr="009723C3">
                    <w:rPr>
                      <w:rFonts w:ascii="Times New Roman" w:eastAsia="Times New Roman" w:hAnsi="Times New Roman" w:cs="Times New Roman"/>
                      <w:bCs/>
                      <w:color w:val="000000" w:themeColor="text1"/>
                      <w:sz w:val="24"/>
                      <w:szCs w:val="24"/>
                    </w:rPr>
                    <w:t xml:space="preserve"> puslapyje ir pateikti pasiūlyme kartu pateikiant ekranvaizdžio kopiją (-</w:t>
                  </w:r>
                  <w:proofErr w:type="spellStart"/>
                  <w:r w:rsidRPr="009723C3">
                    <w:rPr>
                      <w:rFonts w:ascii="Times New Roman" w:eastAsia="Times New Roman" w:hAnsi="Times New Roman" w:cs="Times New Roman"/>
                      <w:bCs/>
                      <w:color w:val="000000" w:themeColor="text1"/>
                      <w:sz w:val="24"/>
                      <w:szCs w:val="24"/>
                    </w:rPr>
                    <w:t>as</w:t>
                  </w:r>
                  <w:proofErr w:type="spellEnd"/>
                  <w:r w:rsidRPr="009723C3">
                    <w:rPr>
                      <w:rFonts w:ascii="Times New Roman" w:eastAsia="Times New Roman" w:hAnsi="Times New Roman" w:cs="Times New Roman"/>
                      <w:bCs/>
                      <w:color w:val="000000" w:themeColor="text1"/>
                      <w:sz w:val="24"/>
                      <w:szCs w:val="24"/>
                    </w:rPr>
                    <w:t>). Pateikiami našumo rezultatai turi būti išmatuoti bet kurioje aparatinėje tarnybinės stoties platformoje naudojant 1 vienetą siūlomų procesorių.</w:t>
                  </w:r>
                </w:p>
              </w:tc>
            </w:tr>
          </w:tbl>
          <w:p w14:paraId="1CC64030"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p>
          <w:p w14:paraId="7C993432"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Pagal visų dalių reikalavimų visumą matome, kad visose tarnybinėse stotyse su 2 procesoriais yra aprašyti reikalavimai tokiam pačiam procesoriui. Šiuos reikalavimus geriausiai atitinka Intel </w:t>
            </w:r>
            <w:proofErr w:type="spellStart"/>
            <w:r w:rsidRPr="009723C3">
              <w:rPr>
                <w:rFonts w:ascii="Times New Roman" w:eastAsia="Times New Roman" w:hAnsi="Times New Roman" w:cs="Times New Roman"/>
                <w:bCs/>
                <w:color w:val="000000" w:themeColor="text1"/>
                <w:sz w:val="24"/>
                <w:szCs w:val="24"/>
              </w:rPr>
              <w:t>Xeon</w:t>
            </w:r>
            <w:proofErr w:type="spellEnd"/>
            <w:r w:rsidRPr="009723C3">
              <w:rPr>
                <w:rFonts w:ascii="Times New Roman" w:eastAsia="Times New Roman" w:hAnsi="Times New Roman" w:cs="Times New Roman"/>
                <w:bCs/>
                <w:color w:val="000000" w:themeColor="text1"/>
                <w:sz w:val="24"/>
                <w:szCs w:val="24"/>
              </w:rPr>
              <w:t xml:space="preserve"> 6517P. Tad panašu į tai, kad ir šioje dalyje pageidaujama įsigyti tarnybines stotis su tuo pačiu procesoriumi, tik kad joje bus įdiegtas 1 vnt. Tačiau šios dalies reikalavimai neatitinka esamų rezultatų, skelbiamų https://www.spec.org puslapyje. Todėl siūlome peržiūrėti šios dalies našumo reikalavimus ir pakoreguoti sekančiai: „Našumas turi būti ne mažesnis kaip 197 vienetai pagal SPECrate2017_int_base testą ir 300 vienetų pagal SPECrate2017_fp_base testą. Rezultatai turi būti skelbiami https://www.spec.org puslapyje ir pateikti pasiūlyme kartu pateikiant ekranvaizdžio kopiją (-</w:t>
            </w:r>
            <w:proofErr w:type="spellStart"/>
            <w:r w:rsidRPr="009723C3">
              <w:rPr>
                <w:rFonts w:ascii="Times New Roman" w:eastAsia="Times New Roman" w:hAnsi="Times New Roman" w:cs="Times New Roman"/>
                <w:bCs/>
                <w:color w:val="000000" w:themeColor="text1"/>
                <w:sz w:val="24"/>
                <w:szCs w:val="24"/>
              </w:rPr>
              <w:t>as</w:t>
            </w:r>
            <w:proofErr w:type="spellEnd"/>
            <w:r w:rsidRPr="009723C3">
              <w:rPr>
                <w:rFonts w:ascii="Times New Roman" w:eastAsia="Times New Roman" w:hAnsi="Times New Roman" w:cs="Times New Roman"/>
                <w:bCs/>
                <w:color w:val="000000" w:themeColor="text1"/>
                <w:sz w:val="24"/>
                <w:szCs w:val="24"/>
              </w:rPr>
              <w:t>). Pateikiami našumo rezultatai turi būti išmatuoti bet kurioje aparatinėje tarnybinės stoties platformoje naudojant 1 vienetą siūlomų procesorių.“</w:t>
            </w:r>
          </w:p>
          <w:p w14:paraId="1C745C4D" w14:textId="77777777" w:rsidR="00AF709A" w:rsidRPr="009723C3" w:rsidRDefault="00AF709A" w:rsidP="009723C3">
            <w:pPr>
              <w:numPr>
                <w:ilvl w:val="0"/>
                <w:numId w:val="19"/>
              </w:num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Dėl LAN adapterio reikalavimo visose penkiose prikimo dalyse:</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6293"/>
            </w:tblGrid>
            <w:tr w:rsidR="00AF709A" w:rsidRPr="009723C3" w14:paraId="10575ADC" w14:textId="77777777">
              <w:trPr>
                <w:trHeight w:val="837"/>
              </w:trPr>
              <w:tc>
                <w:tcPr>
                  <w:tcW w:w="1628" w:type="dxa"/>
                  <w:tcBorders>
                    <w:top w:val="single" w:sz="4" w:space="0" w:color="auto"/>
                    <w:left w:val="single" w:sz="4" w:space="0" w:color="auto"/>
                    <w:bottom w:val="single" w:sz="4" w:space="0" w:color="auto"/>
                    <w:right w:val="single" w:sz="4" w:space="0" w:color="auto"/>
                  </w:tcBorders>
                  <w:vAlign w:val="center"/>
                  <w:hideMark/>
                </w:tcPr>
                <w:p w14:paraId="3705AC72"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LAN adapteris</w:t>
                  </w:r>
                </w:p>
              </w:tc>
              <w:tc>
                <w:tcPr>
                  <w:tcW w:w="6298" w:type="dxa"/>
                  <w:tcBorders>
                    <w:top w:val="single" w:sz="4" w:space="0" w:color="auto"/>
                    <w:left w:val="single" w:sz="4" w:space="0" w:color="auto"/>
                    <w:bottom w:val="single" w:sz="4" w:space="0" w:color="auto"/>
                    <w:right w:val="single" w:sz="4" w:space="0" w:color="auto"/>
                  </w:tcBorders>
                  <w:vAlign w:val="center"/>
                  <w:hideMark/>
                </w:tcPr>
                <w:p w14:paraId="6FB56D46"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Ne mažiau kaip 4 vnt. 25 </w:t>
                  </w:r>
                  <w:proofErr w:type="spellStart"/>
                  <w:r w:rsidRPr="009723C3">
                    <w:rPr>
                      <w:rFonts w:ascii="Times New Roman" w:eastAsia="Times New Roman" w:hAnsi="Times New Roman" w:cs="Times New Roman"/>
                      <w:bCs/>
                      <w:color w:val="000000" w:themeColor="text1"/>
                      <w:sz w:val="24"/>
                      <w:szCs w:val="24"/>
                    </w:rPr>
                    <w:t>GbE</w:t>
                  </w:r>
                  <w:proofErr w:type="spellEnd"/>
                  <w:r w:rsidRPr="009723C3">
                    <w:rPr>
                      <w:rFonts w:ascii="Times New Roman" w:eastAsia="Times New Roman" w:hAnsi="Times New Roman" w:cs="Times New Roman"/>
                      <w:bCs/>
                      <w:color w:val="000000" w:themeColor="text1"/>
                      <w:sz w:val="24"/>
                      <w:szCs w:val="24"/>
                    </w:rPr>
                    <w:t xml:space="preserve"> sąsajų palaikančių žemiau įvardintus arba lygiaverčius protokolus:</w:t>
                  </w:r>
                </w:p>
                <w:p w14:paraId="1E2E0ACC" w14:textId="77777777" w:rsidR="00AF709A" w:rsidRPr="009723C3" w:rsidRDefault="00AF709A" w:rsidP="009723C3">
                  <w:pPr>
                    <w:numPr>
                      <w:ilvl w:val="0"/>
                      <w:numId w:val="20"/>
                    </w:num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RDMA </w:t>
                  </w:r>
                  <w:proofErr w:type="spellStart"/>
                  <w:r w:rsidRPr="009723C3">
                    <w:rPr>
                      <w:rFonts w:ascii="Times New Roman" w:eastAsia="Times New Roman" w:hAnsi="Times New Roman" w:cs="Times New Roman"/>
                      <w:bCs/>
                      <w:color w:val="000000" w:themeColor="text1"/>
                      <w:sz w:val="24"/>
                      <w:szCs w:val="24"/>
                    </w:rPr>
                    <w:t>over</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Converged</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Ethernet</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RoCE</w:t>
                  </w:r>
                  <w:proofErr w:type="spellEnd"/>
                  <w:r w:rsidRPr="009723C3">
                    <w:rPr>
                      <w:rFonts w:ascii="Times New Roman" w:eastAsia="Times New Roman" w:hAnsi="Times New Roman" w:cs="Times New Roman"/>
                      <w:bCs/>
                      <w:color w:val="000000" w:themeColor="text1"/>
                      <w:sz w:val="24"/>
                      <w:szCs w:val="24"/>
                    </w:rPr>
                    <w:t>);</w:t>
                  </w:r>
                </w:p>
                <w:p w14:paraId="6760EB08" w14:textId="77777777" w:rsidR="00AF709A" w:rsidRPr="009723C3" w:rsidRDefault="00AF709A" w:rsidP="009723C3">
                  <w:pPr>
                    <w:numPr>
                      <w:ilvl w:val="0"/>
                      <w:numId w:val="20"/>
                    </w:num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 xml:space="preserve">TCP/UDP, </w:t>
                  </w:r>
                  <w:proofErr w:type="spellStart"/>
                  <w:r w:rsidRPr="009723C3">
                    <w:rPr>
                      <w:rFonts w:ascii="Times New Roman" w:eastAsia="Times New Roman" w:hAnsi="Times New Roman" w:cs="Times New Roman"/>
                      <w:bCs/>
                      <w:color w:val="000000" w:themeColor="text1"/>
                      <w:sz w:val="24"/>
                      <w:szCs w:val="24"/>
                    </w:rPr>
                    <w:t>VxLAN</w:t>
                  </w:r>
                  <w:proofErr w:type="spellEnd"/>
                  <w:r w:rsidRPr="009723C3">
                    <w:rPr>
                      <w:rFonts w:ascii="Times New Roman" w:eastAsia="Times New Roman" w:hAnsi="Times New Roman" w:cs="Times New Roman"/>
                      <w:bCs/>
                      <w:color w:val="000000" w:themeColor="text1"/>
                      <w:sz w:val="24"/>
                      <w:szCs w:val="24"/>
                    </w:rPr>
                    <w:t>, NVGRE, GENEVE;</w:t>
                  </w:r>
                </w:p>
                <w:p w14:paraId="0C257138" w14:textId="77777777" w:rsidR="00AF709A" w:rsidRPr="009723C3" w:rsidRDefault="00AF709A" w:rsidP="009723C3">
                  <w:pPr>
                    <w:numPr>
                      <w:ilvl w:val="0"/>
                      <w:numId w:val="20"/>
                    </w:numPr>
                    <w:spacing w:after="0" w:line="240" w:lineRule="auto"/>
                    <w:jc w:val="both"/>
                    <w:rPr>
                      <w:rFonts w:ascii="Times New Roman" w:eastAsia="Times New Roman" w:hAnsi="Times New Roman" w:cs="Times New Roman"/>
                      <w:bCs/>
                      <w:color w:val="000000" w:themeColor="text1"/>
                      <w:sz w:val="24"/>
                      <w:szCs w:val="24"/>
                    </w:rPr>
                  </w:pPr>
                  <w:proofErr w:type="spellStart"/>
                  <w:r w:rsidRPr="009723C3">
                    <w:rPr>
                      <w:rFonts w:ascii="Times New Roman" w:eastAsia="Times New Roman" w:hAnsi="Times New Roman" w:cs="Times New Roman"/>
                      <w:bCs/>
                      <w:color w:val="000000" w:themeColor="text1"/>
                      <w:sz w:val="24"/>
                      <w:szCs w:val="24"/>
                    </w:rPr>
                    <w:t>iSER</w:t>
                  </w:r>
                  <w:proofErr w:type="spellEnd"/>
                  <w:r w:rsidRPr="009723C3">
                    <w:rPr>
                      <w:rFonts w:ascii="Times New Roman" w:eastAsia="Times New Roman" w:hAnsi="Times New Roman" w:cs="Times New Roman"/>
                      <w:bCs/>
                      <w:color w:val="000000" w:themeColor="text1"/>
                      <w:sz w:val="24"/>
                      <w:szCs w:val="24"/>
                    </w:rPr>
                    <w:t xml:space="preserve">, NFS </w:t>
                  </w:r>
                  <w:proofErr w:type="spellStart"/>
                  <w:r w:rsidRPr="009723C3">
                    <w:rPr>
                      <w:rFonts w:ascii="Times New Roman" w:eastAsia="Times New Roman" w:hAnsi="Times New Roman" w:cs="Times New Roman"/>
                      <w:bCs/>
                      <w:color w:val="000000" w:themeColor="text1"/>
                      <w:sz w:val="24"/>
                      <w:szCs w:val="24"/>
                    </w:rPr>
                    <w:t>over</w:t>
                  </w:r>
                  <w:proofErr w:type="spellEnd"/>
                  <w:r w:rsidRPr="009723C3">
                    <w:rPr>
                      <w:rFonts w:ascii="Times New Roman" w:eastAsia="Times New Roman" w:hAnsi="Times New Roman" w:cs="Times New Roman"/>
                      <w:bCs/>
                      <w:color w:val="000000" w:themeColor="text1"/>
                      <w:sz w:val="24"/>
                      <w:szCs w:val="24"/>
                    </w:rPr>
                    <w:t xml:space="preserve"> RDMA, SMB </w:t>
                  </w:r>
                  <w:proofErr w:type="spellStart"/>
                  <w:r w:rsidRPr="009723C3">
                    <w:rPr>
                      <w:rFonts w:ascii="Times New Roman" w:eastAsia="Times New Roman" w:hAnsi="Times New Roman" w:cs="Times New Roman"/>
                      <w:bCs/>
                      <w:color w:val="000000" w:themeColor="text1"/>
                      <w:sz w:val="24"/>
                      <w:szCs w:val="24"/>
                    </w:rPr>
                    <w:t>Direct</w:t>
                  </w:r>
                  <w:proofErr w:type="spellEnd"/>
                  <w:r w:rsidRPr="009723C3">
                    <w:rPr>
                      <w:rFonts w:ascii="Times New Roman" w:eastAsia="Times New Roman" w:hAnsi="Times New Roman" w:cs="Times New Roman"/>
                      <w:bCs/>
                      <w:color w:val="000000" w:themeColor="text1"/>
                      <w:sz w:val="24"/>
                      <w:szCs w:val="24"/>
                    </w:rPr>
                    <w:t>.</w:t>
                  </w:r>
                </w:p>
                <w:p w14:paraId="1375269F" w14:textId="77777777" w:rsidR="00AF709A" w:rsidRPr="009723C3" w:rsidRDefault="00AF709A" w:rsidP="009723C3">
                  <w:pPr>
                    <w:spacing w:after="0" w:line="240" w:lineRule="auto"/>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Plokštės turi būti subalansuotos procesorių atžvilgiu. Komplektacijoje turi būti pateikiami SFP28 moduliai, pritaikomi numatomiems optiniams "</w:t>
                  </w:r>
                  <w:proofErr w:type="spellStart"/>
                  <w:r w:rsidRPr="009723C3">
                    <w:rPr>
                      <w:rFonts w:ascii="Times New Roman" w:eastAsia="Times New Roman" w:hAnsi="Times New Roman" w:cs="Times New Roman"/>
                      <w:bCs/>
                      <w:color w:val="000000" w:themeColor="text1"/>
                      <w:sz w:val="24"/>
                      <w:szCs w:val="24"/>
                    </w:rPr>
                    <w:t>Multi</w:t>
                  </w:r>
                  <w:proofErr w:type="spellEnd"/>
                  <w:r w:rsidRPr="009723C3">
                    <w:rPr>
                      <w:rFonts w:ascii="Times New Roman" w:eastAsia="Times New Roman" w:hAnsi="Times New Roman" w:cs="Times New Roman"/>
                      <w:bCs/>
                      <w:color w:val="000000" w:themeColor="text1"/>
                      <w:sz w:val="24"/>
                      <w:szCs w:val="24"/>
                    </w:rPr>
                    <w:t xml:space="preserve"> </w:t>
                  </w:r>
                  <w:proofErr w:type="spellStart"/>
                  <w:r w:rsidRPr="009723C3">
                    <w:rPr>
                      <w:rFonts w:ascii="Times New Roman" w:eastAsia="Times New Roman" w:hAnsi="Times New Roman" w:cs="Times New Roman"/>
                      <w:bCs/>
                      <w:color w:val="000000" w:themeColor="text1"/>
                      <w:sz w:val="24"/>
                      <w:szCs w:val="24"/>
                    </w:rPr>
                    <w:t>Mode</w:t>
                  </w:r>
                  <w:proofErr w:type="spellEnd"/>
                  <w:r w:rsidRPr="009723C3">
                    <w:rPr>
                      <w:rFonts w:ascii="Times New Roman" w:eastAsia="Times New Roman" w:hAnsi="Times New Roman" w:cs="Times New Roman"/>
                      <w:bCs/>
                      <w:color w:val="000000" w:themeColor="text1"/>
                      <w:sz w:val="24"/>
                      <w:szCs w:val="24"/>
                    </w:rPr>
                    <w:t>" kabeliams su LC tipo jungtimis ir reikiamo ilgio bei tipo kabeliai, skirti siūlomos įrangos prijungimui prie tinklo įrangos.</w:t>
                  </w:r>
                </w:p>
              </w:tc>
            </w:tr>
          </w:tbl>
          <w:p w14:paraId="02456D23" w14:textId="77777777" w:rsidR="00AF709A" w:rsidRPr="009723C3" w:rsidRDefault="00AF709A" w:rsidP="009723C3">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color w:val="000000" w:themeColor="text1"/>
                <w:sz w:val="24"/>
                <w:szCs w:val="24"/>
              </w:rPr>
              <w:t>Siūlome papildyti šį punktą tokiu reikalavimu: „Visi optiniai SFP28 moduliai turi būti to paties gamintojo kaip ir tarnybinė stotis.“ Kitu atveju Perkančioji organizacija prisiims riziką, kad tiekėjai pateiks ne originalius, o trečiųjų šalių gamintojų modulius.</w:t>
            </w:r>
          </w:p>
          <w:p w14:paraId="6C1C792E" w14:textId="6B8CDA55" w:rsidR="00AF709A" w:rsidRPr="00ED6635" w:rsidRDefault="00AF709A" w:rsidP="00472834">
            <w:pPr>
              <w:jc w:val="both"/>
              <w:rPr>
                <w:rFonts w:ascii="Times New Roman" w:eastAsia="Times New Roman" w:hAnsi="Times New Roman" w:cs="Times New Roman"/>
                <w:bCs/>
                <w:color w:val="000000" w:themeColor="text1"/>
                <w:sz w:val="24"/>
                <w:szCs w:val="24"/>
              </w:rPr>
            </w:pPr>
          </w:p>
        </w:tc>
        <w:tc>
          <w:tcPr>
            <w:tcW w:w="2713" w:type="dxa"/>
            <w:vMerge w:val="restart"/>
          </w:tcPr>
          <w:p w14:paraId="1B61DC04" w14:textId="4CB0FF1E" w:rsidR="00AF709A" w:rsidRPr="00ED6635" w:rsidRDefault="00AF709A" w:rsidP="00225988">
            <w:pPr>
              <w:tabs>
                <w:tab w:val="left" w:pos="272"/>
              </w:tabs>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sz w:val="24"/>
                <w:szCs w:val="24"/>
              </w:rPr>
              <w:t>Dėkojame už atsakymą. Apsvarstysime pasiūlymą ir pagal galimybes atsižvelgsime į jį.</w:t>
            </w:r>
          </w:p>
        </w:tc>
      </w:tr>
      <w:tr w:rsidR="00AF709A" w:rsidRPr="003E5E8E" w14:paraId="46ACB754" w14:textId="77777777" w:rsidTr="009723C3">
        <w:tc>
          <w:tcPr>
            <w:tcW w:w="570" w:type="dxa"/>
          </w:tcPr>
          <w:p w14:paraId="4AD6DC69" w14:textId="77777777" w:rsidR="00AF709A" w:rsidRPr="00225988" w:rsidRDefault="00AF709A" w:rsidP="00AB7FCD">
            <w:pPr>
              <w:jc w:val="both"/>
              <w:rPr>
                <w:rFonts w:ascii="Times New Roman" w:eastAsia="Times New Roman" w:hAnsi="Times New Roman" w:cs="Times New Roman"/>
                <w:sz w:val="24"/>
                <w:szCs w:val="24"/>
              </w:rPr>
            </w:pPr>
            <w:r w:rsidRPr="00225988">
              <w:rPr>
                <w:rFonts w:ascii="Times New Roman" w:eastAsia="Times New Roman" w:hAnsi="Times New Roman" w:cs="Times New Roman"/>
                <w:sz w:val="24"/>
                <w:szCs w:val="24"/>
              </w:rPr>
              <w:t>5.</w:t>
            </w:r>
          </w:p>
        </w:tc>
        <w:tc>
          <w:tcPr>
            <w:tcW w:w="1979" w:type="dxa"/>
            <w:tcBorders>
              <w:bottom w:val="single" w:sz="4" w:space="0" w:color="auto"/>
            </w:tcBorders>
          </w:tcPr>
          <w:p w14:paraId="2FD27CBD" w14:textId="41D9E3E6" w:rsidR="00AF709A" w:rsidRPr="00225988" w:rsidRDefault="00AF709A" w:rsidP="00AB7FCD">
            <w:pPr>
              <w:jc w:val="both"/>
              <w:rPr>
                <w:rFonts w:ascii="Times New Roman" w:eastAsia="Times New Roman" w:hAnsi="Times New Roman" w:cs="Times New Roman"/>
                <w:bCs/>
                <w:sz w:val="24"/>
                <w:szCs w:val="24"/>
              </w:rPr>
            </w:pPr>
            <w:r w:rsidRPr="00225988">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225988">
              <w:rPr>
                <w:rFonts w:ascii="Times New Roman" w:eastAsia="Times New Roman" w:hAnsi="Times New Roman" w:cs="Times New Roman"/>
                <w:i/>
                <w:iCs/>
                <w:sz w:val="24"/>
                <w:szCs w:val="24"/>
              </w:rPr>
              <w:t>(prašome pateikti konkrečius pasiūlymus)</w:t>
            </w:r>
          </w:p>
        </w:tc>
        <w:tc>
          <w:tcPr>
            <w:tcW w:w="9901" w:type="dxa"/>
            <w:vMerge/>
            <w:tcBorders>
              <w:bottom w:val="single" w:sz="4" w:space="0" w:color="auto"/>
            </w:tcBorders>
          </w:tcPr>
          <w:p w14:paraId="39083B46" w14:textId="4E61F4BC" w:rsidR="00AF709A" w:rsidRPr="00ED6635" w:rsidRDefault="00AF709A" w:rsidP="00472834">
            <w:pPr>
              <w:jc w:val="both"/>
              <w:rPr>
                <w:rFonts w:ascii="Times New Roman" w:eastAsia="Times New Roman" w:hAnsi="Times New Roman" w:cs="Times New Roman"/>
                <w:bCs/>
                <w:color w:val="000000" w:themeColor="text1"/>
                <w:sz w:val="24"/>
                <w:szCs w:val="24"/>
              </w:rPr>
            </w:pPr>
          </w:p>
        </w:tc>
        <w:tc>
          <w:tcPr>
            <w:tcW w:w="2713" w:type="dxa"/>
            <w:vMerge/>
          </w:tcPr>
          <w:p w14:paraId="0BD6B364" w14:textId="19546E05" w:rsidR="00AF709A" w:rsidRPr="00ED6635" w:rsidRDefault="00AF709A" w:rsidP="00AB7FCD">
            <w:pPr>
              <w:jc w:val="both"/>
              <w:rPr>
                <w:rFonts w:ascii="Times New Roman" w:eastAsia="Times New Roman" w:hAnsi="Times New Roman" w:cs="Times New Roman"/>
                <w:color w:val="000000" w:themeColor="text1"/>
                <w:sz w:val="24"/>
                <w:szCs w:val="24"/>
              </w:rPr>
            </w:pPr>
          </w:p>
        </w:tc>
      </w:tr>
      <w:tr w:rsidR="00AB7FCD" w:rsidRPr="003E5E8E" w14:paraId="450FD490" w14:textId="77777777" w:rsidTr="009723C3">
        <w:tc>
          <w:tcPr>
            <w:tcW w:w="570" w:type="dxa"/>
          </w:tcPr>
          <w:p w14:paraId="6B01ED9A"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1979" w:type="dxa"/>
            <w:tcBorders>
              <w:top w:val="single" w:sz="4" w:space="0" w:color="auto"/>
              <w:left w:val="single" w:sz="4" w:space="0" w:color="auto"/>
              <w:bottom w:val="single" w:sz="4" w:space="0" w:color="auto"/>
              <w:right w:val="single" w:sz="4" w:space="0" w:color="auto"/>
            </w:tcBorders>
          </w:tcPr>
          <w:p w14:paraId="44050FDA" w14:textId="6EE87D44"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9901" w:type="dxa"/>
            <w:tcBorders>
              <w:top w:val="single" w:sz="4" w:space="0" w:color="auto"/>
              <w:left w:val="single" w:sz="4" w:space="0" w:color="auto"/>
              <w:bottom w:val="single" w:sz="4" w:space="0" w:color="auto"/>
              <w:right w:val="single" w:sz="4" w:space="0" w:color="auto"/>
            </w:tcBorders>
          </w:tcPr>
          <w:p w14:paraId="113DEF0C" w14:textId="06823108" w:rsidR="00AB7FCD" w:rsidRPr="003E5E8E" w:rsidRDefault="00BF0572" w:rsidP="00472834">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713" w:type="dxa"/>
          </w:tcPr>
          <w:p w14:paraId="64F278C4" w14:textId="4B9FA140" w:rsidR="00AB7FCD" w:rsidRPr="003E5E8E" w:rsidRDefault="00BF0572" w:rsidP="00AB7FC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AB7FCD" w:rsidRPr="003E5E8E" w14:paraId="15C4D8F2" w14:textId="77777777" w:rsidTr="009723C3">
        <w:tc>
          <w:tcPr>
            <w:tcW w:w="570" w:type="dxa"/>
          </w:tcPr>
          <w:p w14:paraId="0B5A7E98"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1979" w:type="dxa"/>
            <w:tcBorders>
              <w:top w:val="single" w:sz="4" w:space="0" w:color="auto"/>
              <w:left w:val="single" w:sz="4" w:space="0" w:color="auto"/>
              <w:bottom w:val="single" w:sz="4" w:space="0" w:color="auto"/>
              <w:right w:val="single" w:sz="4" w:space="0" w:color="auto"/>
            </w:tcBorders>
          </w:tcPr>
          <w:p w14:paraId="29B73E60" w14:textId="5E10DC4D" w:rsidR="00AB7FCD" w:rsidRPr="003E5E8E" w:rsidRDefault="00AB7FCD" w:rsidP="00AB7FCD">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9901" w:type="dxa"/>
            <w:tcBorders>
              <w:top w:val="single" w:sz="4" w:space="0" w:color="auto"/>
              <w:left w:val="single" w:sz="4" w:space="0" w:color="auto"/>
              <w:bottom w:val="single" w:sz="4" w:space="0" w:color="auto"/>
              <w:right w:val="single" w:sz="4" w:space="0" w:color="auto"/>
            </w:tcBorders>
          </w:tcPr>
          <w:p w14:paraId="75E0A258" w14:textId="45F9E792" w:rsidR="00AB7FCD" w:rsidRPr="00BF0572" w:rsidRDefault="00BF0572" w:rsidP="00AB7FCD">
            <w:pPr>
              <w:jc w:val="both"/>
              <w:rPr>
                <w:rFonts w:ascii="Times New Roman" w:eastAsia="Times New Roman" w:hAnsi="Times New Roman" w:cs="Times New Roman"/>
                <w:bCs/>
                <w:sz w:val="24"/>
                <w:szCs w:val="24"/>
              </w:rPr>
            </w:pPr>
            <w:r w:rsidRPr="00BF0572">
              <w:rPr>
                <w:rFonts w:ascii="Times New Roman" w:eastAsia="Times New Roman" w:hAnsi="Times New Roman" w:cs="Times New Roman"/>
                <w:bCs/>
                <w:sz w:val="24"/>
                <w:szCs w:val="24"/>
              </w:rPr>
              <w:t>-</w:t>
            </w:r>
          </w:p>
        </w:tc>
        <w:tc>
          <w:tcPr>
            <w:tcW w:w="2713" w:type="dxa"/>
          </w:tcPr>
          <w:p w14:paraId="45C0F005" w14:textId="1F35A548" w:rsidR="00AB7FCD" w:rsidRPr="00BF0572" w:rsidRDefault="00BF0572" w:rsidP="00AB7FCD">
            <w:pPr>
              <w:tabs>
                <w:tab w:val="left" w:pos="272"/>
              </w:tabs>
              <w:jc w:val="both"/>
              <w:rPr>
                <w:rFonts w:ascii="Times New Roman" w:eastAsia="Times New Roman" w:hAnsi="Times New Roman" w:cs="Times New Roman"/>
                <w:sz w:val="24"/>
                <w:szCs w:val="24"/>
              </w:rPr>
            </w:pPr>
            <w:r w:rsidRPr="00BF0572">
              <w:rPr>
                <w:rFonts w:ascii="Times New Roman" w:eastAsia="Times New Roman" w:hAnsi="Times New Roman" w:cs="Times New Roman"/>
                <w:sz w:val="24"/>
                <w:szCs w:val="24"/>
              </w:rPr>
              <w:t>-</w:t>
            </w:r>
          </w:p>
        </w:tc>
      </w:tr>
      <w:tr w:rsidR="00AB7FCD" w:rsidRPr="003E5E8E" w14:paraId="724F5672" w14:textId="77777777" w:rsidTr="009723C3">
        <w:tc>
          <w:tcPr>
            <w:tcW w:w="570" w:type="dxa"/>
          </w:tcPr>
          <w:p w14:paraId="3BC36952"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1979" w:type="dxa"/>
            <w:tcBorders>
              <w:top w:val="single" w:sz="4" w:space="0" w:color="auto"/>
              <w:left w:val="single" w:sz="4" w:space="0" w:color="auto"/>
              <w:bottom w:val="single" w:sz="4" w:space="0" w:color="auto"/>
              <w:right w:val="single" w:sz="4" w:space="0" w:color="auto"/>
            </w:tcBorders>
          </w:tcPr>
          <w:p w14:paraId="52AC4B79" w14:textId="070EA5F3" w:rsidR="00AB7FCD" w:rsidRPr="003E5E8E" w:rsidRDefault="00AB7FCD" w:rsidP="00AB7FCD">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9901" w:type="dxa"/>
            <w:tcBorders>
              <w:top w:val="single" w:sz="4" w:space="0" w:color="auto"/>
              <w:left w:val="single" w:sz="4" w:space="0" w:color="auto"/>
              <w:bottom w:val="single" w:sz="4" w:space="0" w:color="auto"/>
              <w:right w:val="single" w:sz="4" w:space="0" w:color="auto"/>
            </w:tcBorders>
            <w:vAlign w:val="center"/>
          </w:tcPr>
          <w:p w14:paraId="36D8553F" w14:textId="68127B71" w:rsidR="00AB7FCD" w:rsidRPr="00BF0572" w:rsidRDefault="00BF0572" w:rsidP="00AB7FCD">
            <w:pPr>
              <w:jc w:val="both"/>
              <w:rPr>
                <w:rFonts w:ascii="Times New Roman" w:eastAsia="Times New Roman" w:hAnsi="Times New Roman" w:cs="Times New Roman"/>
                <w:sz w:val="24"/>
                <w:szCs w:val="24"/>
              </w:rPr>
            </w:pPr>
            <w:r w:rsidRPr="00BF0572">
              <w:rPr>
                <w:rFonts w:ascii="Times New Roman" w:eastAsia="Times New Roman" w:hAnsi="Times New Roman" w:cs="Times New Roman"/>
                <w:sz w:val="24"/>
                <w:szCs w:val="24"/>
              </w:rPr>
              <w:t>-</w:t>
            </w:r>
          </w:p>
        </w:tc>
        <w:tc>
          <w:tcPr>
            <w:tcW w:w="2713" w:type="dxa"/>
            <w:vAlign w:val="center"/>
          </w:tcPr>
          <w:p w14:paraId="244B2822" w14:textId="28169869" w:rsidR="00AB7FCD" w:rsidRPr="00BF0572" w:rsidRDefault="00BF0572" w:rsidP="00AB7FCD">
            <w:pPr>
              <w:tabs>
                <w:tab w:val="left" w:pos="272"/>
              </w:tabs>
              <w:jc w:val="both"/>
              <w:rPr>
                <w:rFonts w:ascii="Times New Roman" w:eastAsia="Times New Roman" w:hAnsi="Times New Roman" w:cs="Times New Roman"/>
                <w:sz w:val="24"/>
                <w:szCs w:val="24"/>
              </w:rPr>
            </w:pPr>
            <w:r w:rsidRPr="00BF0572">
              <w:rPr>
                <w:rFonts w:ascii="Times New Roman" w:eastAsia="Times New Roman" w:hAnsi="Times New Roman" w:cs="Times New Roman"/>
                <w:sz w:val="24"/>
                <w:szCs w:val="24"/>
              </w:rPr>
              <w:t>-</w:t>
            </w:r>
          </w:p>
        </w:tc>
      </w:tr>
      <w:tr w:rsidR="00AB7FCD" w:rsidRPr="003E5E8E" w14:paraId="29BBB633" w14:textId="77777777" w:rsidTr="009723C3">
        <w:tc>
          <w:tcPr>
            <w:tcW w:w="570" w:type="dxa"/>
          </w:tcPr>
          <w:p w14:paraId="68B45929"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1979" w:type="dxa"/>
            <w:tcBorders>
              <w:top w:val="single" w:sz="4" w:space="0" w:color="auto"/>
              <w:left w:val="single" w:sz="4" w:space="0" w:color="auto"/>
              <w:bottom w:val="single" w:sz="4" w:space="0" w:color="auto"/>
              <w:right w:val="single" w:sz="4" w:space="0" w:color="auto"/>
            </w:tcBorders>
          </w:tcPr>
          <w:p w14:paraId="69CD5C93" w14:textId="17F7C6E6" w:rsidR="00AB7FCD" w:rsidRPr="003E5E8E" w:rsidRDefault="009723C3" w:rsidP="009723C3">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9901" w:type="dxa"/>
            <w:tcBorders>
              <w:top w:val="single" w:sz="4" w:space="0" w:color="auto"/>
              <w:left w:val="single" w:sz="4" w:space="0" w:color="auto"/>
              <w:bottom w:val="single" w:sz="4" w:space="0" w:color="auto"/>
              <w:right w:val="single" w:sz="4" w:space="0" w:color="auto"/>
            </w:tcBorders>
            <w:vAlign w:val="center"/>
          </w:tcPr>
          <w:p w14:paraId="066555B6" w14:textId="05E1BF60" w:rsidR="00AB7FCD" w:rsidRPr="003E5E8E" w:rsidRDefault="00BF0572" w:rsidP="00AB7FCD">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13" w:type="dxa"/>
            <w:vAlign w:val="center"/>
          </w:tcPr>
          <w:p w14:paraId="7895E694" w14:textId="40778770" w:rsidR="00AB7FCD" w:rsidRPr="003E5E8E" w:rsidRDefault="00BF0572" w:rsidP="00AB7FCD">
            <w:pPr>
              <w:tabs>
                <w:tab w:val="left" w:pos="2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14994E0" w14:textId="77777777" w:rsidR="00FA036A" w:rsidRDefault="00FA036A"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570"/>
        <w:gridCol w:w="1979"/>
        <w:gridCol w:w="9901"/>
        <w:gridCol w:w="2713"/>
      </w:tblGrid>
      <w:tr w:rsidR="009723C3" w:rsidRPr="003E5E8E" w14:paraId="14871736" w14:textId="77777777">
        <w:trPr>
          <w:trHeight w:val="1040"/>
        </w:trPr>
        <w:tc>
          <w:tcPr>
            <w:tcW w:w="570" w:type="dxa"/>
            <w:shd w:val="clear" w:color="auto" w:fill="DEEAF6"/>
          </w:tcPr>
          <w:p w14:paraId="41E7D215" w14:textId="77777777" w:rsidR="009723C3" w:rsidRPr="003E5E8E" w:rsidRDefault="009723C3">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1979" w:type="dxa"/>
            <w:shd w:val="clear" w:color="auto" w:fill="DEEAF6"/>
          </w:tcPr>
          <w:p w14:paraId="75733815" w14:textId="77777777" w:rsidR="009723C3" w:rsidRPr="003E5E8E" w:rsidRDefault="009723C3">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603B7044" w14:textId="77777777" w:rsidR="009723C3" w:rsidRPr="003E5E8E" w:rsidRDefault="009723C3">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9901" w:type="dxa"/>
            <w:shd w:val="clear" w:color="auto" w:fill="DEEAF6"/>
          </w:tcPr>
          <w:p w14:paraId="634EDD9B" w14:textId="7DE5B260" w:rsidR="009723C3" w:rsidRPr="003E5E8E" w:rsidRDefault="009723C3">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Pr>
                <w:rFonts w:ascii="Times New Roman" w:eastAsia="Times New Roman" w:hAnsi="Times New Roman" w:cs="Times New Roman"/>
                <w:b/>
                <w:bCs/>
                <w:sz w:val="24"/>
                <w:szCs w:val="24"/>
              </w:rPr>
              <w:t xml:space="preserve">2 </w:t>
            </w:r>
            <w:r w:rsidRPr="003E5E8E">
              <w:rPr>
                <w:rFonts w:ascii="Times New Roman" w:eastAsia="Times New Roman" w:hAnsi="Times New Roman" w:cs="Times New Roman"/>
                <w:b/>
                <w:bCs/>
                <w:sz w:val="24"/>
                <w:szCs w:val="24"/>
              </w:rPr>
              <w:t>dalyvio atsakymai</w:t>
            </w:r>
          </w:p>
          <w:p w14:paraId="63987BA4" w14:textId="77777777" w:rsidR="009723C3" w:rsidRPr="003E5E8E" w:rsidRDefault="009723C3">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713" w:type="dxa"/>
            <w:shd w:val="clear" w:color="auto" w:fill="DEEAF6"/>
          </w:tcPr>
          <w:p w14:paraId="6BCC37D7" w14:textId="3D3E8F0E" w:rsidR="009723C3" w:rsidRPr="003E5E8E" w:rsidRDefault="009723C3">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Pr>
                <w:rFonts w:ascii="Times New Roman" w:eastAsia="Times New Roman" w:hAnsi="Times New Roman" w:cs="Times New Roman"/>
                <w:b/>
                <w:bCs/>
                <w:sz w:val="24"/>
                <w:szCs w:val="24"/>
              </w:rPr>
              <w:t xml:space="preserve">2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9723C3" w:rsidRPr="003E5E8E" w14:paraId="091A773B" w14:textId="77777777">
        <w:tc>
          <w:tcPr>
            <w:tcW w:w="570" w:type="dxa"/>
          </w:tcPr>
          <w:p w14:paraId="1D923FDF" w14:textId="77777777" w:rsidR="009723C3" w:rsidRPr="003E5E8E" w:rsidRDefault="009723C3">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1979" w:type="dxa"/>
          </w:tcPr>
          <w:p w14:paraId="0EA90BE8" w14:textId="77777777" w:rsidR="009723C3" w:rsidRPr="003E5E8E" w:rsidRDefault="009723C3">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9901" w:type="dxa"/>
          </w:tcPr>
          <w:p w14:paraId="063A781C" w14:textId="4B2EA6EC" w:rsidR="009723C3" w:rsidRPr="003E5E8E" w:rsidRDefault="009723C3">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w:t>
            </w:r>
          </w:p>
        </w:tc>
        <w:tc>
          <w:tcPr>
            <w:tcW w:w="2713" w:type="dxa"/>
          </w:tcPr>
          <w:p w14:paraId="0C1E7FD3" w14:textId="77777777" w:rsidR="009723C3" w:rsidRPr="003E5E8E" w:rsidRDefault="009723C3">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217BF1F0" w14:textId="77777777">
        <w:tc>
          <w:tcPr>
            <w:tcW w:w="570" w:type="dxa"/>
          </w:tcPr>
          <w:p w14:paraId="575CC10A" w14:textId="77777777" w:rsidR="00C12C36" w:rsidRPr="003E5E8E" w:rsidRDefault="00C12C36" w:rsidP="00C12C36">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1979" w:type="dxa"/>
          </w:tcPr>
          <w:p w14:paraId="1C6675BA" w14:textId="77777777" w:rsidR="00C12C36" w:rsidRPr="003E5E8E" w:rsidRDefault="00C12C36" w:rsidP="00C12C36">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1 -5 pirkimo dalių techninėse specifikacijose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9901" w:type="dxa"/>
          </w:tcPr>
          <w:p w14:paraId="21BF12ED" w14:textId="2A82DA7D" w:rsidR="00C12C36" w:rsidRPr="00ED6635" w:rsidRDefault="00C12C36" w:rsidP="00C12C36">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Aiškūs</w:t>
            </w:r>
          </w:p>
        </w:tc>
        <w:tc>
          <w:tcPr>
            <w:tcW w:w="2713" w:type="dxa"/>
          </w:tcPr>
          <w:p w14:paraId="3A45C3F9" w14:textId="58C73974" w:rsidR="00C12C36" w:rsidRPr="00ED6635" w:rsidRDefault="00C12C36" w:rsidP="00C12C36">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21E1648C" w14:textId="77777777">
        <w:tc>
          <w:tcPr>
            <w:tcW w:w="570" w:type="dxa"/>
          </w:tcPr>
          <w:p w14:paraId="2AFD4CCB" w14:textId="77777777" w:rsidR="00C12C36" w:rsidRPr="003E5E8E" w:rsidRDefault="00C12C36" w:rsidP="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1979" w:type="dxa"/>
            <w:tcBorders>
              <w:top w:val="single" w:sz="6" w:space="0" w:color="auto"/>
              <w:left w:val="single" w:sz="6" w:space="0" w:color="auto"/>
              <w:bottom w:val="single" w:sz="6" w:space="0" w:color="auto"/>
              <w:right w:val="single" w:sz="6" w:space="0" w:color="auto"/>
            </w:tcBorders>
          </w:tcPr>
          <w:p w14:paraId="5277E1F5" w14:textId="77777777" w:rsidR="00C12C36" w:rsidRPr="003E5E8E" w:rsidRDefault="00C12C36" w:rsidP="00C12C36">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9901" w:type="dxa"/>
          </w:tcPr>
          <w:p w14:paraId="5C246884" w14:textId="6DB3E088" w:rsidR="00C12C36" w:rsidRPr="00ED6635" w:rsidRDefault="00C12C36" w:rsidP="00C12C36">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sz w:val="24"/>
                <w:szCs w:val="24"/>
              </w:rPr>
              <w:t>Taip</w:t>
            </w:r>
          </w:p>
        </w:tc>
        <w:tc>
          <w:tcPr>
            <w:tcW w:w="2713" w:type="dxa"/>
          </w:tcPr>
          <w:p w14:paraId="7BCA7B19" w14:textId="74A67115" w:rsidR="00C12C36" w:rsidRPr="00ED6635" w:rsidRDefault="00C12C36" w:rsidP="00C12C36">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465D7B17" w14:textId="77777777">
        <w:tc>
          <w:tcPr>
            <w:tcW w:w="570" w:type="dxa"/>
          </w:tcPr>
          <w:p w14:paraId="5EDB0914" w14:textId="77777777" w:rsidR="00C12C36" w:rsidRPr="00225988" w:rsidRDefault="00C12C36" w:rsidP="00C12C36">
            <w:pPr>
              <w:jc w:val="both"/>
              <w:rPr>
                <w:rFonts w:ascii="Times New Roman" w:eastAsia="Times New Roman" w:hAnsi="Times New Roman" w:cs="Times New Roman"/>
                <w:bCs/>
                <w:sz w:val="24"/>
                <w:szCs w:val="24"/>
              </w:rPr>
            </w:pPr>
            <w:r w:rsidRPr="00225988">
              <w:rPr>
                <w:rFonts w:ascii="Times New Roman" w:eastAsia="Times New Roman" w:hAnsi="Times New Roman" w:cs="Times New Roman"/>
                <w:bCs/>
                <w:sz w:val="24"/>
                <w:szCs w:val="24"/>
              </w:rPr>
              <w:t>4.</w:t>
            </w:r>
          </w:p>
        </w:tc>
        <w:tc>
          <w:tcPr>
            <w:tcW w:w="1979" w:type="dxa"/>
            <w:tcBorders>
              <w:top w:val="single" w:sz="6" w:space="0" w:color="auto"/>
              <w:left w:val="single" w:sz="6" w:space="0" w:color="auto"/>
              <w:bottom w:val="single" w:sz="6" w:space="0" w:color="auto"/>
              <w:right w:val="single" w:sz="6" w:space="0" w:color="auto"/>
            </w:tcBorders>
          </w:tcPr>
          <w:p w14:paraId="13F82347" w14:textId="77777777" w:rsidR="00C12C36" w:rsidRPr="00225988" w:rsidRDefault="00C12C36" w:rsidP="00C12C36">
            <w:pPr>
              <w:jc w:val="both"/>
              <w:rPr>
                <w:rFonts w:ascii="Times New Roman" w:eastAsia="Times New Roman" w:hAnsi="Times New Roman" w:cs="Times New Roman"/>
                <w:bCs/>
                <w:sz w:val="24"/>
                <w:szCs w:val="24"/>
              </w:rPr>
            </w:pPr>
            <w:r w:rsidRPr="00225988">
              <w:rPr>
                <w:rStyle w:val="normaltextrun"/>
                <w:rFonts w:ascii="Times New Roman" w:hAnsi="Times New Roman" w:cs="Times New Roman"/>
                <w:sz w:val="24"/>
                <w:szCs w:val="24"/>
              </w:rPr>
              <w:t xml:space="preserve">Ar TS yra reikalavimų, kurie riboja konkurenciją bei yra sunkiai įgyvendinami? </w:t>
            </w:r>
            <w:r w:rsidRPr="00225988">
              <w:rPr>
                <w:rStyle w:val="normaltextrun"/>
                <w:rFonts w:ascii="Times New Roman" w:hAnsi="Times New Roman" w:cs="Times New Roman"/>
                <w:i/>
                <w:iCs/>
                <w:sz w:val="24"/>
                <w:szCs w:val="24"/>
              </w:rPr>
              <w:t>(jei taip, prašome nurodyti šiuos reikalavimus)</w:t>
            </w:r>
            <w:r w:rsidRPr="00225988">
              <w:rPr>
                <w:rStyle w:val="eop"/>
                <w:rFonts w:ascii="Times New Roman" w:hAnsi="Times New Roman" w:cs="Times New Roman"/>
                <w:sz w:val="24"/>
                <w:szCs w:val="24"/>
              </w:rPr>
              <w:t> </w:t>
            </w:r>
          </w:p>
        </w:tc>
        <w:tc>
          <w:tcPr>
            <w:tcW w:w="9901" w:type="dxa"/>
            <w:vAlign w:val="center"/>
          </w:tcPr>
          <w:p w14:paraId="30CBDC42" w14:textId="7057674B" w:rsidR="00C12C36" w:rsidRPr="00ED6635" w:rsidRDefault="00C12C36" w:rsidP="00C12C36">
            <w:pPr>
              <w:jc w:val="both"/>
              <w:rPr>
                <w:rFonts w:ascii="Times New Roman" w:eastAsia="Times New Roman" w:hAnsi="Times New Roman" w:cs="Times New Roman"/>
                <w:bCs/>
                <w:color w:val="000000" w:themeColor="text1"/>
                <w:sz w:val="24"/>
                <w:szCs w:val="24"/>
              </w:rPr>
            </w:pPr>
            <w:r w:rsidRPr="00C12C36">
              <w:rPr>
                <w:rFonts w:ascii="Times New Roman" w:eastAsia="Times New Roman" w:hAnsi="Times New Roman" w:cs="Times New Roman"/>
                <w:bCs/>
                <w:color w:val="000000" w:themeColor="text1"/>
                <w:sz w:val="24"/>
                <w:szCs w:val="24"/>
              </w:rPr>
              <w:t>Manome, jog nurodyti našumo reikalavimai SPECrate2017_int_base 389 ir SPECrate2017_fp_base 544 palankiausi Dell. Kitų gamintojų atitinkančių kitus techninės specifikacijos reikalavimus su identiškais procesoriais našumas yra neženkliai mažesnis. Siūlome atitinkamai sumažinti našumo reikalavimus.</w:t>
            </w:r>
          </w:p>
        </w:tc>
        <w:tc>
          <w:tcPr>
            <w:tcW w:w="2713" w:type="dxa"/>
          </w:tcPr>
          <w:p w14:paraId="17CD9F1B" w14:textId="08764D1C" w:rsidR="00C12C36" w:rsidRPr="00ED6635" w:rsidRDefault="00F6172C" w:rsidP="00C12C36">
            <w:pPr>
              <w:jc w:val="both"/>
              <w:rPr>
                <w:rFonts w:ascii="Times New Roman" w:eastAsia="Times New Roman" w:hAnsi="Times New Roman" w:cs="Times New Roman"/>
                <w:color w:val="000000" w:themeColor="text1"/>
                <w:sz w:val="24"/>
                <w:szCs w:val="24"/>
                <w:highlight w:val="yellow"/>
              </w:rPr>
            </w:pPr>
            <w:r w:rsidRPr="003E5E8E">
              <w:rPr>
                <w:rFonts w:ascii="Times New Roman" w:eastAsia="Times New Roman" w:hAnsi="Times New Roman" w:cs="Times New Roman"/>
                <w:sz w:val="24"/>
                <w:szCs w:val="24"/>
              </w:rPr>
              <w:t>Dėkojame už pateiktą atsakymą.</w:t>
            </w:r>
          </w:p>
        </w:tc>
      </w:tr>
      <w:tr w:rsidR="00C12C36" w:rsidRPr="003E5E8E" w14:paraId="1DE01792" w14:textId="77777777">
        <w:tc>
          <w:tcPr>
            <w:tcW w:w="570" w:type="dxa"/>
          </w:tcPr>
          <w:p w14:paraId="0B48089C" w14:textId="77777777" w:rsidR="00C12C36" w:rsidRPr="003E5E8E" w:rsidRDefault="00C12C36" w:rsidP="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5.</w:t>
            </w:r>
          </w:p>
        </w:tc>
        <w:tc>
          <w:tcPr>
            <w:tcW w:w="1979" w:type="dxa"/>
            <w:tcBorders>
              <w:bottom w:val="single" w:sz="4" w:space="0" w:color="auto"/>
            </w:tcBorders>
          </w:tcPr>
          <w:p w14:paraId="657F07AF" w14:textId="77777777" w:rsidR="00C12C36" w:rsidRPr="003E5E8E" w:rsidRDefault="00C12C36" w:rsidP="00C12C36">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9901" w:type="dxa"/>
            <w:tcBorders>
              <w:bottom w:val="single" w:sz="4" w:space="0" w:color="auto"/>
            </w:tcBorders>
          </w:tcPr>
          <w:p w14:paraId="5556BB8F" w14:textId="2992F612" w:rsidR="00C12C36" w:rsidRPr="00ED6635" w:rsidRDefault="00C12C36" w:rsidP="00C12C36">
            <w:pPr>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w:t>
            </w:r>
          </w:p>
        </w:tc>
        <w:tc>
          <w:tcPr>
            <w:tcW w:w="2713" w:type="dxa"/>
          </w:tcPr>
          <w:p w14:paraId="7B6647DE" w14:textId="05F6D2EE" w:rsidR="00C12C36" w:rsidRPr="00ED6635" w:rsidRDefault="00C12C36" w:rsidP="00C12C36">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r w:rsidR="00C12C36" w:rsidRPr="003E5E8E" w14:paraId="600153ED" w14:textId="77777777">
        <w:tc>
          <w:tcPr>
            <w:tcW w:w="570" w:type="dxa"/>
          </w:tcPr>
          <w:p w14:paraId="38F502B2" w14:textId="77777777" w:rsidR="00C12C36" w:rsidRPr="003E5E8E" w:rsidRDefault="00C12C36" w:rsidP="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1979" w:type="dxa"/>
            <w:tcBorders>
              <w:top w:val="single" w:sz="4" w:space="0" w:color="auto"/>
              <w:left w:val="single" w:sz="4" w:space="0" w:color="auto"/>
              <w:bottom w:val="single" w:sz="4" w:space="0" w:color="auto"/>
              <w:right w:val="single" w:sz="4" w:space="0" w:color="auto"/>
            </w:tcBorders>
          </w:tcPr>
          <w:p w14:paraId="2A754B85" w14:textId="77777777" w:rsidR="00C12C36" w:rsidRPr="003E5E8E" w:rsidRDefault="00C12C36" w:rsidP="00C12C36">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9901" w:type="dxa"/>
            <w:tcBorders>
              <w:top w:val="single" w:sz="4" w:space="0" w:color="auto"/>
              <w:left w:val="single" w:sz="4" w:space="0" w:color="auto"/>
              <w:bottom w:val="single" w:sz="4" w:space="0" w:color="auto"/>
              <w:right w:val="single" w:sz="4" w:space="0" w:color="auto"/>
            </w:tcBorders>
          </w:tcPr>
          <w:p w14:paraId="70DEF386" w14:textId="1A15D836" w:rsidR="00C12C36" w:rsidRPr="003E5E8E" w:rsidRDefault="00C12C36" w:rsidP="00C12C36">
            <w:pPr>
              <w:jc w:val="both"/>
              <w:rPr>
                <w:rFonts w:ascii="Times New Roman" w:eastAsia="Times New Roman" w:hAnsi="Times New Roman" w:cs="Times New Roman"/>
                <w:bCs/>
                <w:sz w:val="24"/>
                <w:szCs w:val="24"/>
              </w:rPr>
            </w:pPr>
            <w:r w:rsidRPr="00C12C36">
              <w:rPr>
                <w:rFonts w:ascii="Times New Roman" w:eastAsia="Times New Roman" w:hAnsi="Times New Roman" w:cs="Times New Roman"/>
                <w:bCs/>
                <w:sz w:val="24"/>
                <w:szCs w:val="24"/>
              </w:rPr>
              <w:t>Pirkimo objekto kainą įtakoja perkamų serverių kiekis, šiuo atveju jis nėra nurodytas.</w:t>
            </w:r>
          </w:p>
        </w:tc>
        <w:tc>
          <w:tcPr>
            <w:tcW w:w="2713" w:type="dxa"/>
          </w:tcPr>
          <w:p w14:paraId="34313D16" w14:textId="64214976" w:rsidR="00C12C36" w:rsidRPr="003E5E8E" w:rsidRDefault="00C12C36" w:rsidP="00C12C36">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196621D6" w14:textId="77777777">
        <w:tc>
          <w:tcPr>
            <w:tcW w:w="570" w:type="dxa"/>
          </w:tcPr>
          <w:p w14:paraId="2DFD8A42" w14:textId="77777777" w:rsidR="00C12C36" w:rsidRPr="003E5E8E" w:rsidRDefault="00C12C36" w:rsidP="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1979" w:type="dxa"/>
            <w:tcBorders>
              <w:top w:val="single" w:sz="4" w:space="0" w:color="auto"/>
              <w:left w:val="single" w:sz="4" w:space="0" w:color="auto"/>
              <w:bottom w:val="single" w:sz="4" w:space="0" w:color="auto"/>
              <w:right w:val="single" w:sz="4" w:space="0" w:color="auto"/>
            </w:tcBorders>
          </w:tcPr>
          <w:p w14:paraId="72ADD3AD" w14:textId="77777777" w:rsidR="00C12C36" w:rsidRPr="003E5E8E" w:rsidRDefault="00C12C36" w:rsidP="00C12C36">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9901" w:type="dxa"/>
            <w:tcBorders>
              <w:top w:val="single" w:sz="4" w:space="0" w:color="auto"/>
              <w:left w:val="single" w:sz="4" w:space="0" w:color="auto"/>
              <w:bottom w:val="single" w:sz="4" w:space="0" w:color="auto"/>
              <w:right w:val="single" w:sz="4" w:space="0" w:color="auto"/>
            </w:tcBorders>
          </w:tcPr>
          <w:p w14:paraId="119E7B8D" w14:textId="2A3EE19B" w:rsidR="00C12C36" w:rsidRPr="00C12C36" w:rsidRDefault="00C12C36" w:rsidP="00C12C36">
            <w:pPr>
              <w:jc w:val="both"/>
              <w:rPr>
                <w:rFonts w:ascii="Times New Roman" w:eastAsia="Times New Roman" w:hAnsi="Times New Roman" w:cs="Times New Roman"/>
                <w:bCs/>
                <w:sz w:val="24"/>
                <w:szCs w:val="24"/>
              </w:rPr>
            </w:pPr>
            <w:r w:rsidRPr="00C12C36">
              <w:rPr>
                <w:rFonts w:ascii="Times New Roman" w:eastAsia="Times New Roman" w:hAnsi="Times New Roman" w:cs="Times New Roman"/>
                <w:bCs/>
                <w:sz w:val="24"/>
                <w:szCs w:val="24"/>
              </w:rPr>
              <w:t>-</w:t>
            </w:r>
          </w:p>
        </w:tc>
        <w:tc>
          <w:tcPr>
            <w:tcW w:w="2713" w:type="dxa"/>
          </w:tcPr>
          <w:p w14:paraId="07F692B0" w14:textId="4961B679" w:rsidR="00C12C36" w:rsidRPr="00C12C36" w:rsidRDefault="00C12C36" w:rsidP="00C12C36">
            <w:pPr>
              <w:tabs>
                <w:tab w:val="left" w:pos="272"/>
              </w:tabs>
              <w:jc w:val="both"/>
              <w:rPr>
                <w:rFonts w:ascii="Times New Roman" w:eastAsia="Times New Roman" w:hAnsi="Times New Roman" w:cs="Times New Roman"/>
                <w:sz w:val="24"/>
                <w:szCs w:val="24"/>
              </w:rPr>
            </w:pPr>
            <w:r w:rsidRPr="00C12C36">
              <w:rPr>
                <w:rFonts w:ascii="Times New Roman" w:eastAsia="Times New Roman" w:hAnsi="Times New Roman" w:cs="Times New Roman"/>
                <w:sz w:val="24"/>
                <w:szCs w:val="24"/>
              </w:rPr>
              <w:t>-</w:t>
            </w:r>
          </w:p>
        </w:tc>
      </w:tr>
      <w:tr w:rsidR="00C12C36" w:rsidRPr="003E5E8E" w14:paraId="761C739D" w14:textId="77777777">
        <w:tc>
          <w:tcPr>
            <w:tcW w:w="570" w:type="dxa"/>
          </w:tcPr>
          <w:p w14:paraId="7E2CD58C" w14:textId="77777777" w:rsidR="00C12C36" w:rsidRPr="003E5E8E" w:rsidRDefault="00C12C36" w:rsidP="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1979" w:type="dxa"/>
            <w:tcBorders>
              <w:top w:val="single" w:sz="4" w:space="0" w:color="auto"/>
              <w:left w:val="single" w:sz="4" w:space="0" w:color="auto"/>
              <w:bottom w:val="single" w:sz="4" w:space="0" w:color="auto"/>
              <w:right w:val="single" w:sz="4" w:space="0" w:color="auto"/>
            </w:tcBorders>
          </w:tcPr>
          <w:p w14:paraId="19094EA7" w14:textId="77777777" w:rsidR="00C12C36" w:rsidRPr="003E5E8E" w:rsidRDefault="00C12C36" w:rsidP="00C12C36">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9901" w:type="dxa"/>
            <w:tcBorders>
              <w:top w:val="single" w:sz="4" w:space="0" w:color="auto"/>
              <w:left w:val="single" w:sz="4" w:space="0" w:color="auto"/>
              <w:bottom w:val="single" w:sz="4" w:space="0" w:color="auto"/>
              <w:right w:val="single" w:sz="4" w:space="0" w:color="auto"/>
            </w:tcBorders>
            <w:vAlign w:val="center"/>
          </w:tcPr>
          <w:p w14:paraId="151B1AA3" w14:textId="44A21E84" w:rsidR="00C12C36" w:rsidRPr="00C12C36" w:rsidRDefault="00C12C36" w:rsidP="00C12C36">
            <w:pPr>
              <w:jc w:val="both"/>
              <w:rPr>
                <w:rFonts w:ascii="Times New Roman" w:eastAsia="Times New Roman" w:hAnsi="Times New Roman" w:cs="Times New Roman"/>
                <w:sz w:val="24"/>
                <w:szCs w:val="24"/>
              </w:rPr>
            </w:pPr>
            <w:r w:rsidRPr="00C12C36">
              <w:rPr>
                <w:rFonts w:ascii="Times New Roman" w:eastAsia="Times New Roman" w:hAnsi="Times New Roman" w:cs="Times New Roman"/>
                <w:sz w:val="24"/>
                <w:szCs w:val="24"/>
              </w:rPr>
              <w:t>-</w:t>
            </w:r>
          </w:p>
        </w:tc>
        <w:tc>
          <w:tcPr>
            <w:tcW w:w="2713" w:type="dxa"/>
            <w:vAlign w:val="center"/>
          </w:tcPr>
          <w:p w14:paraId="4BD99B02" w14:textId="1A7990A3" w:rsidR="00C12C36" w:rsidRPr="00C12C36" w:rsidRDefault="00C12C36" w:rsidP="00C12C36">
            <w:pPr>
              <w:tabs>
                <w:tab w:val="left" w:pos="272"/>
              </w:tabs>
              <w:jc w:val="both"/>
              <w:rPr>
                <w:rFonts w:ascii="Times New Roman" w:eastAsia="Times New Roman" w:hAnsi="Times New Roman" w:cs="Times New Roman"/>
                <w:sz w:val="24"/>
                <w:szCs w:val="24"/>
              </w:rPr>
            </w:pPr>
            <w:r w:rsidRPr="00C12C36">
              <w:rPr>
                <w:rFonts w:ascii="Times New Roman" w:eastAsia="Times New Roman" w:hAnsi="Times New Roman" w:cs="Times New Roman"/>
                <w:sz w:val="24"/>
                <w:szCs w:val="24"/>
              </w:rPr>
              <w:t>-</w:t>
            </w:r>
          </w:p>
        </w:tc>
      </w:tr>
      <w:tr w:rsidR="00C12C36" w:rsidRPr="003E5E8E" w14:paraId="7B3C3C6A" w14:textId="77777777">
        <w:tc>
          <w:tcPr>
            <w:tcW w:w="570" w:type="dxa"/>
          </w:tcPr>
          <w:p w14:paraId="3C8C50B6" w14:textId="77777777" w:rsidR="00C12C36" w:rsidRPr="003E5E8E" w:rsidRDefault="00C12C36" w:rsidP="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1979" w:type="dxa"/>
            <w:tcBorders>
              <w:top w:val="single" w:sz="4" w:space="0" w:color="auto"/>
              <w:left w:val="single" w:sz="4" w:space="0" w:color="auto"/>
              <w:bottom w:val="single" w:sz="4" w:space="0" w:color="auto"/>
              <w:right w:val="single" w:sz="4" w:space="0" w:color="auto"/>
            </w:tcBorders>
          </w:tcPr>
          <w:p w14:paraId="6E012790" w14:textId="77777777" w:rsidR="00C12C36" w:rsidRPr="003E5E8E" w:rsidRDefault="00C12C36" w:rsidP="00C12C36">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9901" w:type="dxa"/>
            <w:tcBorders>
              <w:top w:val="single" w:sz="4" w:space="0" w:color="auto"/>
              <w:left w:val="single" w:sz="4" w:space="0" w:color="auto"/>
              <w:bottom w:val="single" w:sz="4" w:space="0" w:color="auto"/>
              <w:right w:val="single" w:sz="4" w:space="0" w:color="auto"/>
            </w:tcBorders>
            <w:vAlign w:val="center"/>
          </w:tcPr>
          <w:p w14:paraId="3D57AA29" w14:textId="44AE7928" w:rsidR="00C12C36" w:rsidRPr="00C12C36" w:rsidRDefault="00C12C36" w:rsidP="00C12C36">
            <w:pPr>
              <w:autoSpaceDE w:val="0"/>
              <w:autoSpaceDN w:val="0"/>
              <w:adjustRightInd w:val="0"/>
              <w:jc w:val="both"/>
              <w:rPr>
                <w:rFonts w:ascii="Times New Roman" w:eastAsia="Calibri" w:hAnsi="Times New Roman" w:cs="Times New Roman"/>
                <w:sz w:val="24"/>
                <w:szCs w:val="24"/>
              </w:rPr>
            </w:pPr>
            <w:r w:rsidRPr="00C12C36">
              <w:rPr>
                <w:rFonts w:ascii="Times New Roman" w:eastAsia="Calibri" w:hAnsi="Times New Roman" w:cs="Times New Roman"/>
                <w:sz w:val="24"/>
                <w:szCs w:val="24"/>
              </w:rPr>
              <w:t>-</w:t>
            </w:r>
          </w:p>
        </w:tc>
        <w:tc>
          <w:tcPr>
            <w:tcW w:w="2713" w:type="dxa"/>
            <w:vAlign w:val="center"/>
          </w:tcPr>
          <w:p w14:paraId="6727C1A1" w14:textId="746AD95B" w:rsidR="00C12C36" w:rsidRPr="00C12C36" w:rsidRDefault="00C12C36" w:rsidP="00C12C36">
            <w:pPr>
              <w:tabs>
                <w:tab w:val="left" w:pos="272"/>
              </w:tabs>
              <w:jc w:val="both"/>
              <w:rPr>
                <w:rFonts w:ascii="Times New Roman" w:eastAsia="Times New Roman" w:hAnsi="Times New Roman" w:cs="Times New Roman"/>
                <w:sz w:val="24"/>
                <w:szCs w:val="24"/>
              </w:rPr>
            </w:pPr>
            <w:r w:rsidRPr="00C12C36">
              <w:rPr>
                <w:rFonts w:ascii="Times New Roman" w:eastAsia="Times New Roman" w:hAnsi="Times New Roman" w:cs="Times New Roman"/>
                <w:sz w:val="24"/>
                <w:szCs w:val="24"/>
              </w:rPr>
              <w:t>-</w:t>
            </w:r>
          </w:p>
        </w:tc>
      </w:tr>
    </w:tbl>
    <w:p w14:paraId="66ED95E4" w14:textId="77777777" w:rsidR="009723C3"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ayout w:type="fixed"/>
        <w:tblLook w:val="04A0" w:firstRow="1" w:lastRow="0" w:firstColumn="1" w:lastColumn="0" w:noHBand="0" w:noVBand="1"/>
      </w:tblPr>
      <w:tblGrid>
        <w:gridCol w:w="570"/>
        <w:gridCol w:w="1977"/>
        <w:gridCol w:w="9922"/>
        <w:gridCol w:w="2694"/>
      </w:tblGrid>
      <w:tr w:rsidR="00C12C36" w:rsidRPr="003E5E8E" w14:paraId="6BFB3715" w14:textId="77777777" w:rsidTr="00BF0572">
        <w:trPr>
          <w:trHeight w:val="1040"/>
        </w:trPr>
        <w:tc>
          <w:tcPr>
            <w:tcW w:w="570" w:type="dxa"/>
            <w:shd w:val="clear" w:color="auto" w:fill="DEEAF6"/>
          </w:tcPr>
          <w:p w14:paraId="227C9A68" w14:textId="77777777" w:rsidR="00C12C36" w:rsidRPr="003E5E8E" w:rsidRDefault="00C12C36">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1977" w:type="dxa"/>
            <w:shd w:val="clear" w:color="auto" w:fill="DEEAF6"/>
          </w:tcPr>
          <w:p w14:paraId="213C4B4B" w14:textId="77777777" w:rsidR="00C12C36" w:rsidRPr="003E5E8E" w:rsidRDefault="00C12C36">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212148FA" w14:textId="77777777" w:rsidR="00C12C36" w:rsidRPr="003E5E8E" w:rsidRDefault="00C12C36">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9922" w:type="dxa"/>
            <w:shd w:val="clear" w:color="auto" w:fill="DEEAF6"/>
          </w:tcPr>
          <w:p w14:paraId="14F9524D" w14:textId="077B7710" w:rsidR="00C12C36" w:rsidRPr="003E5E8E" w:rsidRDefault="00C12C36">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 xml:space="preserve">Rinkos konsultacijos </w:t>
            </w:r>
            <w:r>
              <w:rPr>
                <w:rFonts w:ascii="Times New Roman" w:eastAsia="Times New Roman" w:hAnsi="Times New Roman" w:cs="Times New Roman"/>
                <w:b/>
                <w:bCs/>
                <w:sz w:val="24"/>
                <w:szCs w:val="24"/>
              </w:rPr>
              <w:t xml:space="preserve">3 </w:t>
            </w:r>
            <w:r w:rsidRPr="003E5E8E">
              <w:rPr>
                <w:rFonts w:ascii="Times New Roman" w:eastAsia="Times New Roman" w:hAnsi="Times New Roman" w:cs="Times New Roman"/>
                <w:b/>
                <w:bCs/>
                <w:sz w:val="24"/>
                <w:szCs w:val="24"/>
              </w:rPr>
              <w:t>dalyvio atsakymai</w:t>
            </w:r>
          </w:p>
          <w:p w14:paraId="3BD6FF48" w14:textId="77777777" w:rsidR="00C12C36" w:rsidRPr="003E5E8E" w:rsidRDefault="00C12C36">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2694" w:type="dxa"/>
            <w:shd w:val="clear" w:color="auto" w:fill="DEEAF6"/>
          </w:tcPr>
          <w:p w14:paraId="420C468C" w14:textId="7D54A9B5" w:rsidR="00C12C36" w:rsidRPr="003E5E8E" w:rsidRDefault="00C12C36">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w:t>
            </w:r>
            <w:r>
              <w:rPr>
                <w:rFonts w:ascii="Times New Roman" w:eastAsia="Times New Roman" w:hAnsi="Times New Roman" w:cs="Times New Roman"/>
                <w:b/>
                <w:bCs/>
                <w:sz w:val="24"/>
                <w:szCs w:val="24"/>
              </w:rPr>
              <w:t xml:space="preserve">3 </w:t>
            </w:r>
            <w:r w:rsidRPr="003E5E8E">
              <w:rPr>
                <w:rFonts w:ascii="Times New Roman" w:eastAsia="Times New Roman" w:hAnsi="Times New Roman" w:cs="Times New Roman"/>
                <w:b/>
                <w:bCs/>
                <w:sz w:val="24"/>
                <w:szCs w:val="24"/>
              </w:rPr>
              <w:t xml:space="preserve">dalyviui </w:t>
            </w:r>
            <w:r w:rsidRPr="003E5E8E">
              <w:rPr>
                <w:rFonts w:ascii="Times New Roman" w:eastAsia="Times New Roman" w:hAnsi="Times New Roman" w:cs="Times New Roman"/>
                <w:sz w:val="24"/>
                <w:szCs w:val="24"/>
              </w:rPr>
              <w:t>(nurodomi atsakymai ir/ar priimti sprendimai)</w:t>
            </w:r>
          </w:p>
        </w:tc>
      </w:tr>
      <w:tr w:rsidR="00C12C36" w:rsidRPr="003E5E8E" w14:paraId="4FFFF66C" w14:textId="77777777" w:rsidTr="00BF0572">
        <w:tc>
          <w:tcPr>
            <w:tcW w:w="570" w:type="dxa"/>
          </w:tcPr>
          <w:p w14:paraId="1F7D12BF" w14:textId="77777777" w:rsidR="00C12C36" w:rsidRPr="003E5E8E" w:rsidRDefault="00C12C36" w:rsidP="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1977" w:type="dxa"/>
          </w:tcPr>
          <w:p w14:paraId="1C44F571" w14:textId="77777777" w:rsidR="00C12C36" w:rsidRPr="003E5E8E" w:rsidRDefault="00C12C36" w:rsidP="00C12C36">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9922" w:type="dxa"/>
          </w:tcPr>
          <w:p w14:paraId="1C88B18A" w14:textId="0A732FC3" w:rsidR="00C12C36" w:rsidRPr="003E5E8E" w:rsidRDefault="00C12C36" w:rsidP="00C12C36">
            <w:pPr>
              <w:jc w:val="both"/>
              <w:rPr>
                <w:rFonts w:ascii="Times New Roman" w:eastAsia="Times New Roman" w:hAnsi="Times New Roman" w:cs="Times New Roman"/>
                <w:bCs/>
                <w:sz w:val="24"/>
                <w:szCs w:val="24"/>
              </w:rPr>
            </w:pPr>
            <w:r w:rsidRPr="009723C3">
              <w:rPr>
                <w:rFonts w:ascii="Times New Roman" w:eastAsia="Times New Roman" w:hAnsi="Times New Roman" w:cs="Times New Roman"/>
                <w:bCs/>
                <w:sz w:val="24"/>
                <w:szCs w:val="24"/>
              </w:rPr>
              <w:t>Taip</w:t>
            </w:r>
          </w:p>
        </w:tc>
        <w:tc>
          <w:tcPr>
            <w:tcW w:w="2694" w:type="dxa"/>
          </w:tcPr>
          <w:p w14:paraId="430FCB88" w14:textId="77777777" w:rsidR="00C12C36" w:rsidRPr="003E5E8E" w:rsidRDefault="00C12C36" w:rsidP="00C12C36">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128F911A" w14:textId="77777777" w:rsidTr="00BF0572">
        <w:tc>
          <w:tcPr>
            <w:tcW w:w="570" w:type="dxa"/>
          </w:tcPr>
          <w:p w14:paraId="299D7B28" w14:textId="77777777" w:rsidR="00C12C36" w:rsidRPr="003E5E8E" w:rsidRDefault="00C12C36" w:rsidP="00C12C36">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1977" w:type="dxa"/>
          </w:tcPr>
          <w:p w14:paraId="198A72EB" w14:textId="77777777" w:rsidR="00C12C36" w:rsidRPr="003E5E8E" w:rsidRDefault="00C12C36" w:rsidP="00C12C36">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1 -5 pirkimo dalių techninėse specifikacijose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9922" w:type="dxa"/>
          </w:tcPr>
          <w:p w14:paraId="6F675C7D" w14:textId="01509A2C" w:rsidR="00C12C36" w:rsidRPr="00ED6635" w:rsidRDefault="00C12C36" w:rsidP="00C12C36">
            <w:pPr>
              <w:jc w:val="both"/>
              <w:rPr>
                <w:rFonts w:ascii="Times New Roman" w:eastAsia="Times New Roman" w:hAnsi="Times New Roman" w:cs="Times New Roman"/>
                <w:bCs/>
                <w:color w:val="000000" w:themeColor="text1"/>
                <w:sz w:val="24"/>
                <w:szCs w:val="24"/>
              </w:rPr>
            </w:pPr>
            <w:r w:rsidRPr="009723C3">
              <w:rPr>
                <w:rFonts w:ascii="Times New Roman" w:eastAsia="Times New Roman" w:hAnsi="Times New Roman" w:cs="Times New Roman"/>
                <w:bCs/>
                <w:sz w:val="24"/>
                <w:szCs w:val="24"/>
              </w:rPr>
              <w:t>Taip</w:t>
            </w:r>
          </w:p>
        </w:tc>
        <w:tc>
          <w:tcPr>
            <w:tcW w:w="2694" w:type="dxa"/>
          </w:tcPr>
          <w:p w14:paraId="6B540D4F" w14:textId="77777777" w:rsidR="00C12C36" w:rsidRPr="00ED6635" w:rsidRDefault="00C12C36" w:rsidP="00C12C36">
            <w:pPr>
              <w:jc w:val="both"/>
              <w:rPr>
                <w:rFonts w:ascii="Times New Roman" w:eastAsia="Times New Roman" w:hAnsi="Times New Roman" w:cs="Times New Roman"/>
                <w:color w:val="000000" w:themeColor="text1"/>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7CF8D7BB" w14:textId="77777777" w:rsidTr="00BF0572">
        <w:tc>
          <w:tcPr>
            <w:tcW w:w="570" w:type="dxa"/>
          </w:tcPr>
          <w:p w14:paraId="28BE6099" w14:textId="77777777" w:rsidR="00C12C36" w:rsidRPr="003E5E8E" w:rsidRDefault="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1977" w:type="dxa"/>
            <w:tcBorders>
              <w:top w:val="single" w:sz="6" w:space="0" w:color="auto"/>
              <w:left w:val="single" w:sz="6" w:space="0" w:color="auto"/>
              <w:bottom w:val="single" w:sz="6" w:space="0" w:color="auto"/>
              <w:right w:val="single" w:sz="6" w:space="0" w:color="auto"/>
            </w:tcBorders>
          </w:tcPr>
          <w:p w14:paraId="2A8C925E" w14:textId="77777777" w:rsidR="00C12C36" w:rsidRPr="00225988" w:rsidRDefault="00C12C36">
            <w:pPr>
              <w:jc w:val="both"/>
              <w:rPr>
                <w:rFonts w:ascii="Times New Roman" w:eastAsia="Times New Roman" w:hAnsi="Times New Roman" w:cs="Times New Roman"/>
                <w:bCs/>
                <w:sz w:val="24"/>
                <w:szCs w:val="24"/>
              </w:rPr>
            </w:pPr>
            <w:r w:rsidRPr="00225988">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225988">
              <w:rPr>
                <w:rStyle w:val="normaltextrun"/>
                <w:rFonts w:ascii="Times New Roman" w:hAnsi="Times New Roman" w:cs="Times New Roman"/>
                <w:i/>
                <w:iCs/>
                <w:sz w:val="24"/>
                <w:szCs w:val="24"/>
              </w:rPr>
              <w:t>(jei ne, prašome pateikti argumentuotas pastabas, patikslinimus dėl konkrečių TS reikalavimų)</w:t>
            </w:r>
            <w:r w:rsidRPr="00225988">
              <w:rPr>
                <w:rStyle w:val="normaltextrun"/>
                <w:rFonts w:ascii="Times New Roman" w:hAnsi="Times New Roman" w:cs="Times New Roman"/>
                <w:sz w:val="24"/>
                <w:szCs w:val="24"/>
              </w:rPr>
              <w:t>? </w:t>
            </w:r>
            <w:r w:rsidRPr="00225988">
              <w:rPr>
                <w:rStyle w:val="eop"/>
                <w:rFonts w:ascii="Times New Roman" w:hAnsi="Times New Roman" w:cs="Times New Roman"/>
                <w:sz w:val="24"/>
                <w:szCs w:val="24"/>
              </w:rPr>
              <w:t> </w:t>
            </w:r>
          </w:p>
        </w:tc>
        <w:tc>
          <w:tcPr>
            <w:tcW w:w="9922" w:type="dxa"/>
          </w:tcPr>
          <w:p w14:paraId="100374BA" w14:textId="77777777" w:rsidR="00C12C36" w:rsidRPr="00C12C36" w:rsidRDefault="00C12C36" w:rsidP="00C12C36">
            <w:pPr>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Cs/>
                <w:sz w:val="24"/>
                <w:szCs w:val="24"/>
                <w:lang w:val="en-US"/>
              </w:rPr>
              <w:t>Tarnybinių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stočių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našumas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priklauso</w:t>
            </w:r>
            <w:proofErr w:type="spellEnd"/>
            <w:r w:rsidRPr="00C12C36">
              <w:rPr>
                <w:rFonts w:ascii="Times New Roman" w:eastAsia="Times New Roman" w:hAnsi="Times New Roman" w:cs="Times New Roman"/>
                <w:bCs/>
                <w:sz w:val="24"/>
                <w:szCs w:val="24"/>
                <w:lang w:val="en-US"/>
              </w:rPr>
              <w:t xml:space="preserve"> ne tik </w:t>
            </w:r>
            <w:proofErr w:type="spellStart"/>
            <w:r w:rsidRPr="00C12C36">
              <w:rPr>
                <w:rFonts w:ascii="Times New Roman" w:eastAsia="Times New Roman" w:hAnsi="Times New Roman" w:cs="Times New Roman"/>
                <w:bCs/>
                <w:sz w:val="24"/>
                <w:szCs w:val="24"/>
                <w:lang w:val="en-US"/>
              </w:rPr>
              <w:t>nuo</w:t>
            </w:r>
            <w:proofErr w:type="spellEnd"/>
            <w:r w:rsidRPr="00C12C36">
              <w:rPr>
                <w:rFonts w:ascii="Times New Roman" w:eastAsia="Times New Roman" w:hAnsi="Times New Roman" w:cs="Times New Roman"/>
                <w:bCs/>
                <w:sz w:val="24"/>
                <w:szCs w:val="24"/>
                <w:lang w:val="en-US"/>
              </w:rPr>
              <w:t xml:space="preserve"> CPU, bet </w:t>
            </w:r>
            <w:proofErr w:type="spellStart"/>
            <w:r w:rsidRPr="00C12C36">
              <w:rPr>
                <w:rFonts w:ascii="Times New Roman" w:eastAsia="Times New Roman" w:hAnsi="Times New Roman" w:cs="Times New Roman"/>
                <w:bCs/>
                <w:sz w:val="24"/>
                <w:szCs w:val="24"/>
                <w:lang w:val="en-US"/>
              </w:rPr>
              <w:t>ir</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nuo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pačios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tarnybinės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stoties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pagrindinės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plokštės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architektūros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sisteminės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programinės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įrangos</w:t>
            </w:r>
            <w:proofErr w:type="spellEnd"/>
            <w:r w:rsidRPr="00C12C36">
              <w:rPr>
                <w:rFonts w:ascii="Times New Roman" w:eastAsia="Times New Roman" w:hAnsi="Times New Roman" w:cs="Times New Roman"/>
                <w:bCs/>
                <w:sz w:val="24"/>
                <w:szCs w:val="24"/>
                <w:lang w:val="en-US"/>
              </w:rPr>
              <w:t xml:space="preserve"> (BIOS) </w:t>
            </w:r>
            <w:proofErr w:type="spellStart"/>
            <w:r w:rsidRPr="00C12C36">
              <w:rPr>
                <w:rFonts w:ascii="Times New Roman" w:eastAsia="Times New Roman" w:hAnsi="Times New Roman" w:cs="Times New Roman"/>
                <w:bCs/>
                <w:sz w:val="24"/>
                <w:szCs w:val="24"/>
                <w:lang w:val="en-US"/>
              </w:rPr>
              <w:t>ir</w:t>
            </w:r>
            <w:proofErr w:type="spellEnd"/>
            <w:r w:rsidRPr="00C12C36">
              <w:rPr>
                <w:rFonts w:ascii="Times New Roman" w:eastAsia="Times New Roman" w:hAnsi="Times New Roman" w:cs="Times New Roman"/>
                <w:bCs/>
                <w:sz w:val="24"/>
                <w:szCs w:val="24"/>
                <w:lang w:val="en-US"/>
              </w:rPr>
              <w:t xml:space="preserve"> kt. Tam </w:t>
            </w:r>
            <w:proofErr w:type="spellStart"/>
            <w:r w:rsidRPr="00C12C36">
              <w:rPr>
                <w:rFonts w:ascii="Times New Roman" w:eastAsia="Times New Roman" w:hAnsi="Times New Roman" w:cs="Times New Roman"/>
                <w:bCs/>
                <w:sz w:val="24"/>
                <w:szCs w:val="24"/>
                <w:lang w:val="en-US"/>
              </w:rPr>
              <w:t>kad</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užtikrinti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garantuotai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siūlomos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tarnybinės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stoties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našumą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rekomenduojame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visų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tarnybinių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stočių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techninės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specifikacijos</w:t>
            </w:r>
            <w:proofErr w:type="spellEnd"/>
            <w:r w:rsidRPr="00C12C36">
              <w:rPr>
                <w:rFonts w:ascii="Times New Roman" w:eastAsia="Times New Roman" w:hAnsi="Times New Roman" w:cs="Times New Roman"/>
                <w:bCs/>
                <w:sz w:val="24"/>
                <w:szCs w:val="24"/>
                <w:lang w:val="en-US"/>
              </w:rPr>
              <w:t xml:space="preserve"> 2 </w:t>
            </w:r>
            <w:proofErr w:type="spellStart"/>
            <w:r w:rsidRPr="00C12C36">
              <w:rPr>
                <w:rFonts w:ascii="Times New Roman" w:eastAsia="Times New Roman" w:hAnsi="Times New Roman" w:cs="Times New Roman"/>
                <w:bCs/>
                <w:sz w:val="24"/>
                <w:szCs w:val="24"/>
                <w:lang w:val="en-US"/>
              </w:rPr>
              <w:t>punktą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pakoreguoti</w:t>
            </w:r>
            <w:proofErr w:type="spellEnd"/>
            <w:r w:rsidRPr="00C12C36">
              <w:rPr>
                <w:rFonts w:ascii="Times New Roman" w:eastAsia="Times New Roman" w:hAnsi="Times New Roman" w:cs="Times New Roman"/>
                <w:bCs/>
                <w:sz w:val="24"/>
                <w:szCs w:val="24"/>
                <w:lang w:val="en-US"/>
              </w:rPr>
              <w:t xml:space="preserve">: </w:t>
            </w:r>
          </w:p>
          <w:p w14:paraId="447BC578" w14:textId="77777777" w:rsidR="00C12C36" w:rsidRDefault="00C12C36" w:rsidP="00C12C36">
            <w:pPr>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w:t>
            </w:r>
            <w:proofErr w:type="gramStart"/>
            <w:r w:rsidRPr="00C12C36">
              <w:rPr>
                <w:rFonts w:ascii="Times New Roman" w:eastAsia="Times New Roman" w:hAnsi="Times New Roman" w:cs="Times New Roman"/>
                <w:bCs/>
                <w:sz w:val="24"/>
                <w:szCs w:val="24"/>
                <w:lang w:val="en-US"/>
              </w:rPr>
              <w:t>A“</w:t>
            </w:r>
            <w:proofErr w:type="gramEnd"/>
            <w:r w:rsidRPr="00C12C36">
              <w:rPr>
                <w:rFonts w:ascii="Times New Roman" w:eastAsia="Times New Roman" w:hAnsi="Times New Roman" w:cs="Times New Roman"/>
                <w:bCs/>
                <w:sz w:val="24"/>
                <w:szCs w:val="24"/>
                <w:lang w:val="en-US"/>
              </w:rPr>
              <w:t>, „</w:t>
            </w:r>
            <w:proofErr w:type="gramStart"/>
            <w:r w:rsidRPr="00C12C36">
              <w:rPr>
                <w:rFonts w:ascii="Times New Roman" w:eastAsia="Times New Roman" w:hAnsi="Times New Roman" w:cs="Times New Roman"/>
                <w:bCs/>
                <w:sz w:val="24"/>
                <w:szCs w:val="24"/>
                <w:lang w:val="en-US"/>
              </w:rPr>
              <w:t>C“</w:t>
            </w:r>
            <w:proofErr w:type="gramEnd"/>
            <w:r w:rsidRPr="00C12C36">
              <w:rPr>
                <w:rFonts w:ascii="Times New Roman" w:eastAsia="Times New Roman" w:hAnsi="Times New Roman" w:cs="Times New Roman"/>
                <w:bCs/>
                <w:sz w:val="24"/>
                <w:szCs w:val="24"/>
                <w:lang w:val="en-US"/>
              </w:rPr>
              <w:t>, „</w:t>
            </w:r>
            <w:proofErr w:type="gramStart"/>
            <w:r w:rsidRPr="00C12C36">
              <w:rPr>
                <w:rFonts w:ascii="Times New Roman" w:eastAsia="Times New Roman" w:hAnsi="Times New Roman" w:cs="Times New Roman"/>
                <w:bCs/>
                <w:sz w:val="24"/>
                <w:szCs w:val="24"/>
                <w:lang w:val="en-US"/>
              </w:rPr>
              <w:t xml:space="preserve">D“ </w:t>
            </w:r>
            <w:proofErr w:type="spellStart"/>
            <w:r w:rsidRPr="00C12C36">
              <w:rPr>
                <w:rFonts w:ascii="Times New Roman" w:eastAsia="Times New Roman" w:hAnsi="Times New Roman" w:cs="Times New Roman"/>
                <w:bCs/>
                <w:sz w:val="24"/>
                <w:szCs w:val="24"/>
                <w:lang w:val="en-US"/>
              </w:rPr>
              <w:t>ir</w:t>
            </w:r>
            <w:proofErr w:type="spellEnd"/>
            <w:proofErr w:type="gramEnd"/>
            <w:r w:rsidRPr="00C12C36">
              <w:rPr>
                <w:rFonts w:ascii="Times New Roman" w:eastAsia="Times New Roman" w:hAnsi="Times New Roman" w:cs="Times New Roman"/>
                <w:bCs/>
                <w:sz w:val="24"/>
                <w:szCs w:val="24"/>
                <w:lang w:val="en-US"/>
              </w:rPr>
              <w:t xml:space="preserve"> „</w:t>
            </w:r>
            <w:proofErr w:type="gramStart"/>
            <w:r w:rsidRPr="00C12C36">
              <w:rPr>
                <w:rFonts w:ascii="Times New Roman" w:eastAsia="Times New Roman" w:hAnsi="Times New Roman" w:cs="Times New Roman"/>
                <w:bCs/>
                <w:sz w:val="24"/>
                <w:szCs w:val="24"/>
                <w:lang w:val="en-US"/>
              </w:rPr>
              <w:t xml:space="preserve">E“ </w:t>
            </w:r>
            <w:proofErr w:type="spellStart"/>
            <w:r w:rsidRPr="00C12C36">
              <w:rPr>
                <w:rFonts w:ascii="Times New Roman" w:eastAsia="Times New Roman" w:hAnsi="Times New Roman" w:cs="Times New Roman"/>
                <w:bCs/>
                <w:sz w:val="24"/>
                <w:szCs w:val="24"/>
                <w:lang w:val="en-US"/>
              </w:rPr>
              <w:t>tipo</w:t>
            </w:r>
            <w:proofErr w:type="spellEnd"/>
            <w:proofErr w:type="gram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tarnybinėms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stotim</w:t>
            </w:r>
            <w:proofErr w:type="spellEnd"/>
            <w:r w:rsidRPr="00C12C36">
              <w:rPr>
                <w:rFonts w:ascii="Times New Roman" w:eastAsia="Times New Roman" w:hAnsi="Times New Roman" w:cs="Times New Roman"/>
                <w:bCs/>
                <w:sz w:val="24"/>
                <w:szCs w:val="24"/>
                <w:lang w:val="en-US"/>
              </w:rPr>
              <w:t>:</w:t>
            </w:r>
          </w:p>
          <w:p w14:paraId="292326C8" w14:textId="1BE32E3D" w:rsidR="00C12C36" w:rsidRDefault="00C12C36" w:rsidP="00C12C36">
            <w:pPr>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noProof/>
                <w:sz w:val="24"/>
                <w:szCs w:val="24"/>
                <w:lang w:val="en-US"/>
              </w:rPr>
              <w:drawing>
                <wp:inline distT="0" distB="0" distL="0" distR="0" wp14:anchorId="75719D38" wp14:editId="67B44D38">
                  <wp:extent cx="5108918" cy="3330713"/>
                  <wp:effectExtent l="0" t="0" r="0" b="3175"/>
                  <wp:docPr id="21122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6687" name=""/>
                          <pic:cNvPicPr/>
                        </pic:nvPicPr>
                        <pic:blipFill>
                          <a:blip r:embed="rId17"/>
                          <a:stretch>
                            <a:fillRect/>
                          </a:stretch>
                        </pic:blipFill>
                        <pic:spPr>
                          <a:xfrm>
                            <a:off x="0" y="0"/>
                            <a:ext cx="5135053" cy="3347751"/>
                          </a:xfrm>
                          <a:prstGeom prst="rect">
                            <a:avLst/>
                          </a:prstGeom>
                        </pic:spPr>
                      </pic:pic>
                    </a:graphicData>
                  </a:graphic>
                </wp:inline>
              </w:drawing>
            </w:r>
          </w:p>
          <w:p w14:paraId="676C41B3" w14:textId="77777777" w:rsidR="00C12C36" w:rsidRDefault="00C12C36" w:rsidP="00C12C36">
            <w:pPr>
              <w:jc w:val="both"/>
              <w:rPr>
                <w:rFonts w:ascii="Times New Roman" w:eastAsia="Times New Roman" w:hAnsi="Times New Roman" w:cs="Times New Roman"/>
                <w:bCs/>
                <w:sz w:val="24"/>
                <w:szCs w:val="24"/>
                <w:lang w:val="en-US"/>
              </w:rPr>
            </w:pPr>
          </w:p>
          <w:p w14:paraId="64F85B7A" w14:textId="77777777" w:rsidR="00C12C36" w:rsidRPr="00C12C36" w:rsidRDefault="00C12C36" w:rsidP="00C12C36">
            <w:pPr>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Cs/>
                <w:sz w:val="24"/>
                <w:szCs w:val="24"/>
                <w:lang w:val="en-US"/>
              </w:rPr>
              <w:t>Techninėje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specifikacijoje</w:t>
            </w:r>
            <w:proofErr w:type="spellEnd"/>
            <w:r w:rsidRPr="00C12C36">
              <w:rPr>
                <w:rFonts w:ascii="Times New Roman" w:eastAsia="Times New Roman" w:hAnsi="Times New Roman" w:cs="Times New Roman"/>
                <w:bCs/>
                <w:sz w:val="24"/>
                <w:szCs w:val="24"/>
                <w:lang w:val="en-US"/>
              </w:rPr>
              <w:t xml:space="preserve"> „</w:t>
            </w:r>
            <w:proofErr w:type="gramStart"/>
            <w:r w:rsidRPr="00C12C36">
              <w:rPr>
                <w:rFonts w:ascii="Times New Roman" w:eastAsia="Times New Roman" w:hAnsi="Times New Roman" w:cs="Times New Roman"/>
                <w:bCs/>
                <w:sz w:val="24"/>
                <w:szCs w:val="24"/>
                <w:lang w:val="en-US"/>
              </w:rPr>
              <w:t>A“</w:t>
            </w:r>
            <w:proofErr w:type="gramEnd"/>
            <w:r w:rsidRPr="00C12C36">
              <w:rPr>
                <w:rFonts w:ascii="Times New Roman" w:eastAsia="Times New Roman" w:hAnsi="Times New Roman" w:cs="Times New Roman"/>
                <w:bCs/>
                <w:sz w:val="24"/>
                <w:szCs w:val="24"/>
                <w:lang w:val="en-US"/>
              </w:rPr>
              <w:t>, „</w:t>
            </w:r>
            <w:proofErr w:type="gramStart"/>
            <w:r w:rsidRPr="00C12C36">
              <w:rPr>
                <w:rFonts w:ascii="Times New Roman" w:eastAsia="Times New Roman" w:hAnsi="Times New Roman" w:cs="Times New Roman"/>
                <w:bCs/>
                <w:sz w:val="24"/>
                <w:szCs w:val="24"/>
                <w:lang w:val="en-US"/>
              </w:rPr>
              <w:t>B“</w:t>
            </w:r>
            <w:proofErr w:type="gramEnd"/>
            <w:r w:rsidRPr="00C12C36">
              <w:rPr>
                <w:rFonts w:ascii="Times New Roman" w:eastAsia="Times New Roman" w:hAnsi="Times New Roman" w:cs="Times New Roman"/>
                <w:bCs/>
                <w:sz w:val="24"/>
                <w:szCs w:val="24"/>
                <w:lang w:val="en-US"/>
              </w:rPr>
              <w:t>, „</w:t>
            </w:r>
            <w:proofErr w:type="gramStart"/>
            <w:r w:rsidRPr="00C12C36">
              <w:rPr>
                <w:rFonts w:ascii="Times New Roman" w:eastAsia="Times New Roman" w:hAnsi="Times New Roman" w:cs="Times New Roman"/>
                <w:bCs/>
                <w:sz w:val="24"/>
                <w:szCs w:val="24"/>
                <w:lang w:val="en-US"/>
              </w:rPr>
              <w:t>C“</w:t>
            </w:r>
            <w:proofErr w:type="gramEnd"/>
            <w:r w:rsidRPr="00C12C36">
              <w:rPr>
                <w:rFonts w:ascii="Times New Roman" w:eastAsia="Times New Roman" w:hAnsi="Times New Roman" w:cs="Times New Roman"/>
                <w:bCs/>
                <w:sz w:val="24"/>
                <w:szCs w:val="24"/>
                <w:lang w:val="en-US"/>
              </w:rPr>
              <w:t>, „</w:t>
            </w:r>
            <w:proofErr w:type="gramStart"/>
            <w:r w:rsidRPr="00C12C36">
              <w:rPr>
                <w:rFonts w:ascii="Times New Roman" w:eastAsia="Times New Roman" w:hAnsi="Times New Roman" w:cs="Times New Roman"/>
                <w:bCs/>
                <w:sz w:val="24"/>
                <w:szCs w:val="24"/>
                <w:lang w:val="en-US"/>
              </w:rPr>
              <w:t xml:space="preserve">D“ </w:t>
            </w:r>
            <w:proofErr w:type="spellStart"/>
            <w:r w:rsidRPr="00C12C36">
              <w:rPr>
                <w:rFonts w:ascii="Times New Roman" w:eastAsia="Times New Roman" w:hAnsi="Times New Roman" w:cs="Times New Roman"/>
                <w:bCs/>
                <w:sz w:val="24"/>
                <w:szCs w:val="24"/>
                <w:lang w:val="en-US"/>
              </w:rPr>
              <w:t>ir</w:t>
            </w:r>
            <w:proofErr w:type="spellEnd"/>
            <w:proofErr w:type="gramEnd"/>
            <w:r w:rsidRPr="00C12C36">
              <w:rPr>
                <w:rFonts w:ascii="Times New Roman" w:eastAsia="Times New Roman" w:hAnsi="Times New Roman" w:cs="Times New Roman"/>
                <w:bCs/>
                <w:sz w:val="24"/>
                <w:szCs w:val="24"/>
                <w:lang w:val="en-US"/>
              </w:rPr>
              <w:t xml:space="preserve"> „</w:t>
            </w:r>
            <w:proofErr w:type="gramStart"/>
            <w:r w:rsidRPr="00C12C36">
              <w:rPr>
                <w:rFonts w:ascii="Times New Roman" w:eastAsia="Times New Roman" w:hAnsi="Times New Roman" w:cs="Times New Roman"/>
                <w:bCs/>
                <w:sz w:val="24"/>
                <w:szCs w:val="24"/>
                <w:lang w:val="en-US"/>
              </w:rPr>
              <w:t xml:space="preserve">E“ </w:t>
            </w:r>
            <w:proofErr w:type="spellStart"/>
            <w:r w:rsidRPr="00C12C36">
              <w:rPr>
                <w:rFonts w:ascii="Times New Roman" w:eastAsia="Times New Roman" w:hAnsi="Times New Roman" w:cs="Times New Roman"/>
                <w:bCs/>
                <w:sz w:val="24"/>
                <w:szCs w:val="24"/>
                <w:lang w:val="en-US"/>
              </w:rPr>
              <w:t>tipo</w:t>
            </w:r>
            <w:proofErr w:type="spellEnd"/>
            <w:proofErr w:type="gram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tarnybinėms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stotim</w:t>
            </w:r>
            <w:proofErr w:type="spellEnd"/>
            <w:r w:rsidRPr="00C12C36">
              <w:rPr>
                <w:rFonts w:ascii="Times New Roman" w:eastAsia="Times New Roman" w:hAnsi="Times New Roman" w:cs="Times New Roman"/>
                <w:bCs/>
                <w:sz w:val="24"/>
                <w:szCs w:val="24"/>
                <w:lang w:val="en-US"/>
              </w:rPr>
              <w:t xml:space="preserve"> 12 </w:t>
            </w:r>
            <w:proofErr w:type="spellStart"/>
            <w:r w:rsidRPr="00C12C36">
              <w:rPr>
                <w:rFonts w:ascii="Times New Roman" w:eastAsia="Times New Roman" w:hAnsi="Times New Roman" w:cs="Times New Roman"/>
                <w:bCs/>
                <w:sz w:val="24"/>
                <w:szCs w:val="24"/>
                <w:lang w:val="en-US"/>
              </w:rPr>
              <w:t>punkte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nurodytas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reikalavimas</w:t>
            </w:r>
            <w:proofErr w:type="spellEnd"/>
            <w:r w:rsidRPr="00C12C36">
              <w:rPr>
                <w:rFonts w:ascii="Times New Roman" w:eastAsia="Times New Roman" w:hAnsi="Times New Roman" w:cs="Times New Roman"/>
                <w:bCs/>
                <w:sz w:val="24"/>
                <w:szCs w:val="24"/>
                <w:lang w:val="en-US"/>
              </w:rPr>
              <w:t xml:space="preserve"> „FC SAN </w:t>
            </w:r>
            <w:proofErr w:type="spellStart"/>
            <w:r w:rsidRPr="00C12C36">
              <w:rPr>
                <w:rFonts w:ascii="Times New Roman" w:eastAsia="Times New Roman" w:hAnsi="Times New Roman" w:cs="Times New Roman"/>
                <w:bCs/>
                <w:sz w:val="24"/>
                <w:szCs w:val="24"/>
                <w:lang w:val="en-US"/>
              </w:rPr>
              <w:t>adapteris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išorinei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duomenų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saugyklai</w:t>
            </w:r>
            <w:proofErr w:type="spellEnd"/>
            <w:r w:rsidRPr="00C12C36">
              <w:rPr>
                <w:rFonts w:ascii="Times New Roman" w:eastAsia="Times New Roman" w:hAnsi="Times New Roman" w:cs="Times New Roman"/>
                <w:bCs/>
                <w:sz w:val="24"/>
                <w:szCs w:val="24"/>
                <w:lang w:val="en-US"/>
              </w:rPr>
              <w:t xml:space="preserve"> </w:t>
            </w:r>
            <w:proofErr w:type="spellStart"/>
            <w:proofErr w:type="gramStart"/>
            <w:r w:rsidRPr="00C12C36">
              <w:rPr>
                <w:rFonts w:ascii="Times New Roman" w:eastAsia="Times New Roman" w:hAnsi="Times New Roman" w:cs="Times New Roman"/>
                <w:bCs/>
                <w:sz w:val="24"/>
                <w:szCs w:val="24"/>
                <w:lang w:val="en-US"/>
              </w:rPr>
              <w:t>pajungti</w:t>
            </w:r>
            <w:proofErr w:type="spellEnd"/>
            <w:r w:rsidRPr="00C12C36">
              <w:rPr>
                <w:rFonts w:ascii="Times New Roman" w:eastAsia="Times New Roman" w:hAnsi="Times New Roman" w:cs="Times New Roman"/>
                <w:bCs/>
                <w:sz w:val="24"/>
                <w:szCs w:val="24"/>
                <w:lang w:val="en-US"/>
              </w:rPr>
              <w:t>“</w:t>
            </w:r>
            <w:proofErr w:type="gramEnd"/>
            <w:r w:rsidRPr="00C12C36">
              <w:rPr>
                <w:rFonts w:ascii="Times New Roman" w:eastAsia="Times New Roman" w:hAnsi="Times New Roman" w:cs="Times New Roman"/>
                <w:bCs/>
                <w:sz w:val="24"/>
                <w:szCs w:val="24"/>
                <w:lang w:val="en-US"/>
              </w:rPr>
              <w:t xml:space="preserve">. Dalis </w:t>
            </w:r>
            <w:proofErr w:type="spellStart"/>
            <w:r w:rsidRPr="00C12C36">
              <w:rPr>
                <w:rFonts w:ascii="Times New Roman" w:eastAsia="Times New Roman" w:hAnsi="Times New Roman" w:cs="Times New Roman"/>
                <w:bCs/>
                <w:sz w:val="24"/>
                <w:szCs w:val="24"/>
                <w:lang w:val="en-US"/>
              </w:rPr>
              <w:t>tarnybinių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stočių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gamintojų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atsisako</w:t>
            </w:r>
            <w:proofErr w:type="spellEnd"/>
            <w:r w:rsidRPr="00C12C36">
              <w:rPr>
                <w:rFonts w:ascii="Times New Roman" w:eastAsia="Times New Roman" w:hAnsi="Times New Roman" w:cs="Times New Roman"/>
                <w:bCs/>
                <w:sz w:val="24"/>
                <w:szCs w:val="24"/>
                <w:lang w:val="en-US"/>
              </w:rPr>
              <w:t xml:space="preserve"> 1 </w:t>
            </w:r>
            <w:proofErr w:type="spellStart"/>
            <w:r w:rsidRPr="00C12C36">
              <w:rPr>
                <w:rFonts w:ascii="Times New Roman" w:eastAsia="Times New Roman" w:hAnsi="Times New Roman" w:cs="Times New Roman"/>
                <w:bCs/>
                <w:sz w:val="24"/>
                <w:szCs w:val="24"/>
                <w:lang w:val="en-US"/>
              </w:rPr>
              <w:t>prievado</w:t>
            </w:r>
            <w:proofErr w:type="spellEnd"/>
            <w:r w:rsidRPr="00C12C36">
              <w:rPr>
                <w:rFonts w:ascii="Times New Roman" w:eastAsia="Times New Roman" w:hAnsi="Times New Roman" w:cs="Times New Roman"/>
                <w:bCs/>
                <w:sz w:val="24"/>
                <w:szCs w:val="24"/>
                <w:lang w:val="en-US"/>
              </w:rPr>
              <w:t xml:space="preserve"> FC </w:t>
            </w:r>
            <w:proofErr w:type="spellStart"/>
            <w:r w:rsidRPr="00C12C36">
              <w:rPr>
                <w:rFonts w:ascii="Times New Roman" w:eastAsia="Times New Roman" w:hAnsi="Times New Roman" w:cs="Times New Roman"/>
                <w:bCs/>
                <w:sz w:val="24"/>
                <w:szCs w:val="24"/>
                <w:lang w:val="en-US"/>
              </w:rPr>
              <w:t>adapterių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naujausi</w:t>
            </w:r>
            <w:proofErr w:type="spellEnd"/>
            <w:r w:rsidRPr="00C12C36">
              <w:rPr>
                <w:rFonts w:ascii="Times New Roman" w:eastAsia="Times New Roman" w:hAnsi="Times New Roman" w:cs="Times New Roman"/>
                <w:bCs/>
                <w:sz w:val="24"/>
                <w:szCs w:val="24"/>
                <w:lang w:val="en-US"/>
              </w:rPr>
              <w:t xml:space="preserve"> FC </w:t>
            </w:r>
            <w:proofErr w:type="spellStart"/>
            <w:r w:rsidRPr="00C12C36">
              <w:rPr>
                <w:rFonts w:ascii="Times New Roman" w:eastAsia="Times New Roman" w:hAnsi="Times New Roman" w:cs="Times New Roman"/>
                <w:bCs/>
                <w:sz w:val="24"/>
                <w:szCs w:val="24"/>
                <w:lang w:val="en-US"/>
              </w:rPr>
              <w:t>adapteriai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gaminami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taip</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kad</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būtų</w:t>
            </w:r>
            <w:proofErr w:type="spellEnd"/>
            <w:r w:rsidRPr="00C12C36">
              <w:rPr>
                <w:rFonts w:ascii="Times New Roman" w:eastAsia="Times New Roman" w:hAnsi="Times New Roman" w:cs="Times New Roman"/>
                <w:bCs/>
                <w:sz w:val="24"/>
                <w:szCs w:val="24"/>
                <w:lang w:val="en-US"/>
              </w:rPr>
              <w:t xml:space="preserve"> 2 </w:t>
            </w:r>
            <w:proofErr w:type="spellStart"/>
            <w:r w:rsidRPr="00C12C36">
              <w:rPr>
                <w:rFonts w:ascii="Times New Roman" w:eastAsia="Times New Roman" w:hAnsi="Times New Roman" w:cs="Times New Roman"/>
                <w:bCs/>
                <w:sz w:val="24"/>
                <w:szCs w:val="24"/>
                <w:lang w:val="en-US"/>
              </w:rPr>
              <w:t>nepriklausomi</w:t>
            </w:r>
            <w:proofErr w:type="spellEnd"/>
            <w:r w:rsidRPr="00C12C36">
              <w:rPr>
                <w:rFonts w:ascii="Times New Roman" w:eastAsia="Times New Roman" w:hAnsi="Times New Roman" w:cs="Times New Roman"/>
                <w:bCs/>
                <w:sz w:val="24"/>
                <w:szCs w:val="24"/>
                <w:lang w:val="en-US"/>
              </w:rPr>
              <w:t xml:space="preserve"> FC </w:t>
            </w:r>
            <w:proofErr w:type="spellStart"/>
            <w:r w:rsidRPr="00C12C36">
              <w:rPr>
                <w:rFonts w:ascii="Times New Roman" w:eastAsia="Times New Roman" w:hAnsi="Times New Roman" w:cs="Times New Roman"/>
                <w:bCs/>
                <w:sz w:val="24"/>
                <w:szCs w:val="24"/>
                <w:lang w:val="en-US"/>
              </w:rPr>
              <w:t>adapteriai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sudėti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ant</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plokštės</w:t>
            </w:r>
            <w:proofErr w:type="spellEnd"/>
            <w:r w:rsidRPr="00C12C36">
              <w:rPr>
                <w:rFonts w:ascii="Times New Roman" w:eastAsia="Times New Roman" w:hAnsi="Times New Roman" w:cs="Times New Roman"/>
                <w:bCs/>
                <w:sz w:val="24"/>
                <w:szCs w:val="24"/>
                <w:lang w:val="en-US"/>
              </w:rPr>
              <w:t xml:space="preserve">. Tai </w:t>
            </w:r>
            <w:proofErr w:type="spellStart"/>
            <w:r w:rsidRPr="00C12C36">
              <w:rPr>
                <w:rFonts w:ascii="Times New Roman" w:eastAsia="Times New Roman" w:hAnsi="Times New Roman" w:cs="Times New Roman"/>
                <w:bCs/>
                <w:sz w:val="24"/>
                <w:szCs w:val="24"/>
                <w:lang w:val="en-US"/>
              </w:rPr>
              <w:t>pranašiau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dėl</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šių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priežasčių</w:t>
            </w:r>
            <w:proofErr w:type="spellEnd"/>
            <w:r w:rsidRPr="00C12C36">
              <w:rPr>
                <w:rFonts w:ascii="Times New Roman" w:eastAsia="Times New Roman" w:hAnsi="Times New Roman" w:cs="Times New Roman"/>
                <w:bCs/>
                <w:sz w:val="24"/>
                <w:szCs w:val="24"/>
                <w:lang w:val="en-US"/>
              </w:rPr>
              <w:t xml:space="preserve">: </w:t>
            </w:r>
          </w:p>
          <w:p w14:paraId="26DA4BD6" w14:textId="77777777" w:rsidR="00C12C36" w:rsidRPr="00C12C36" w:rsidRDefault="00C12C36" w:rsidP="00C12C36">
            <w:pPr>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Mažiau</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užimamų</w:t>
            </w:r>
            <w:proofErr w:type="spellEnd"/>
            <w:r w:rsidRPr="00C12C36">
              <w:rPr>
                <w:rFonts w:ascii="Times New Roman" w:eastAsia="Times New Roman" w:hAnsi="Times New Roman" w:cs="Times New Roman"/>
                <w:b/>
                <w:bCs/>
                <w:sz w:val="24"/>
                <w:szCs w:val="24"/>
                <w:lang w:val="en-US"/>
              </w:rPr>
              <w:t xml:space="preserve"> PCIe </w:t>
            </w:r>
            <w:proofErr w:type="spellStart"/>
            <w:r w:rsidRPr="00C12C36">
              <w:rPr>
                <w:rFonts w:ascii="Times New Roman" w:eastAsia="Times New Roman" w:hAnsi="Times New Roman" w:cs="Times New Roman"/>
                <w:b/>
                <w:bCs/>
                <w:sz w:val="24"/>
                <w:szCs w:val="24"/>
                <w:lang w:val="en-US"/>
              </w:rPr>
              <w:t>lizdų</w:t>
            </w:r>
            <w:proofErr w:type="spellEnd"/>
            <w:r w:rsidRPr="00C12C36">
              <w:rPr>
                <w:rFonts w:ascii="Times New Roman" w:eastAsia="Times New Roman" w:hAnsi="Times New Roman" w:cs="Times New Roman"/>
                <w:b/>
                <w:bCs/>
                <w:sz w:val="24"/>
                <w:szCs w:val="24"/>
                <w:lang w:val="en-US"/>
              </w:rPr>
              <w:t xml:space="preserve"> </w:t>
            </w:r>
          </w:p>
          <w:p w14:paraId="1F9C1587" w14:textId="77777777" w:rsidR="00C12C36" w:rsidRPr="00C12C36" w:rsidRDefault="00C12C36" w:rsidP="00C12C36">
            <w:pPr>
              <w:numPr>
                <w:ilvl w:val="0"/>
                <w:numId w:val="21"/>
              </w:num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Dviejų</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prievadų</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adapteris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Cs/>
                <w:sz w:val="24"/>
                <w:szCs w:val="24"/>
                <w:lang w:val="en-US"/>
              </w:rPr>
              <w:t>užima</w:t>
            </w:r>
            <w:proofErr w:type="spellEnd"/>
            <w:r w:rsidRPr="00C12C36">
              <w:rPr>
                <w:rFonts w:ascii="Times New Roman" w:eastAsia="Times New Roman" w:hAnsi="Times New Roman" w:cs="Times New Roman"/>
                <w:bCs/>
                <w:sz w:val="24"/>
                <w:szCs w:val="24"/>
                <w:lang w:val="en-US"/>
              </w:rPr>
              <w:t xml:space="preserve"> </w:t>
            </w:r>
            <w:r w:rsidRPr="00C12C36">
              <w:rPr>
                <w:rFonts w:ascii="Times New Roman" w:eastAsia="Times New Roman" w:hAnsi="Times New Roman" w:cs="Times New Roman"/>
                <w:b/>
                <w:bCs/>
                <w:sz w:val="24"/>
                <w:szCs w:val="24"/>
                <w:lang w:val="en-US"/>
              </w:rPr>
              <w:t xml:space="preserve">tik </w:t>
            </w:r>
            <w:proofErr w:type="spellStart"/>
            <w:r w:rsidRPr="00C12C36">
              <w:rPr>
                <w:rFonts w:ascii="Times New Roman" w:eastAsia="Times New Roman" w:hAnsi="Times New Roman" w:cs="Times New Roman"/>
                <w:b/>
                <w:bCs/>
                <w:sz w:val="24"/>
                <w:szCs w:val="24"/>
                <w:lang w:val="en-US"/>
              </w:rPr>
              <w:t>vieną</w:t>
            </w:r>
            <w:proofErr w:type="spellEnd"/>
            <w:r w:rsidRPr="00C12C36">
              <w:rPr>
                <w:rFonts w:ascii="Times New Roman" w:eastAsia="Times New Roman" w:hAnsi="Times New Roman" w:cs="Times New Roman"/>
                <w:b/>
                <w:bCs/>
                <w:sz w:val="24"/>
                <w:szCs w:val="24"/>
                <w:lang w:val="en-US"/>
              </w:rPr>
              <w:t xml:space="preserve"> PCIe </w:t>
            </w:r>
            <w:proofErr w:type="spellStart"/>
            <w:r w:rsidRPr="00C12C36">
              <w:rPr>
                <w:rFonts w:ascii="Times New Roman" w:eastAsia="Times New Roman" w:hAnsi="Times New Roman" w:cs="Times New Roman"/>
                <w:b/>
                <w:bCs/>
                <w:sz w:val="24"/>
                <w:szCs w:val="24"/>
                <w:lang w:val="en-US"/>
              </w:rPr>
              <w:t>lizdą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o ne</w:t>
            </w:r>
            <w:proofErr w:type="spellEnd"/>
            <w:r w:rsidRPr="00C12C36">
              <w:rPr>
                <w:rFonts w:ascii="Times New Roman" w:eastAsia="Times New Roman" w:hAnsi="Times New Roman" w:cs="Times New Roman"/>
                <w:bCs/>
                <w:sz w:val="24"/>
                <w:szCs w:val="24"/>
                <w:lang w:val="en-US"/>
              </w:rPr>
              <w:t xml:space="preserve"> du, </w:t>
            </w:r>
            <w:proofErr w:type="spellStart"/>
            <w:r w:rsidRPr="00C12C36">
              <w:rPr>
                <w:rFonts w:ascii="Times New Roman" w:eastAsia="Times New Roman" w:hAnsi="Times New Roman" w:cs="Times New Roman"/>
                <w:bCs/>
                <w:sz w:val="24"/>
                <w:szCs w:val="24"/>
                <w:lang w:val="en-US"/>
              </w:rPr>
              <w:t>kaip</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būtų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dviem</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prievado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adapteriais</w:t>
            </w:r>
            <w:proofErr w:type="spellEnd"/>
            <w:r w:rsidRPr="00C12C36">
              <w:rPr>
                <w:rFonts w:ascii="Times New Roman" w:eastAsia="Times New Roman" w:hAnsi="Times New Roman" w:cs="Times New Roman"/>
                <w:bCs/>
                <w:sz w:val="24"/>
                <w:szCs w:val="24"/>
                <w:lang w:val="en-US"/>
              </w:rPr>
              <w:t xml:space="preserve">. </w:t>
            </w:r>
          </w:p>
          <w:p w14:paraId="41F2AC24" w14:textId="77777777" w:rsidR="00C12C36" w:rsidRPr="00C12C36" w:rsidRDefault="00C12C36" w:rsidP="00C12C36">
            <w:pPr>
              <w:numPr>
                <w:ilvl w:val="0"/>
                <w:numId w:val="21"/>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Tai </w:t>
            </w:r>
            <w:proofErr w:type="spellStart"/>
            <w:r w:rsidRPr="00C12C36">
              <w:rPr>
                <w:rFonts w:ascii="Times New Roman" w:eastAsia="Times New Roman" w:hAnsi="Times New Roman" w:cs="Times New Roman"/>
                <w:bCs/>
                <w:sz w:val="24"/>
                <w:szCs w:val="24"/>
                <w:lang w:val="en-US"/>
              </w:rPr>
              <w:t>leidžia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palikti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daugiau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vietos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kitiems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plėtiniams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pvz</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NVMe</w:t>
            </w:r>
            <w:proofErr w:type="spellEnd"/>
            <w:r w:rsidRPr="00C12C36">
              <w:rPr>
                <w:rFonts w:ascii="Times New Roman" w:eastAsia="Times New Roman" w:hAnsi="Times New Roman" w:cs="Times New Roman"/>
                <w:bCs/>
                <w:sz w:val="24"/>
                <w:szCs w:val="24"/>
                <w:lang w:val="en-US"/>
              </w:rPr>
              <w:t xml:space="preserve">, 10/25/100 GbE </w:t>
            </w:r>
            <w:proofErr w:type="spellStart"/>
            <w:r w:rsidRPr="00C12C36">
              <w:rPr>
                <w:rFonts w:ascii="Times New Roman" w:eastAsia="Times New Roman" w:hAnsi="Times New Roman" w:cs="Times New Roman"/>
                <w:bCs/>
                <w:sz w:val="24"/>
                <w:szCs w:val="24"/>
                <w:lang w:val="en-US"/>
              </w:rPr>
              <w:t>tinklo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plokštėms</w:t>
            </w:r>
            <w:proofErr w:type="spellEnd"/>
            <w:r w:rsidRPr="00C12C36">
              <w:rPr>
                <w:rFonts w:ascii="Times New Roman" w:eastAsia="Times New Roman" w:hAnsi="Times New Roman" w:cs="Times New Roman"/>
                <w:bCs/>
                <w:sz w:val="24"/>
                <w:szCs w:val="24"/>
                <w:lang w:val="en-US"/>
              </w:rPr>
              <w:t xml:space="preserve">, GPU </w:t>
            </w:r>
            <w:proofErr w:type="spellStart"/>
            <w:r w:rsidRPr="00C12C36">
              <w:rPr>
                <w:rFonts w:ascii="Times New Roman" w:eastAsia="Times New Roman" w:hAnsi="Times New Roman" w:cs="Times New Roman"/>
                <w:bCs/>
                <w:sz w:val="24"/>
                <w:szCs w:val="24"/>
                <w:lang w:val="en-US"/>
              </w:rPr>
              <w:t>ir</w:t>
            </w:r>
            <w:proofErr w:type="spellEnd"/>
            <w:r w:rsidRPr="00C12C36">
              <w:rPr>
                <w:rFonts w:ascii="Times New Roman" w:eastAsia="Times New Roman" w:hAnsi="Times New Roman" w:cs="Times New Roman"/>
                <w:bCs/>
                <w:sz w:val="24"/>
                <w:szCs w:val="24"/>
                <w:lang w:val="en-US"/>
              </w:rPr>
              <w:t xml:space="preserve"> pan.). </w:t>
            </w:r>
          </w:p>
          <w:p w14:paraId="15C2C197"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
          <w:p w14:paraId="6B896F88"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Mažesnės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energijos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sąnaudos</w:t>
            </w:r>
            <w:proofErr w:type="spellEnd"/>
            <w:r w:rsidRPr="00C12C36">
              <w:rPr>
                <w:rFonts w:ascii="Times New Roman" w:eastAsia="Times New Roman" w:hAnsi="Times New Roman" w:cs="Times New Roman"/>
                <w:b/>
                <w:bCs/>
                <w:sz w:val="24"/>
                <w:szCs w:val="24"/>
                <w:lang w:val="en-US"/>
              </w:rPr>
              <w:t xml:space="preserve"> </w:t>
            </w:r>
          </w:p>
          <w:p w14:paraId="12889EA8" w14:textId="77777777" w:rsidR="00C12C36" w:rsidRPr="00C12C36" w:rsidRDefault="00C12C36" w:rsidP="00C12C36">
            <w:pPr>
              <w:numPr>
                <w:ilvl w:val="0"/>
                <w:numId w:val="22"/>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Vienas </w:t>
            </w:r>
            <w:proofErr w:type="spellStart"/>
            <w:r w:rsidRPr="00C12C36">
              <w:rPr>
                <w:rFonts w:ascii="Times New Roman" w:eastAsia="Times New Roman" w:hAnsi="Times New Roman" w:cs="Times New Roman"/>
                <w:bCs/>
                <w:sz w:val="24"/>
                <w:szCs w:val="24"/>
                <w:lang w:val="en-US"/>
              </w:rPr>
              <w:t>dviejų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prievadų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adapteris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paprastai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naudoja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mažiau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elektros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nei</w:t>
            </w:r>
            <w:proofErr w:type="spellEnd"/>
            <w:r w:rsidRPr="00C12C36">
              <w:rPr>
                <w:rFonts w:ascii="Times New Roman" w:eastAsia="Times New Roman" w:hAnsi="Times New Roman" w:cs="Times New Roman"/>
                <w:bCs/>
                <w:sz w:val="24"/>
                <w:szCs w:val="24"/>
                <w:lang w:val="en-US"/>
              </w:rPr>
              <w:t xml:space="preserve"> du </w:t>
            </w:r>
            <w:proofErr w:type="spellStart"/>
            <w:r w:rsidRPr="00C12C36">
              <w:rPr>
                <w:rFonts w:ascii="Times New Roman" w:eastAsia="Times New Roman" w:hAnsi="Times New Roman" w:cs="Times New Roman"/>
                <w:bCs/>
                <w:sz w:val="24"/>
                <w:szCs w:val="24"/>
                <w:lang w:val="en-US"/>
              </w:rPr>
              <w:t>atskiri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prievado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adapteriai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dėl</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bendros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logikos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ir</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w:t>
            </w:r>
            <w:proofErr w:type="spellEnd"/>
            <w:r w:rsidRPr="00C12C36">
              <w:rPr>
                <w:rFonts w:ascii="Times New Roman" w:eastAsia="Times New Roman" w:hAnsi="Times New Roman" w:cs="Times New Roman"/>
                <w:bCs/>
                <w:sz w:val="24"/>
                <w:szCs w:val="24"/>
                <w:lang w:val="en-US"/>
              </w:rPr>
              <w:t xml:space="preserve"> PCIe </w:t>
            </w:r>
            <w:proofErr w:type="spellStart"/>
            <w:r w:rsidRPr="00C12C36">
              <w:rPr>
                <w:rFonts w:ascii="Times New Roman" w:eastAsia="Times New Roman" w:hAnsi="Times New Roman" w:cs="Times New Roman"/>
                <w:bCs/>
                <w:sz w:val="24"/>
                <w:szCs w:val="24"/>
                <w:lang w:val="en-US"/>
              </w:rPr>
              <w:t>sąsajos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valdiklio</w:t>
            </w:r>
            <w:proofErr w:type="spellEnd"/>
            <w:r w:rsidRPr="00C12C36">
              <w:rPr>
                <w:rFonts w:ascii="Times New Roman" w:eastAsia="Times New Roman" w:hAnsi="Times New Roman" w:cs="Times New Roman"/>
                <w:bCs/>
                <w:sz w:val="24"/>
                <w:szCs w:val="24"/>
                <w:lang w:val="en-US"/>
              </w:rPr>
              <w:t xml:space="preserve">. </w:t>
            </w:r>
          </w:p>
          <w:p w14:paraId="1E3B5C63" w14:textId="77777777" w:rsidR="00C12C36" w:rsidRPr="00C12C36" w:rsidRDefault="00C12C36" w:rsidP="00C12C36">
            <w:pPr>
              <w:numPr>
                <w:ilvl w:val="0"/>
                <w:numId w:val="22"/>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Tai </w:t>
            </w:r>
            <w:proofErr w:type="spellStart"/>
            <w:r w:rsidRPr="00C12C36">
              <w:rPr>
                <w:rFonts w:ascii="Times New Roman" w:eastAsia="Times New Roman" w:hAnsi="Times New Roman" w:cs="Times New Roman"/>
                <w:bCs/>
                <w:sz w:val="24"/>
                <w:szCs w:val="24"/>
                <w:lang w:val="en-US"/>
              </w:rPr>
              <w:t>taip</w:t>
            </w:r>
            <w:proofErr w:type="spellEnd"/>
            <w:r w:rsidRPr="00C12C36">
              <w:rPr>
                <w:rFonts w:ascii="Times New Roman" w:eastAsia="Times New Roman" w:hAnsi="Times New Roman" w:cs="Times New Roman"/>
                <w:bCs/>
                <w:sz w:val="24"/>
                <w:szCs w:val="24"/>
                <w:lang w:val="en-US"/>
              </w:rPr>
              <w:t xml:space="preserve"> pat </w:t>
            </w:r>
            <w:proofErr w:type="spellStart"/>
            <w:r w:rsidRPr="00C12C36">
              <w:rPr>
                <w:rFonts w:ascii="Times New Roman" w:eastAsia="Times New Roman" w:hAnsi="Times New Roman" w:cs="Times New Roman"/>
                <w:bCs/>
                <w:sz w:val="24"/>
                <w:szCs w:val="24"/>
                <w:lang w:val="en-US"/>
              </w:rPr>
              <w:t>reiškia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mažesnę</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šilumos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generaciją</w:t>
            </w:r>
            <w:proofErr w:type="spellEnd"/>
            <w:r w:rsidRPr="00C12C36">
              <w:rPr>
                <w:rFonts w:ascii="Times New Roman" w:eastAsia="Times New Roman" w:hAnsi="Times New Roman" w:cs="Times New Roman"/>
                <w:bCs/>
                <w:sz w:val="24"/>
                <w:szCs w:val="24"/>
                <w:lang w:val="en-US"/>
              </w:rPr>
              <w:t xml:space="preserve">. </w:t>
            </w:r>
          </w:p>
          <w:p w14:paraId="25EF8DD5"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Architektūros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privalumas</w:t>
            </w:r>
            <w:proofErr w:type="spellEnd"/>
            <w:r w:rsidRPr="00C12C36">
              <w:rPr>
                <w:rFonts w:ascii="Times New Roman" w:eastAsia="Times New Roman" w:hAnsi="Times New Roman" w:cs="Times New Roman"/>
                <w:b/>
                <w:bCs/>
                <w:sz w:val="24"/>
                <w:szCs w:val="24"/>
                <w:lang w:val="en-US"/>
              </w:rPr>
              <w:t xml:space="preserve"> </w:t>
            </w:r>
          </w:p>
          <w:p w14:paraId="7220E9C3" w14:textId="77777777" w:rsidR="00C12C36" w:rsidRPr="00C12C36" w:rsidRDefault="00C12C36" w:rsidP="00C12C36">
            <w:pPr>
              <w:numPr>
                <w:ilvl w:val="0"/>
                <w:numId w:val="23"/>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Pas Marvell (</w:t>
            </w:r>
            <w:proofErr w:type="spellStart"/>
            <w:r w:rsidRPr="00C12C36">
              <w:rPr>
                <w:rFonts w:ascii="Times New Roman" w:eastAsia="Times New Roman" w:hAnsi="Times New Roman" w:cs="Times New Roman"/>
                <w:bCs/>
                <w:sz w:val="24"/>
                <w:szCs w:val="24"/>
                <w:lang w:val="en-US"/>
              </w:rPr>
              <w:t>ypač</w:t>
            </w:r>
            <w:proofErr w:type="spellEnd"/>
            <w:r w:rsidRPr="00C12C36">
              <w:rPr>
                <w:rFonts w:ascii="Times New Roman" w:eastAsia="Times New Roman" w:hAnsi="Times New Roman" w:cs="Times New Roman"/>
                <w:bCs/>
                <w:sz w:val="24"/>
                <w:szCs w:val="24"/>
                <w:lang w:val="en-US"/>
              </w:rPr>
              <w:t xml:space="preserve"> QLogic </w:t>
            </w:r>
            <w:proofErr w:type="spellStart"/>
            <w:r w:rsidRPr="00C12C36">
              <w:rPr>
                <w:rFonts w:ascii="Times New Roman" w:eastAsia="Times New Roman" w:hAnsi="Times New Roman" w:cs="Times New Roman"/>
                <w:bCs/>
                <w:sz w:val="24"/>
                <w:szCs w:val="24"/>
                <w:lang w:val="en-US"/>
              </w:rPr>
              <w:t>įsigytą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technologiją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
                <w:bCs/>
                <w:sz w:val="24"/>
                <w:szCs w:val="24"/>
                <w:lang w:val="en-US"/>
              </w:rPr>
              <w:t>kiekvienas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portas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veikia</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kaip</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atskiras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logiškai</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nepriklausomas</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adapteris</w:t>
            </w:r>
            <w:proofErr w:type="spellEnd"/>
            <w:r w:rsidRPr="00C12C36">
              <w:rPr>
                <w:rFonts w:ascii="Times New Roman" w:eastAsia="Times New Roman" w:hAnsi="Times New Roman" w:cs="Times New Roman"/>
                <w:bCs/>
                <w:sz w:val="24"/>
                <w:szCs w:val="24"/>
                <w:lang w:val="en-US"/>
              </w:rPr>
              <w:t xml:space="preserve">, net </w:t>
            </w:r>
            <w:proofErr w:type="spellStart"/>
            <w:r w:rsidRPr="00C12C36">
              <w:rPr>
                <w:rFonts w:ascii="Times New Roman" w:eastAsia="Times New Roman" w:hAnsi="Times New Roman" w:cs="Times New Roman"/>
                <w:bCs/>
                <w:sz w:val="24"/>
                <w:szCs w:val="24"/>
                <w:lang w:val="en-US"/>
              </w:rPr>
              <w:t>jei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jie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yra</w:t>
            </w:r>
            <w:proofErr w:type="spellEnd"/>
            <w:r w:rsidRPr="00C12C36">
              <w:rPr>
                <w:rFonts w:ascii="Times New Roman" w:eastAsia="Times New Roman" w:hAnsi="Times New Roman" w:cs="Times New Roman"/>
                <w:bCs/>
                <w:sz w:val="24"/>
                <w:szCs w:val="24"/>
                <w:lang w:val="en-US"/>
              </w:rPr>
              <w:t xml:space="preserve"> ant </w:t>
            </w:r>
            <w:proofErr w:type="spellStart"/>
            <w:r w:rsidRPr="00C12C36">
              <w:rPr>
                <w:rFonts w:ascii="Times New Roman" w:eastAsia="Times New Roman" w:hAnsi="Times New Roman" w:cs="Times New Roman"/>
                <w:bCs/>
                <w:sz w:val="24"/>
                <w:szCs w:val="24"/>
                <w:lang w:val="en-US"/>
              </w:rPr>
              <w:t>vienos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fizinės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kortos</w:t>
            </w:r>
            <w:proofErr w:type="spellEnd"/>
            <w:r w:rsidRPr="00C12C36">
              <w:rPr>
                <w:rFonts w:ascii="Times New Roman" w:eastAsia="Times New Roman" w:hAnsi="Times New Roman" w:cs="Times New Roman"/>
                <w:bCs/>
                <w:sz w:val="24"/>
                <w:szCs w:val="24"/>
                <w:lang w:val="en-US"/>
              </w:rPr>
              <w:t xml:space="preserve">. </w:t>
            </w:r>
          </w:p>
          <w:p w14:paraId="73B4BF52" w14:textId="77777777" w:rsidR="00C12C36" w:rsidRPr="00C12C36" w:rsidRDefault="00C12C36" w:rsidP="00C12C36">
            <w:pPr>
              <w:numPr>
                <w:ilvl w:val="0"/>
                <w:numId w:val="23"/>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Tai </w:t>
            </w:r>
            <w:proofErr w:type="spellStart"/>
            <w:r w:rsidRPr="00C12C36">
              <w:rPr>
                <w:rFonts w:ascii="Times New Roman" w:eastAsia="Times New Roman" w:hAnsi="Times New Roman" w:cs="Times New Roman"/>
                <w:bCs/>
                <w:sz w:val="24"/>
                <w:szCs w:val="24"/>
                <w:lang w:val="en-US"/>
              </w:rPr>
              <w:t>reiškia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kad</w:t>
            </w:r>
            <w:proofErr w:type="spellEnd"/>
            <w:r w:rsidRPr="00C12C36">
              <w:rPr>
                <w:rFonts w:ascii="Times New Roman" w:eastAsia="Times New Roman" w:hAnsi="Times New Roman" w:cs="Times New Roman"/>
                <w:bCs/>
                <w:sz w:val="24"/>
                <w:szCs w:val="24"/>
                <w:lang w:val="en-US"/>
              </w:rPr>
              <w:t xml:space="preserve"> vis </w:t>
            </w:r>
            <w:proofErr w:type="spellStart"/>
            <w:r w:rsidRPr="00C12C36">
              <w:rPr>
                <w:rFonts w:ascii="Times New Roman" w:eastAsia="Times New Roman" w:hAnsi="Times New Roman" w:cs="Times New Roman"/>
                <w:bCs/>
                <w:sz w:val="24"/>
                <w:szCs w:val="24"/>
                <w:lang w:val="en-US"/>
              </w:rPr>
              <w:t>tiek</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turėsite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visišką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fizinį</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kelių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nepriklausomumą</w:t>
            </w:r>
            <w:proofErr w:type="spellEnd"/>
            <w:r w:rsidRPr="00C12C36">
              <w:rPr>
                <w:rFonts w:ascii="Times New Roman" w:eastAsia="Times New Roman" w:hAnsi="Times New Roman" w:cs="Times New Roman"/>
                <w:bCs/>
                <w:sz w:val="24"/>
                <w:szCs w:val="24"/>
                <w:lang w:val="en-US"/>
              </w:rPr>
              <w:t xml:space="preserve"> per </w:t>
            </w:r>
            <w:proofErr w:type="spellStart"/>
            <w:r w:rsidRPr="00C12C36">
              <w:rPr>
                <w:rFonts w:ascii="Times New Roman" w:eastAsia="Times New Roman" w:hAnsi="Times New Roman" w:cs="Times New Roman"/>
                <w:bCs/>
                <w:sz w:val="24"/>
                <w:szCs w:val="24"/>
                <w:lang w:val="en-US"/>
              </w:rPr>
              <w:t>abu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portus</w:t>
            </w:r>
            <w:proofErr w:type="spellEnd"/>
            <w:r w:rsidRPr="00C12C36">
              <w:rPr>
                <w:rFonts w:ascii="Times New Roman" w:eastAsia="Times New Roman" w:hAnsi="Times New Roman" w:cs="Times New Roman"/>
                <w:bCs/>
                <w:sz w:val="24"/>
                <w:szCs w:val="24"/>
                <w:lang w:val="en-US"/>
              </w:rPr>
              <w:t xml:space="preserve"> (multi-pathing, zoning </w:t>
            </w:r>
            <w:proofErr w:type="spellStart"/>
            <w:r w:rsidRPr="00C12C36">
              <w:rPr>
                <w:rFonts w:ascii="Times New Roman" w:eastAsia="Times New Roman" w:hAnsi="Times New Roman" w:cs="Times New Roman"/>
                <w:bCs/>
                <w:sz w:val="24"/>
                <w:szCs w:val="24"/>
                <w:lang w:val="en-US"/>
              </w:rPr>
              <w:t>ir</w:t>
            </w:r>
            <w:proofErr w:type="spellEnd"/>
            <w:r w:rsidRPr="00C12C36">
              <w:rPr>
                <w:rFonts w:ascii="Times New Roman" w:eastAsia="Times New Roman" w:hAnsi="Times New Roman" w:cs="Times New Roman"/>
                <w:bCs/>
                <w:sz w:val="24"/>
                <w:szCs w:val="24"/>
                <w:lang w:val="en-US"/>
              </w:rPr>
              <w:t xml:space="preserve"> pan.). </w:t>
            </w:r>
          </w:p>
          <w:p w14:paraId="781C92C3" w14:textId="77777777" w:rsidR="00C12C36" w:rsidRPr="00C12C36" w:rsidRDefault="00C12C36" w:rsidP="00C12C36">
            <w:pPr>
              <w:numPr>
                <w:ilvl w:val="0"/>
                <w:numId w:val="23"/>
              </w:num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Cs/>
                <w:sz w:val="24"/>
                <w:szCs w:val="24"/>
                <w:lang w:val="en-US"/>
              </w:rPr>
              <w:t>Iš</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serverio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pusės</w:t>
            </w:r>
            <w:proofErr w:type="spellEnd"/>
            <w:r w:rsidRPr="00C12C36">
              <w:rPr>
                <w:rFonts w:ascii="Times New Roman" w:eastAsia="Times New Roman" w:hAnsi="Times New Roman" w:cs="Times New Roman"/>
                <w:bCs/>
                <w:sz w:val="24"/>
                <w:szCs w:val="24"/>
                <w:lang w:val="en-US"/>
              </w:rPr>
              <w:t xml:space="preserve"> tai </w:t>
            </w:r>
            <w:proofErr w:type="spellStart"/>
            <w:r w:rsidRPr="00C12C36">
              <w:rPr>
                <w:rFonts w:ascii="Times New Roman" w:eastAsia="Times New Roman" w:hAnsi="Times New Roman" w:cs="Times New Roman"/>
                <w:bCs/>
                <w:sz w:val="24"/>
                <w:szCs w:val="24"/>
                <w:lang w:val="en-US"/>
              </w:rPr>
              <w:t>gali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atrodyti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kaip</w:t>
            </w:r>
            <w:proofErr w:type="spellEnd"/>
            <w:r w:rsidRPr="00C12C36">
              <w:rPr>
                <w:rFonts w:ascii="Times New Roman" w:eastAsia="Times New Roman" w:hAnsi="Times New Roman" w:cs="Times New Roman"/>
                <w:bCs/>
                <w:sz w:val="24"/>
                <w:szCs w:val="24"/>
                <w:lang w:val="en-US"/>
              </w:rPr>
              <w:t xml:space="preserve"> du </w:t>
            </w:r>
            <w:proofErr w:type="spellStart"/>
            <w:r w:rsidRPr="00C12C36">
              <w:rPr>
                <w:rFonts w:ascii="Times New Roman" w:eastAsia="Times New Roman" w:hAnsi="Times New Roman" w:cs="Times New Roman"/>
                <w:bCs/>
                <w:sz w:val="24"/>
                <w:szCs w:val="24"/>
                <w:lang w:val="en-US"/>
              </w:rPr>
              <w:t>atskiri</w:t>
            </w:r>
            <w:proofErr w:type="spellEnd"/>
            <w:r w:rsidRPr="00C12C36">
              <w:rPr>
                <w:rFonts w:ascii="Times New Roman" w:eastAsia="Times New Roman" w:hAnsi="Times New Roman" w:cs="Times New Roman"/>
                <w:bCs/>
                <w:sz w:val="24"/>
                <w:szCs w:val="24"/>
                <w:lang w:val="en-US"/>
              </w:rPr>
              <w:t xml:space="preserve"> HBA. </w:t>
            </w:r>
          </w:p>
          <w:p w14:paraId="7B374B48"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
          <w:p w14:paraId="13500085"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Patikimumas</w:t>
            </w:r>
            <w:proofErr w:type="spellEnd"/>
            <w:r w:rsidRPr="00C12C36">
              <w:rPr>
                <w:rFonts w:ascii="Times New Roman" w:eastAsia="Times New Roman" w:hAnsi="Times New Roman" w:cs="Times New Roman"/>
                <w:b/>
                <w:bCs/>
                <w:sz w:val="24"/>
                <w:szCs w:val="24"/>
                <w:lang w:val="en-US"/>
              </w:rPr>
              <w:t xml:space="preserve">: </w:t>
            </w:r>
          </w:p>
          <w:p w14:paraId="7F30AF6D" w14:textId="77777777" w:rsidR="00C12C36" w:rsidRPr="00C12C36" w:rsidRDefault="00C12C36" w:rsidP="00C12C36">
            <w:pPr>
              <w:numPr>
                <w:ilvl w:val="0"/>
                <w:numId w:val="24"/>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Jei </w:t>
            </w:r>
            <w:proofErr w:type="spellStart"/>
            <w:r w:rsidRPr="00C12C36">
              <w:rPr>
                <w:rFonts w:ascii="Times New Roman" w:eastAsia="Times New Roman" w:hAnsi="Times New Roman" w:cs="Times New Roman"/>
                <w:bCs/>
                <w:sz w:val="24"/>
                <w:szCs w:val="24"/>
                <w:lang w:val="en-US"/>
              </w:rPr>
              <w:t>sugenda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portas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kitas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portas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lieka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veikti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valdikliai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dažnai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yra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atskiri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priklausomai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nuo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modelio</w:t>
            </w:r>
            <w:proofErr w:type="spellEnd"/>
            <w:r w:rsidRPr="00C12C36">
              <w:rPr>
                <w:rFonts w:ascii="Times New Roman" w:eastAsia="Times New Roman" w:hAnsi="Times New Roman" w:cs="Times New Roman"/>
                <w:bCs/>
                <w:sz w:val="24"/>
                <w:szCs w:val="24"/>
                <w:lang w:val="en-US"/>
              </w:rPr>
              <w:t xml:space="preserve"> – Marvell </w:t>
            </w:r>
            <w:proofErr w:type="spellStart"/>
            <w:r w:rsidRPr="00C12C36">
              <w:rPr>
                <w:rFonts w:ascii="Times New Roman" w:eastAsia="Times New Roman" w:hAnsi="Times New Roman" w:cs="Times New Roman"/>
                <w:bCs/>
                <w:sz w:val="24"/>
                <w:szCs w:val="24"/>
                <w:lang w:val="en-US"/>
              </w:rPr>
              <w:t>dažnai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daro</w:t>
            </w:r>
            <w:proofErr w:type="spellEnd"/>
            <w:r w:rsidRPr="00C12C36">
              <w:rPr>
                <w:rFonts w:ascii="Times New Roman" w:eastAsia="Times New Roman" w:hAnsi="Times New Roman" w:cs="Times New Roman"/>
                <w:bCs/>
                <w:sz w:val="24"/>
                <w:szCs w:val="24"/>
                <w:lang w:val="en-US"/>
              </w:rPr>
              <w:t xml:space="preserve"> „dual </w:t>
            </w:r>
            <w:proofErr w:type="gramStart"/>
            <w:r w:rsidRPr="00C12C36">
              <w:rPr>
                <w:rFonts w:ascii="Times New Roman" w:eastAsia="Times New Roman" w:hAnsi="Times New Roman" w:cs="Times New Roman"/>
                <w:bCs/>
                <w:sz w:val="24"/>
                <w:szCs w:val="24"/>
                <w:lang w:val="en-US"/>
              </w:rPr>
              <w:t xml:space="preserve">ASIC“ </w:t>
            </w:r>
            <w:proofErr w:type="spellStart"/>
            <w:r w:rsidRPr="00C12C36">
              <w:rPr>
                <w:rFonts w:ascii="Times New Roman" w:eastAsia="Times New Roman" w:hAnsi="Times New Roman" w:cs="Times New Roman"/>
                <w:bCs/>
                <w:sz w:val="24"/>
                <w:szCs w:val="24"/>
                <w:lang w:val="en-US"/>
              </w:rPr>
              <w:t>dizainą</w:t>
            </w:r>
            <w:proofErr w:type="spellEnd"/>
            <w:proofErr w:type="gram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vienoje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plokštėje</w:t>
            </w:r>
            <w:proofErr w:type="spellEnd"/>
            <w:r w:rsidRPr="00C12C36">
              <w:rPr>
                <w:rFonts w:ascii="Times New Roman" w:eastAsia="Times New Roman" w:hAnsi="Times New Roman" w:cs="Times New Roman"/>
                <w:bCs/>
                <w:sz w:val="24"/>
                <w:szCs w:val="24"/>
                <w:lang w:val="en-US"/>
              </w:rPr>
              <w:t xml:space="preserve">). </w:t>
            </w:r>
          </w:p>
          <w:p w14:paraId="09C6E2E2" w14:textId="77777777" w:rsidR="00C12C36" w:rsidRPr="00C12C36" w:rsidRDefault="00C12C36" w:rsidP="00C12C36">
            <w:pPr>
              <w:numPr>
                <w:ilvl w:val="0"/>
                <w:numId w:val="24"/>
              </w:num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Cs/>
                <w:sz w:val="24"/>
                <w:szCs w:val="24"/>
                <w:lang w:val="en-US"/>
              </w:rPr>
              <w:t>Dauguma</w:t>
            </w:r>
            <w:proofErr w:type="spellEnd"/>
            <w:r w:rsidRPr="00C12C36">
              <w:rPr>
                <w:rFonts w:ascii="Times New Roman" w:eastAsia="Times New Roman" w:hAnsi="Times New Roman" w:cs="Times New Roman"/>
                <w:bCs/>
                <w:sz w:val="24"/>
                <w:szCs w:val="24"/>
                <w:lang w:val="en-US"/>
              </w:rPr>
              <w:t xml:space="preserve"> enterprise dual-port FC HBA </w:t>
            </w:r>
            <w:proofErr w:type="spellStart"/>
            <w:r w:rsidRPr="00C12C36">
              <w:rPr>
                <w:rFonts w:ascii="Times New Roman" w:eastAsia="Times New Roman" w:hAnsi="Times New Roman" w:cs="Times New Roman"/>
                <w:bCs/>
                <w:sz w:val="24"/>
                <w:szCs w:val="24"/>
                <w:lang w:val="en-US"/>
              </w:rPr>
              <w:t>yra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suprojektuoti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taip</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kad</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vieno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porto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gedimas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nereiškia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visos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kortos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darbo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sutrikimo</w:t>
            </w:r>
            <w:proofErr w:type="spellEnd"/>
            <w:r w:rsidRPr="00C12C36">
              <w:rPr>
                <w:rFonts w:ascii="Times New Roman" w:eastAsia="Times New Roman" w:hAnsi="Times New Roman" w:cs="Times New Roman"/>
                <w:bCs/>
                <w:sz w:val="24"/>
                <w:szCs w:val="24"/>
                <w:lang w:val="en-US"/>
              </w:rPr>
              <w:t xml:space="preserve">. </w:t>
            </w:r>
          </w:p>
          <w:p w14:paraId="2DFABC5D"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
          <w:p w14:paraId="07190179" w14:textId="77777777" w:rsidR="00C12C36" w:rsidRPr="00C12C36" w:rsidRDefault="00C12C36" w:rsidP="00C12C36">
            <w:pPr>
              <w:tabs>
                <w:tab w:val="left" w:pos="564"/>
              </w:tabs>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
                <w:bCs/>
                <w:sz w:val="24"/>
                <w:szCs w:val="24"/>
                <w:lang w:val="en-US"/>
              </w:rPr>
              <w:t>Mažesni</w:t>
            </w:r>
            <w:proofErr w:type="spellEnd"/>
            <w:r w:rsidRPr="00C12C36">
              <w:rPr>
                <w:rFonts w:ascii="Times New Roman" w:eastAsia="Times New Roman" w:hAnsi="Times New Roman" w:cs="Times New Roman"/>
                <w:b/>
                <w:bCs/>
                <w:sz w:val="24"/>
                <w:szCs w:val="24"/>
                <w:lang w:val="en-US"/>
              </w:rPr>
              <w:t xml:space="preserve"> </w:t>
            </w:r>
            <w:proofErr w:type="spellStart"/>
            <w:r w:rsidRPr="00C12C36">
              <w:rPr>
                <w:rFonts w:ascii="Times New Roman" w:eastAsia="Times New Roman" w:hAnsi="Times New Roman" w:cs="Times New Roman"/>
                <w:b/>
                <w:bCs/>
                <w:sz w:val="24"/>
                <w:szCs w:val="24"/>
                <w:lang w:val="en-US"/>
              </w:rPr>
              <w:t>kaštai</w:t>
            </w:r>
            <w:proofErr w:type="spellEnd"/>
            <w:r w:rsidRPr="00C12C36">
              <w:rPr>
                <w:rFonts w:ascii="Times New Roman" w:eastAsia="Times New Roman" w:hAnsi="Times New Roman" w:cs="Times New Roman"/>
                <w:b/>
                <w:bCs/>
                <w:sz w:val="24"/>
                <w:szCs w:val="24"/>
                <w:lang w:val="en-US"/>
              </w:rPr>
              <w:t xml:space="preserve">: </w:t>
            </w:r>
          </w:p>
          <w:p w14:paraId="655A2F95" w14:textId="77777777" w:rsidR="00C12C36" w:rsidRPr="00C12C36" w:rsidRDefault="00C12C36" w:rsidP="00C12C36">
            <w:pPr>
              <w:numPr>
                <w:ilvl w:val="0"/>
                <w:numId w:val="25"/>
              </w:numPr>
              <w:tabs>
                <w:tab w:val="left" w:pos="564"/>
              </w:tabs>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sz w:val="24"/>
                <w:szCs w:val="24"/>
                <w:lang w:val="en-US"/>
              </w:rPr>
              <w:t xml:space="preserve">Vienas </w:t>
            </w:r>
            <w:proofErr w:type="spellStart"/>
            <w:r w:rsidRPr="00C12C36">
              <w:rPr>
                <w:rFonts w:ascii="Times New Roman" w:eastAsia="Times New Roman" w:hAnsi="Times New Roman" w:cs="Times New Roman"/>
                <w:bCs/>
                <w:sz w:val="24"/>
                <w:szCs w:val="24"/>
                <w:lang w:val="en-US"/>
              </w:rPr>
              <w:t>dviejų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prievadų</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adapteris</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paprastai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kainuoja</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pigiau</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nei</w:t>
            </w:r>
            <w:proofErr w:type="spellEnd"/>
            <w:r w:rsidRPr="00C12C36">
              <w:rPr>
                <w:rFonts w:ascii="Times New Roman" w:eastAsia="Times New Roman" w:hAnsi="Times New Roman" w:cs="Times New Roman"/>
                <w:bCs/>
                <w:sz w:val="24"/>
                <w:szCs w:val="24"/>
                <w:lang w:val="en-US"/>
              </w:rPr>
              <w:t xml:space="preserve"> du </w:t>
            </w:r>
            <w:proofErr w:type="spellStart"/>
            <w:r w:rsidRPr="00C12C36">
              <w:rPr>
                <w:rFonts w:ascii="Times New Roman" w:eastAsia="Times New Roman" w:hAnsi="Times New Roman" w:cs="Times New Roman"/>
                <w:bCs/>
                <w:sz w:val="24"/>
                <w:szCs w:val="24"/>
                <w:lang w:val="en-US"/>
              </w:rPr>
              <w:t>vieno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prievado</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adapteriai</w:t>
            </w:r>
            <w:proofErr w:type="spellEnd"/>
            <w:r w:rsidRPr="00C12C36">
              <w:rPr>
                <w:rFonts w:ascii="Times New Roman" w:eastAsia="Times New Roman" w:hAnsi="Times New Roman" w:cs="Times New Roman"/>
                <w:bCs/>
                <w:sz w:val="24"/>
                <w:szCs w:val="24"/>
                <w:lang w:val="en-US"/>
              </w:rPr>
              <w:t xml:space="preserve">. </w:t>
            </w:r>
          </w:p>
          <w:p w14:paraId="4FE062E9" w14:textId="77777777" w:rsidR="00C12C36" w:rsidRPr="00C12C36" w:rsidRDefault="00C12C36" w:rsidP="00C12C36">
            <w:pPr>
              <w:jc w:val="both"/>
              <w:rPr>
                <w:rFonts w:ascii="Times New Roman" w:eastAsia="Times New Roman" w:hAnsi="Times New Roman" w:cs="Times New Roman"/>
                <w:bCs/>
                <w:sz w:val="24"/>
                <w:szCs w:val="24"/>
                <w:lang w:val="en-US"/>
              </w:rPr>
            </w:pPr>
          </w:p>
          <w:p w14:paraId="7CF8C5D9" w14:textId="6E3F612E" w:rsidR="00C12C36" w:rsidRDefault="00C12C36" w:rsidP="00C12C36">
            <w:pPr>
              <w:jc w:val="both"/>
              <w:rPr>
                <w:rFonts w:ascii="Times New Roman" w:eastAsia="Times New Roman" w:hAnsi="Times New Roman" w:cs="Times New Roman"/>
                <w:bCs/>
                <w:sz w:val="24"/>
                <w:szCs w:val="24"/>
                <w:lang w:val="en-US"/>
              </w:rPr>
            </w:pPr>
            <w:proofErr w:type="spellStart"/>
            <w:r w:rsidRPr="00C12C36">
              <w:rPr>
                <w:rFonts w:ascii="Times New Roman" w:eastAsia="Times New Roman" w:hAnsi="Times New Roman" w:cs="Times New Roman"/>
                <w:bCs/>
                <w:sz w:val="24"/>
                <w:szCs w:val="24"/>
                <w:lang w:val="en-US"/>
              </w:rPr>
              <w:t>Todėl</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siūlome</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šį</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punktą</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išdėstyti</w:t>
            </w:r>
            <w:proofErr w:type="spellEnd"/>
            <w:r w:rsidRPr="00C12C36">
              <w:rPr>
                <w:rFonts w:ascii="Times New Roman" w:eastAsia="Times New Roman" w:hAnsi="Times New Roman" w:cs="Times New Roman"/>
                <w:bCs/>
                <w:sz w:val="24"/>
                <w:szCs w:val="24"/>
                <w:lang w:val="en-US"/>
              </w:rPr>
              <w:t xml:space="preserve"> </w:t>
            </w:r>
            <w:proofErr w:type="spellStart"/>
            <w:r w:rsidRPr="00C12C36">
              <w:rPr>
                <w:rFonts w:ascii="Times New Roman" w:eastAsia="Times New Roman" w:hAnsi="Times New Roman" w:cs="Times New Roman"/>
                <w:bCs/>
                <w:sz w:val="24"/>
                <w:szCs w:val="24"/>
                <w:lang w:val="en-US"/>
              </w:rPr>
              <w:t>taip</w:t>
            </w:r>
            <w:proofErr w:type="spellEnd"/>
            <w:r w:rsidRPr="00C12C36">
              <w:rPr>
                <w:rFonts w:ascii="Times New Roman" w:eastAsia="Times New Roman" w:hAnsi="Times New Roman" w:cs="Times New Roman"/>
                <w:bCs/>
                <w:sz w:val="24"/>
                <w:szCs w:val="24"/>
                <w:lang w:val="en-US"/>
              </w:rPr>
              <w:t>:</w:t>
            </w:r>
          </w:p>
          <w:p w14:paraId="3C5289C7" w14:textId="77777777" w:rsidR="00C12C36" w:rsidRDefault="00C12C36" w:rsidP="00C12C36">
            <w:pPr>
              <w:jc w:val="both"/>
              <w:rPr>
                <w:rFonts w:ascii="Times New Roman" w:eastAsia="Times New Roman" w:hAnsi="Times New Roman" w:cs="Times New Roman"/>
                <w:bCs/>
                <w:sz w:val="24"/>
                <w:szCs w:val="24"/>
                <w:lang w:val="en-US"/>
              </w:rPr>
            </w:pPr>
          </w:p>
          <w:p w14:paraId="4F74F4E6" w14:textId="6BAE4075" w:rsidR="00C12C36" w:rsidRDefault="00C12C36" w:rsidP="00C12C36">
            <w:pPr>
              <w:jc w:val="both"/>
              <w:rPr>
                <w:rFonts w:ascii="Times New Roman" w:eastAsia="Times New Roman" w:hAnsi="Times New Roman" w:cs="Times New Roman"/>
                <w:bCs/>
                <w:sz w:val="24"/>
                <w:szCs w:val="24"/>
                <w:lang w:val="en-US"/>
              </w:rPr>
            </w:pPr>
            <w:r w:rsidRPr="00C12C36">
              <w:rPr>
                <w:rFonts w:ascii="Times New Roman" w:eastAsia="Times New Roman" w:hAnsi="Times New Roman" w:cs="Times New Roman"/>
                <w:bCs/>
                <w:noProof/>
                <w:sz w:val="24"/>
                <w:szCs w:val="24"/>
                <w:lang w:val="en-US"/>
              </w:rPr>
              <w:drawing>
                <wp:inline distT="0" distB="0" distL="0" distR="0" wp14:anchorId="16EBA75E" wp14:editId="5F3BF9F0">
                  <wp:extent cx="5550783" cy="1245793"/>
                  <wp:effectExtent l="0" t="0" r="0" b="0"/>
                  <wp:docPr id="1280801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01884" name=""/>
                          <pic:cNvPicPr/>
                        </pic:nvPicPr>
                        <pic:blipFill>
                          <a:blip r:embed="rId18"/>
                          <a:stretch>
                            <a:fillRect/>
                          </a:stretch>
                        </pic:blipFill>
                        <pic:spPr>
                          <a:xfrm>
                            <a:off x="0" y="0"/>
                            <a:ext cx="5582700" cy="1252956"/>
                          </a:xfrm>
                          <a:prstGeom prst="rect">
                            <a:avLst/>
                          </a:prstGeom>
                        </pic:spPr>
                      </pic:pic>
                    </a:graphicData>
                  </a:graphic>
                </wp:inline>
              </w:drawing>
            </w:r>
          </w:p>
          <w:p w14:paraId="6DD7F03F" w14:textId="6FA1AEA7" w:rsidR="00C12C36" w:rsidRPr="00ED6635" w:rsidRDefault="00C12C36" w:rsidP="00C12C36">
            <w:pPr>
              <w:jc w:val="both"/>
              <w:rPr>
                <w:rFonts w:ascii="Times New Roman" w:eastAsia="Times New Roman" w:hAnsi="Times New Roman" w:cs="Times New Roman"/>
                <w:bCs/>
                <w:color w:val="000000" w:themeColor="text1"/>
                <w:sz w:val="24"/>
                <w:szCs w:val="24"/>
              </w:rPr>
            </w:pPr>
          </w:p>
        </w:tc>
        <w:tc>
          <w:tcPr>
            <w:tcW w:w="2694" w:type="dxa"/>
          </w:tcPr>
          <w:p w14:paraId="10288166" w14:textId="7DFB6401" w:rsidR="00C12C36" w:rsidRPr="00ED6635" w:rsidRDefault="00F6172C" w:rsidP="00194191">
            <w:pPr>
              <w:tabs>
                <w:tab w:val="left" w:pos="272"/>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Dėkojame už atsakymą. Apsvarstysime pasiūlymą ir pagal galimybes atsižvelgsime į jį.</w:t>
            </w:r>
          </w:p>
        </w:tc>
      </w:tr>
      <w:tr w:rsidR="00C12C36" w:rsidRPr="003E5E8E" w14:paraId="5D35FC73" w14:textId="77777777" w:rsidTr="00BF0572">
        <w:tc>
          <w:tcPr>
            <w:tcW w:w="570" w:type="dxa"/>
          </w:tcPr>
          <w:p w14:paraId="71790B2E" w14:textId="77777777" w:rsidR="00C12C36" w:rsidRPr="003E5E8E" w:rsidRDefault="00C12C36">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bCs/>
                <w:sz w:val="24"/>
                <w:szCs w:val="24"/>
              </w:rPr>
              <w:t>4.</w:t>
            </w:r>
          </w:p>
        </w:tc>
        <w:tc>
          <w:tcPr>
            <w:tcW w:w="1977" w:type="dxa"/>
            <w:tcBorders>
              <w:top w:val="single" w:sz="6" w:space="0" w:color="auto"/>
              <w:left w:val="single" w:sz="6" w:space="0" w:color="auto"/>
              <w:bottom w:val="single" w:sz="6" w:space="0" w:color="auto"/>
              <w:right w:val="single" w:sz="6" w:space="0" w:color="auto"/>
            </w:tcBorders>
          </w:tcPr>
          <w:p w14:paraId="4BAED36E" w14:textId="77777777" w:rsidR="00C12C36" w:rsidRPr="00225988" w:rsidRDefault="00C12C36">
            <w:pPr>
              <w:jc w:val="both"/>
              <w:rPr>
                <w:rFonts w:ascii="Times New Roman" w:eastAsia="Times New Roman" w:hAnsi="Times New Roman" w:cs="Times New Roman"/>
                <w:bCs/>
                <w:sz w:val="24"/>
                <w:szCs w:val="24"/>
              </w:rPr>
            </w:pPr>
            <w:r w:rsidRPr="00225988">
              <w:rPr>
                <w:rStyle w:val="normaltextrun"/>
                <w:rFonts w:ascii="Times New Roman" w:hAnsi="Times New Roman" w:cs="Times New Roman"/>
                <w:sz w:val="24"/>
                <w:szCs w:val="24"/>
              </w:rPr>
              <w:t xml:space="preserve">Ar TS yra reikalavimų, kurie riboja konkurenciją bei yra sunkiai įgyvendinami? </w:t>
            </w:r>
            <w:r w:rsidRPr="00225988">
              <w:rPr>
                <w:rStyle w:val="normaltextrun"/>
                <w:rFonts w:ascii="Times New Roman" w:hAnsi="Times New Roman" w:cs="Times New Roman"/>
                <w:i/>
                <w:iCs/>
                <w:sz w:val="24"/>
                <w:szCs w:val="24"/>
              </w:rPr>
              <w:t>(jei taip, prašome nurodyti šiuos reikalavimus)</w:t>
            </w:r>
            <w:r w:rsidRPr="00225988">
              <w:rPr>
                <w:rStyle w:val="eop"/>
                <w:rFonts w:ascii="Times New Roman" w:hAnsi="Times New Roman" w:cs="Times New Roman"/>
                <w:sz w:val="24"/>
                <w:szCs w:val="24"/>
              </w:rPr>
              <w:t> </w:t>
            </w:r>
          </w:p>
        </w:tc>
        <w:tc>
          <w:tcPr>
            <w:tcW w:w="9922" w:type="dxa"/>
            <w:vAlign w:val="center"/>
          </w:tcPr>
          <w:p w14:paraId="0CF1F636" w14:textId="3EDF4764" w:rsidR="00C12C36" w:rsidRPr="00ED6635" w:rsidRDefault="00C12C36">
            <w:pPr>
              <w:jc w:val="both"/>
              <w:rPr>
                <w:rFonts w:ascii="Times New Roman" w:eastAsia="Times New Roman" w:hAnsi="Times New Roman" w:cs="Times New Roman"/>
                <w:bCs/>
                <w:color w:val="000000" w:themeColor="text1"/>
                <w:sz w:val="24"/>
                <w:szCs w:val="24"/>
              </w:rPr>
            </w:pPr>
            <w:r w:rsidRPr="00C12C36">
              <w:rPr>
                <w:rFonts w:ascii="Times New Roman" w:eastAsia="Times New Roman" w:hAnsi="Times New Roman" w:cs="Times New Roman"/>
                <w:bCs/>
                <w:color w:val="000000" w:themeColor="text1"/>
                <w:sz w:val="24"/>
                <w:szCs w:val="24"/>
              </w:rPr>
              <w:t xml:space="preserve">„B“ tipo tarnybinės stotys, jei yra 1 CPU tai galimi tik 16 (o ne 32) atminties lizdai Dauguma gamintojų nebesertifikuoja tarnybinių stočių </w:t>
            </w:r>
            <w:proofErr w:type="spellStart"/>
            <w:r w:rsidRPr="00C12C36">
              <w:rPr>
                <w:rFonts w:ascii="Times New Roman" w:eastAsia="Times New Roman" w:hAnsi="Times New Roman" w:cs="Times New Roman"/>
                <w:bCs/>
                <w:color w:val="000000" w:themeColor="text1"/>
                <w:sz w:val="24"/>
                <w:szCs w:val="24"/>
              </w:rPr>
              <w:t>Oracle</w:t>
            </w:r>
            <w:proofErr w:type="spellEnd"/>
            <w:r w:rsidRPr="00C12C36">
              <w:rPr>
                <w:rFonts w:ascii="Times New Roman" w:eastAsia="Times New Roman" w:hAnsi="Times New Roman" w:cs="Times New Roman"/>
                <w:bCs/>
                <w:color w:val="000000" w:themeColor="text1"/>
                <w:sz w:val="24"/>
                <w:szCs w:val="24"/>
              </w:rPr>
              <w:t xml:space="preserve"> Linux operacinei sistemai. Mūsų žiniomis perkančioji organizacija, jeigu naudoja </w:t>
            </w:r>
            <w:proofErr w:type="spellStart"/>
            <w:r w:rsidRPr="00C12C36">
              <w:rPr>
                <w:rFonts w:ascii="Times New Roman" w:eastAsia="Times New Roman" w:hAnsi="Times New Roman" w:cs="Times New Roman"/>
                <w:bCs/>
                <w:color w:val="000000" w:themeColor="text1"/>
                <w:sz w:val="24"/>
                <w:szCs w:val="24"/>
              </w:rPr>
              <w:t>Oracle</w:t>
            </w:r>
            <w:proofErr w:type="spellEnd"/>
            <w:r w:rsidRPr="00C12C36">
              <w:rPr>
                <w:rFonts w:ascii="Times New Roman" w:eastAsia="Times New Roman" w:hAnsi="Times New Roman" w:cs="Times New Roman"/>
                <w:bCs/>
                <w:color w:val="000000" w:themeColor="text1"/>
                <w:sz w:val="24"/>
                <w:szCs w:val="24"/>
              </w:rPr>
              <w:t xml:space="preserve"> Linux, tai naudoja šią operacinę sistemą </w:t>
            </w:r>
            <w:proofErr w:type="spellStart"/>
            <w:r w:rsidRPr="00C12C36">
              <w:rPr>
                <w:rFonts w:ascii="Times New Roman" w:eastAsia="Times New Roman" w:hAnsi="Times New Roman" w:cs="Times New Roman"/>
                <w:bCs/>
                <w:color w:val="000000" w:themeColor="text1"/>
                <w:sz w:val="24"/>
                <w:szCs w:val="24"/>
              </w:rPr>
              <w:t>virtualizuotoje</w:t>
            </w:r>
            <w:proofErr w:type="spellEnd"/>
            <w:r w:rsidRPr="00C12C36">
              <w:rPr>
                <w:rFonts w:ascii="Times New Roman" w:eastAsia="Times New Roman" w:hAnsi="Times New Roman" w:cs="Times New Roman"/>
                <w:bCs/>
                <w:color w:val="000000" w:themeColor="text1"/>
                <w:sz w:val="24"/>
                <w:szCs w:val="24"/>
              </w:rPr>
              <w:t xml:space="preserve"> aplinkoje, todėl šis reikalavimas yra perteklinis ir mes prašome jį pašalinti</w:t>
            </w:r>
          </w:p>
        </w:tc>
        <w:tc>
          <w:tcPr>
            <w:tcW w:w="2694" w:type="dxa"/>
          </w:tcPr>
          <w:p w14:paraId="397F2187" w14:textId="30386EA7" w:rsidR="00C12C36" w:rsidRPr="00F6172C" w:rsidRDefault="00F6172C" w:rsidP="00F6172C">
            <w:pPr>
              <w:tabs>
                <w:tab w:val="left" w:pos="2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Dėkojame už atsakymą. Apsvarstysime pasiūlymą ir pagal galimybes atsižvelgsime į jį.</w:t>
            </w:r>
          </w:p>
        </w:tc>
      </w:tr>
      <w:tr w:rsidR="00C12C36" w:rsidRPr="003E5E8E" w14:paraId="733305BF" w14:textId="77777777" w:rsidTr="00BF0572">
        <w:tc>
          <w:tcPr>
            <w:tcW w:w="570" w:type="dxa"/>
          </w:tcPr>
          <w:p w14:paraId="7B22C1C2" w14:textId="77777777" w:rsidR="00C12C36" w:rsidRPr="003E5E8E" w:rsidRDefault="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5.</w:t>
            </w:r>
          </w:p>
        </w:tc>
        <w:tc>
          <w:tcPr>
            <w:tcW w:w="1977" w:type="dxa"/>
            <w:tcBorders>
              <w:bottom w:val="single" w:sz="4" w:space="0" w:color="auto"/>
            </w:tcBorders>
          </w:tcPr>
          <w:p w14:paraId="7F702496" w14:textId="77777777" w:rsidR="00C12C36" w:rsidRPr="003E5E8E" w:rsidRDefault="00C12C36">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9922" w:type="dxa"/>
            <w:tcBorders>
              <w:bottom w:val="single" w:sz="4" w:space="0" w:color="auto"/>
            </w:tcBorders>
          </w:tcPr>
          <w:p w14:paraId="0C388B1A" w14:textId="10CEC150" w:rsidR="00C12C36" w:rsidRPr="00ED6635" w:rsidRDefault="00C12C36">
            <w:pPr>
              <w:jc w:val="both"/>
              <w:rPr>
                <w:rFonts w:ascii="Times New Roman" w:eastAsia="Times New Roman" w:hAnsi="Times New Roman" w:cs="Times New Roman"/>
                <w:bCs/>
                <w:color w:val="000000" w:themeColor="text1"/>
                <w:sz w:val="24"/>
                <w:szCs w:val="24"/>
              </w:rPr>
            </w:pPr>
            <w:r>
              <w:rPr>
                <w:rFonts w:ascii="Times New Roman" w:eastAsia="Calibri" w:hAnsi="Times New Roman" w:cs="Times New Roman"/>
                <w:sz w:val="24"/>
                <w:szCs w:val="24"/>
              </w:rPr>
              <w:t>Taip, nurodoma 3 p.</w:t>
            </w:r>
          </w:p>
        </w:tc>
        <w:tc>
          <w:tcPr>
            <w:tcW w:w="2694" w:type="dxa"/>
          </w:tcPr>
          <w:p w14:paraId="703D1A9E" w14:textId="2C261858" w:rsidR="00C12C36" w:rsidRPr="00F6172C" w:rsidRDefault="00F6172C" w:rsidP="00F6172C">
            <w:pPr>
              <w:tabs>
                <w:tab w:val="left" w:pos="2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Dėkojame už atsakymą. Apsvarstysime pasiūlymą ir pagal galimybes atsižvelgsime į jį.</w:t>
            </w:r>
          </w:p>
        </w:tc>
      </w:tr>
      <w:tr w:rsidR="00C12C36" w:rsidRPr="003E5E8E" w14:paraId="224F312F" w14:textId="77777777" w:rsidTr="00BF0572">
        <w:tc>
          <w:tcPr>
            <w:tcW w:w="570" w:type="dxa"/>
          </w:tcPr>
          <w:p w14:paraId="07707563" w14:textId="77777777" w:rsidR="00C12C36" w:rsidRPr="003E5E8E" w:rsidRDefault="00C12C36">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1977" w:type="dxa"/>
            <w:tcBorders>
              <w:top w:val="single" w:sz="4" w:space="0" w:color="auto"/>
              <w:left w:val="single" w:sz="4" w:space="0" w:color="auto"/>
              <w:bottom w:val="single" w:sz="4" w:space="0" w:color="auto"/>
              <w:right w:val="single" w:sz="4" w:space="0" w:color="auto"/>
            </w:tcBorders>
          </w:tcPr>
          <w:p w14:paraId="00541A54" w14:textId="77777777" w:rsidR="00C12C36" w:rsidRPr="003E5E8E" w:rsidRDefault="00C12C36">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9922" w:type="dxa"/>
            <w:tcBorders>
              <w:top w:val="single" w:sz="4" w:space="0" w:color="auto"/>
              <w:left w:val="single" w:sz="4" w:space="0" w:color="auto"/>
              <w:bottom w:val="single" w:sz="4" w:space="0" w:color="auto"/>
              <w:right w:val="single" w:sz="4" w:space="0" w:color="auto"/>
            </w:tcBorders>
          </w:tcPr>
          <w:p w14:paraId="3582C74E" w14:textId="0AAA4FE7" w:rsidR="00C12C36" w:rsidRPr="003E5E8E" w:rsidRDefault="00C12C36">
            <w:pPr>
              <w:jc w:val="both"/>
              <w:rPr>
                <w:rFonts w:ascii="Times New Roman" w:eastAsia="Times New Roman" w:hAnsi="Times New Roman" w:cs="Times New Roman"/>
                <w:bCs/>
                <w:sz w:val="24"/>
                <w:szCs w:val="24"/>
              </w:rPr>
            </w:pPr>
            <w:r w:rsidRPr="00C12C36">
              <w:rPr>
                <w:rFonts w:ascii="Times New Roman" w:eastAsia="Times New Roman" w:hAnsi="Times New Roman" w:cs="Times New Roman"/>
                <w:bCs/>
                <w:sz w:val="24"/>
                <w:szCs w:val="24"/>
              </w:rPr>
              <w:t>Neturime pastabų.</w:t>
            </w:r>
          </w:p>
        </w:tc>
        <w:tc>
          <w:tcPr>
            <w:tcW w:w="2694" w:type="dxa"/>
          </w:tcPr>
          <w:p w14:paraId="7524DD6A" w14:textId="77777777" w:rsidR="00C12C36" w:rsidRPr="003E5E8E" w:rsidRDefault="00C12C36">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C12C36" w:rsidRPr="003E5E8E" w14:paraId="559E28AA" w14:textId="77777777" w:rsidTr="00BF0572">
        <w:tc>
          <w:tcPr>
            <w:tcW w:w="570" w:type="dxa"/>
          </w:tcPr>
          <w:p w14:paraId="531E8D59" w14:textId="77777777" w:rsidR="00C12C36" w:rsidRPr="003E5E8E" w:rsidRDefault="00C12C36" w:rsidP="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1977" w:type="dxa"/>
            <w:tcBorders>
              <w:top w:val="single" w:sz="4" w:space="0" w:color="auto"/>
              <w:left w:val="single" w:sz="4" w:space="0" w:color="auto"/>
              <w:bottom w:val="single" w:sz="4" w:space="0" w:color="auto"/>
              <w:right w:val="single" w:sz="4" w:space="0" w:color="auto"/>
            </w:tcBorders>
          </w:tcPr>
          <w:p w14:paraId="56216ECA" w14:textId="77777777" w:rsidR="00C12C36" w:rsidRPr="003E5E8E" w:rsidRDefault="00C12C36" w:rsidP="00C12C36">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9922" w:type="dxa"/>
            <w:tcBorders>
              <w:top w:val="single" w:sz="4" w:space="0" w:color="auto"/>
              <w:left w:val="single" w:sz="4" w:space="0" w:color="auto"/>
              <w:bottom w:val="single" w:sz="4" w:space="0" w:color="auto"/>
              <w:right w:val="single" w:sz="4" w:space="0" w:color="auto"/>
            </w:tcBorders>
          </w:tcPr>
          <w:p w14:paraId="5BA424F5" w14:textId="1DB5171C" w:rsidR="00C12C36" w:rsidRPr="00C12C36" w:rsidRDefault="00C12C36" w:rsidP="00C12C36">
            <w:pPr>
              <w:jc w:val="both"/>
              <w:rPr>
                <w:rFonts w:ascii="Times New Roman" w:eastAsia="Times New Roman" w:hAnsi="Times New Roman" w:cs="Times New Roman"/>
                <w:bCs/>
                <w:sz w:val="24"/>
                <w:szCs w:val="24"/>
              </w:rPr>
            </w:pPr>
            <w:r w:rsidRPr="00C12C36">
              <w:rPr>
                <w:rFonts w:ascii="Times New Roman" w:hAnsi="Times New Roman" w:cs="Times New Roman"/>
                <w:sz w:val="24"/>
                <w:szCs w:val="24"/>
              </w:rPr>
              <w:t xml:space="preserve">Neturime pastabų. </w:t>
            </w:r>
          </w:p>
        </w:tc>
        <w:tc>
          <w:tcPr>
            <w:tcW w:w="2694" w:type="dxa"/>
          </w:tcPr>
          <w:p w14:paraId="432AA238" w14:textId="742CB69B" w:rsidR="00C12C36" w:rsidRPr="00C12C36" w:rsidRDefault="00C12C36" w:rsidP="00C12C36">
            <w:pPr>
              <w:tabs>
                <w:tab w:val="left" w:pos="272"/>
              </w:tabs>
              <w:jc w:val="both"/>
              <w:rPr>
                <w:rFonts w:ascii="Times New Roman" w:eastAsia="Times New Roman" w:hAnsi="Times New Roman" w:cs="Times New Roman"/>
                <w:sz w:val="24"/>
                <w:szCs w:val="24"/>
              </w:rPr>
            </w:pPr>
            <w:r w:rsidRPr="004B562B">
              <w:rPr>
                <w:rFonts w:ascii="Times New Roman" w:eastAsia="Times New Roman" w:hAnsi="Times New Roman" w:cs="Times New Roman"/>
                <w:sz w:val="24"/>
                <w:szCs w:val="24"/>
              </w:rPr>
              <w:t>Dėkojame už pateiktą atsakymą.</w:t>
            </w:r>
          </w:p>
        </w:tc>
      </w:tr>
      <w:tr w:rsidR="00C12C36" w:rsidRPr="003E5E8E" w14:paraId="514E678C" w14:textId="77777777" w:rsidTr="00BF0572">
        <w:tc>
          <w:tcPr>
            <w:tcW w:w="570" w:type="dxa"/>
          </w:tcPr>
          <w:p w14:paraId="2F8AF84C" w14:textId="77777777" w:rsidR="00C12C36" w:rsidRPr="003E5E8E" w:rsidRDefault="00C12C36" w:rsidP="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1977" w:type="dxa"/>
            <w:tcBorders>
              <w:top w:val="single" w:sz="4" w:space="0" w:color="auto"/>
              <w:left w:val="single" w:sz="4" w:space="0" w:color="auto"/>
              <w:bottom w:val="single" w:sz="4" w:space="0" w:color="auto"/>
              <w:right w:val="single" w:sz="4" w:space="0" w:color="auto"/>
            </w:tcBorders>
          </w:tcPr>
          <w:p w14:paraId="01643CBA" w14:textId="77777777" w:rsidR="00C12C36" w:rsidRPr="003E5E8E" w:rsidRDefault="00C12C36" w:rsidP="00C12C36">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9922" w:type="dxa"/>
            <w:tcBorders>
              <w:top w:val="single" w:sz="4" w:space="0" w:color="auto"/>
              <w:left w:val="single" w:sz="4" w:space="0" w:color="auto"/>
              <w:bottom w:val="single" w:sz="4" w:space="0" w:color="auto"/>
              <w:right w:val="single" w:sz="4" w:space="0" w:color="auto"/>
            </w:tcBorders>
          </w:tcPr>
          <w:p w14:paraId="7D7A5920" w14:textId="2544FA5E" w:rsidR="00C12C36" w:rsidRPr="00C12C36" w:rsidRDefault="00C12C36" w:rsidP="00C12C36">
            <w:pPr>
              <w:jc w:val="both"/>
              <w:rPr>
                <w:rFonts w:ascii="Times New Roman" w:eastAsia="Times New Roman" w:hAnsi="Times New Roman" w:cs="Times New Roman"/>
                <w:sz w:val="24"/>
                <w:szCs w:val="24"/>
              </w:rPr>
            </w:pPr>
            <w:r w:rsidRPr="00C12C36">
              <w:rPr>
                <w:rFonts w:ascii="Times New Roman" w:hAnsi="Times New Roman" w:cs="Times New Roman"/>
                <w:sz w:val="24"/>
                <w:szCs w:val="24"/>
              </w:rPr>
              <w:t xml:space="preserve">Neturime pastabų. </w:t>
            </w:r>
          </w:p>
        </w:tc>
        <w:tc>
          <w:tcPr>
            <w:tcW w:w="2694" w:type="dxa"/>
          </w:tcPr>
          <w:p w14:paraId="59BA0B3F" w14:textId="570BBD33" w:rsidR="00C12C36" w:rsidRPr="00C12C36" w:rsidRDefault="00C12C36" w:rsidP="00C12C36">
            <w:pPr>
              <w:tabs>
                <w:tab w:val="left" w:pos="272"/>
              </w:tabs>
              <w:jc w:val="both"/>
              <w:rPr>
                <w:rFonts w:ascii="Times New Roman" w:eastAsia="Times New Roman" w:hAnsi="Times New Roman" w:cs="Times New Roman"/>
                <w:sz w:val="24"/>
                <w:szCs w:val="24"/>
              </w:rPr>
            </w:pPr>
            <w:r w:rsidRPr="004B562B">
              <w:rPr>
                <w:rFonts w:ascii="Times New Roman" w:eastAsia="Times New Roman" w:hAnsi="Times New Roman" w:cs="Times New Roman"/>
                <w:sz w:val="24"/>
                <w:szCs w:val="24"/>
              </w:rPr>
              <w:t>Dėkojame už pateiktą atsakymą.</w:t>
            </w:r>
          </w:p>
        </w:tc>
      </w:tr>
      <w:tr w:rsidR="00C12C36" w:rsidRPr="003E5E8E" w14:paraId="0662D2F8" w14:textId="77777777" w:rsidTr="00BF0572">
        <w:tc>
          <w:tcPr>
            <w:tcW w:w="570" w:type="dxa"/>
          </w:tcPr>
          <w:p w14:paraId="47E742C5" w14:textId="77777777" w:rsidR="00C12C36" w:rsidRPr="003E5E8E" w:rsidRDefault="00C12C36">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1977" w:type="dxa"/>
            <w:tcBorders>
              <w:top w:val="single" w:sz="4" w:space="0" w:color="auto"/>
              <w:left w:val="single" w:sz="4" w:space="0" w:color="auto"/>
              <w:bottom w:val="single" w:sz="4" w:space="0" w:color="auto"/>
              <w:right w:val="single" w:sz="4" w:space="0" w:color="auto"/>
            </w:tcBorders>
          </w:tcPr>
          <w:p w14:paraId="0DF96266" w14:textId="77777777" w:rsidR="00C12C36" w:rsidRPr="003E5E8E" w:rsidRDefault="00C12C36">
            <w:pPr>
              <w:tabs>
                <w:tab w:val="left" w:pos="284"/>
                <w:tab w:val="left" w:pos="709"/>
              </w:tabs>
              <w:spacing w:after="255"/>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9922" w:type="dxa"/>
            <w:tcBorders>
              <w:top w:val="single" w:sz="4" w:space="0" w:color="auto"/>
              <w:left w:val="single" w:sz="4" w:space="0" w:color="auto"/>
              <w:bottom w:val="single" w:sz="4" w:space="0" w:color="auto"/>
              <w:right w:val="single" w:sz="4" w:space="0" w:color="auto"/>
            </w:tcBorders>
            <w:vAlign w:val="center"/>
          </w:tcPr>
          <w:p w14:paraId="3340ACEF" w14:textId="7F4DC6F1" w:rsidR="00C12C36" w:rsidRPr="00C12C36" w:rsidRDefault="00C12C36">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Taip, nurodoma 3 p.</w:t>
            </w:r>
          </w:p>
        </w:tc>
        <w:tc>
          <w:tcPr>
            <w:tcW w:w="2694" w:type="dxa"/>
            <w:vAlign w:val="center"/>
          </w:tcPr>
          <w:p w14:paraId="53372A69" w14:textId="4C80B226" w:rsidR="00C12C36" w:rsidRPr="00C12C36" w:rsidRDefault="00F6172C">
            <w:pPr>
              <w:tabs>
                <w:tab w:val="left" w:pos="27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Dėkojame už atsakymą. Apsvarstysime pasiūlymą ir pagal galimybes atsižvelgsime į jį.</w:t>
            </w:r>
          </w:p>
        </w:tc>
      </w:tr>
    </w:tbl>
    <w:p w14:paraId="5C297714" w14:textId="77777777" w:rsidR="009723C3" w:rsidRDefault="009723C3" w:rsidP="00FA036A">
      <w:pPr>
        <w:spacing w:after="0" w:line="240" w:lineRule="auto"/>
        <w:jc w:val="center"/>
        <w:rPr>
          <w:rFonts w:ascii="Times New Roman" w:eastAsia="Times New Roman" w:hAnsi="Times New Roman" w:cs="Times New Roman"/>
          <w:sz w:val="24"/>
          <w:szCs w:val="24"/>
        </w:rPr>
      </w:pPr>
    </w:p>
    <w:p w14:paraId="105A747A" w14:textId="77777777" w:rsidR="009723C3" w:rsidRPr="003E5E8E" w:rsidRDefault="009723C3"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3E5E8E" w14:paraId="5F42A88A" w14:textId="77777777" w:rsidTr="00FA036A">
        <w:tc>
          <w:tcPr>
            <w:tcW w:w="3823" w:type="dxa"/>
            <w:shd w:val="clear" w:color="auto" w:fill="E2EFD9"/>
            <w:vAlign w:val="center"/>
          </w:tcPr>
          <w:p w14:paraId="1EE120C1" w14:textId="77777777" w:rsidR="00FA036A" w:rsidRPr="003E5E8E"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IŠVADOS:</w:t>
            </w:r>
          </w:p>
        </w:tc>
        <w:tc>
          <w:tcPr>
            <w:tcW w:w="11340" w:type="dxa"/>
          </w:tcPr>
          <w:p w14:paraId="3DB25B9D"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3E5E8E">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3E5E8E" w:rsidRDefault="00FA036A" w:rsidP="00FA036A">
      <w:pPr>
        <w:spacing w:after="0" w:line="240" w:lineRule="auto"/>
        <w:jc w:val="center"/>
        <w:rPr>
          <w:rFonts w:ascii="Times New Roman" w:eastAsia="Times New Roman" w:hAnsi="Times New Roman" w:cs="Times New Roman"/>
          <w:b/>
          <w:sz w:val="24"/>
          <w:szCs w:val="24"/>
        </w:rPr>
      </w:pPr>
      <w:r w:rsidRPr="003E5E8E">
        <w:rPr>
          <w:rFonts w:ascii="Times New Roman" w:eastAsia="Times New Roman" w:hAnsi="Times New Roman" w:cs="Times New Roman"/>
          <w:b/>
          <w:sz w:val="24"/>
          <w:szCs w:val="24"/>
        </w:rPr>
        <w:t>_________________</w:t>
      </w:r>
    </w:p>
    <w:p w14:paraId="068FE19A" w14:textId="459490FE" w:rsidR="00193B87" w:rsidRPr="003E5E8E" w:rsidRDefault="00193B87" w:rsidP="00FA036A">
      <w:pPr>
        <w:rPr>
          <w:rFonts w:ascii="Times New Roman" w:hAnsi="Times New Roman" w:cs="Times New Roman"/>
          <w:sz w:val="24"/>
          <w:szCs w:val="24"/>
        </w:rPr>
      </w:pPr>
    </w:p>
    <w:sectPr w:rsidR="00193B87" w:rsidRPr="003E5E8E"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F2B8" w14:textId="77777777" w:rsidR="00C61961" w:rsidRDefault="00C61961" w:rsidP="007E6C2C">
      <w:pPr>
        <w:spacing w:after="0" w:line="240" w:lineRule="auto"/>
      </w:pPr>
      <w:r>
        <w:separator/>
      </w:r>
    </w:p>
  </w:endnote>
  <w:endnote w:type="continuationSeparator" w:id="0">
    <w:p w14:paraId="180341E5" w14:textId="77777777" w:rsidR="00C61961" w:rsidRDefault="00C61961" w:rsidP="007E6C2C">
      <w:pPr>
        <w:spacing w:after="0" w:line="240" w:lineRule="auto"/>
      </w:pPr>
      <w:r>
        <w:continuationSeparator/>
      </w:r>
    </w:p>
  </w:endnote>
  <w:endnote w:type="continuationNotice" w:id="1">
    <w:p w14:paraId="3850A85B" w14:textId="77777777" w:rsidR="00C61961" w:rsidRDefault="00C61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4A23" w14:textId="77777777" w:rsidR="00C61961" w:rsidRDefault="00C61961" w:rsidP="007E6C2C">
      <w:pPr>
        <w:spacing w:after="0" w:line="240" w:lineRule="auto"/>
      </w:pPr>
      <w:r>
        <w:separator/>
      </w:r>
    </w:p>
  </w:footnote>
  <w:footnote w:type="continuationSeparator" w:id="0">
    <w:p w14:paraId="687933CB" w14:textId="77777777" w:rsidR="00C61961" w:rsidRDefault="00C61961" w:rsidP="007E6C2C">
      <w:pPr>
        <w:spacing w:after="0" w:line="240" w:lineRule="auto"/>
      </w:pPr>
      <w:r>
        <w:continuationSeparator/>
      </w:r>
    </w:p>
  </w:footnote>
  <w:footnote w:type="continuationNotice" w:id="1">
    <w:p w14:paraId="755C62FD" w14:textId="77777777" w:rsidR="00C61961" w:rsidRDefault="00C619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1CA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0BF3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BF9A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8D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8" w15:restartNumberingAfterBreak="0">
    <w:nsid w:val="27645E34"/>
    <w:multiLevelType w:val="hybridMultilevel"/>
    <w:tmpl w:val="1504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54E5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E137D"/>
    <w:multiLevelType w:val="hybridMultilevel"/>
    <w:tmpl w:val="979EF7E2"/>
    <w:lvl w:ilvl="0" w:tplc="481CD6D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7"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540891"/>
    <w:multiLevelType w:val="hybridMultilevel"/>
    <w:tmpl w:val="8418FB36"/>
    <w:lvl w:ilvl="0" w:tplc="3690A3F6">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7"/>
  </w:num>
  <w:num w:numId="2" w16cid:durableId="315645895">
    <w:abstractNumId w:val="21"/>
  </w:num>
  <w:num w:numId="3" w16cid:durableId="740255455">
    <w:abstractNumId w:val="6"/>
  </w:num>
  <w:num w:numId="4" w16cid:durableId="926571691">
    <w:abstractNumId w:val="16"/>
  </w:num>
  <w:num w:numId="5" w16cid:durableId="28386340">
    <w:abstractNumId w:val="12"/>
  </w:num>
  <w:num w:numId="6" w16cid:durableId="2056003036">
    <w:abstractNumId w:val="15"/>
  </w:num>
  <w:num w:numId="7" w16cid:durableId="69354687">
    <w:abstractNumId w:val="4"/>
  </w:num>
  <w:num w:numId="8" w16cid:durableId="1955402720">
    <w:abstractNumId w:val="11"/>
  </w:num>
  <w:num w:numId="9" w16cid:durableId="822354358">
    <w:abstractNumId w:val="20"/>
  </w:num>
  <w:num w:numId="10" w16cid:durableId="13658843">
    <w:abstractNumId w:val="14"/>
  </w:num>
  <w:num w:numId="11" w16cid:durableId="1297953533">
    <w:abstractNumId w:val="5"/>
  </w:num>
  <w:num w:numId="12" w16cid:durableId="271594082">
    <w:abstractNumId w:val="10"/>
  </w:num>
  <w:num w:numId="13" w16cid:durableId="340550545">
    <w:abstractNumId w:val="17"/>
  </w:num>
  <w:num w:numId="14" w16cid:durableId="1673559925">
    <w:abstractNumId w:val="24"/>
  </w:num>
  <w:num w:numId="15" w16cid:durableId="429815309">
    <w:abstractNumId w:val="23"/>
  </w:num>
  <w:num w:numId="16" w16cid:durableId="15154896">
    <w:abstractNumId w:val="22"/>
  </w:num>
  <w:num w:numId="17" w16cid:durableId="2117863742">
    <w:abstractNumId w:val="18"/>
  </w:num>
  <w:num w:numId="18" w16cid:durableId="8232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95383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855597">
    <w:abstractNumId w:val="13"/>
  </w:num>
  <w:num w:numId="21" w16cid:durableId="2000768976">
    <w:abstractNumId w:val="3"/>
  </w:num>
  <w:num w:numId="22" w16cid:durableId="581835779">
    <w:abstractNumId w:val="9"/>
  </w:num>
  <w:num w:numId="23" w16cid:durableId="291256580">
    <w:abstractNumId w:val="0"/>
  </w:num>
  <w:num w:numId="24" w16cid:durableId="336932296">
    <w:abstractNumId w:val="1"/>
  </w:num>
  <w:num w:numId="25" w16cid:durableId="425812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07F0"/>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E4BC1"/>
    <w:rsid w:val="000F37C8"/>
    <w:rsid w:val="000F7E57"/>
    <w:rsid w:val="00101017"/>
    <w:rsid w:val="00101187"/>
    <w:rsid w:val="00103EE8"/>
    <w:rsid w:val="00104A02"/>
    <w:rsid w:val="00110DC4"/>
    <w:rsid w:val="00114096"/>
    <w:rsid w:val="001221C5"/>
    <w:rsid w:val="00124EF4"/>
    <w:rsid w:val="0012520E"/>
    <w:rsid w:val="00127622"/>
    <w:rsid w:val="0013126E"/>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3F96"/>
    <w:rsid w:val="00194191"/>
    <w:rsid w:val="0019543A"/>
    <w:rsid w:val="00196AB6"/>
    <w:rsid w:val="001A0CEB"/>
    <w:rsid w:val="001A7972"/>
    <w:rsid w:val="001A7B6A"/>
    <w:rsid w:val="001B41F1"/>
    <w:rsid w:val="001B7A33"/>
    <w:rsid w:val="001C1BAE"/>
    <w:rsid w:val="001C26E2"/>
    <w:rsid w:val="001C2CDF"/>
    <w:rsid w:val="001C35C1"/>
    <w:rsid w:val="001C5351"/>
    <w:rsid w:val="001C5B22"/>
    <w:rsid w:val="001E1173"/>
    <w:rsid w:val="001E68A4"/>
    <w:rsid w:val="001E68B4"/>
    <w:rsid w:val="002007F5"/>
    <w:rsid w:val="002010D8"/>
    <w:rsid w:val="0020477F"/>
    <w:rsid w:val="00205932"/>
    <w:rsid w:val="00206A9F"/>
    <w:rsid w:val="00210FC0"/>
    <w:rsid w:val="00211EA9"/>
    <w:rsid w:val="002143A2"/>
    <w:rsid w:val="00214C6B"/>
    <w:rsid w:val="00220729"/>
    <w:rsid w:val="002212CD"/>
    <w:rsid w:val="00224EF3"/>
    <w:rsid w:val="00225988"/>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54D1"/>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B47"/>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3AF7"/>
    <w:rsid w:val="00365542"/>
    <w:rsid w:val="00367F52"/>
    <w:rsid w:val="003707C5"/>
    <w:rsid w:val="003714AF"/>
    <w:rsid w:val="00381077"/>
    <w:rsid w:val="0038690F"/>
    <w:rsid w:val="003906D9"/>
    <w:rsid w:val="003914CB"/>
    <w:rsid w:val="00391BC5"/>
    <w:rsid w:val="00393879"/>
    <w:rsid w:val="003A1F19"/>
    <w:rsid w:val="003A35BE"/>
    <w:rsid w:val="003A4F44"/>
    <w:rsid w:val="003A54A8"/>
    <w:rsid w:val="003A57AA"/>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5E8E"/>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2834"/>
    <w:rsid w:val="00473A77"/>
    <w:rsid w:val="0047482A"/>
    <w:rsid w:val="0048378C"/>
    <w:rsid w:val="004863B0"/>
    <w:rsid w:val="0049028B"/>
    <w:rsid w:val="00492568"/>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4BD"/>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5EBE"/>
    <w:rsid w:val="00627DE6"/>
    <w:rsid w:val="00630369"/>
    <w:rsid w:val="006360E0"/>
    <w:rsid w:val="00637371"/>
    <w:rsid w:val="00640894"/>
    <w:rsid w:val="006427C6"/>
    <w:rsid w:val="00643EF9"/>
    <w:rsid w:val="0064692A"/>
    <w:rsid w:val="00652007"/>
    <w:rsid w:val="006545F4"/>
    <w:rsid w:val="006579D6"/>
    <w:rsid w:val="00660051"/>
    <w:rsid w:val="006616D2"/>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0B4"/>
    <w:rsid w:val="006E3B4C"/>
    <w:rsid w:val="006E43AF"/>
    <w:rsid w:val="006E7B29"/>
    <w:rsid w:val="006F0759"/>
    <w:rsid w:val="006F1B79"/>
    <w:rsid w:val="006F270F"/>
    <w:rsid w:val="006F38B9"/>
    <w:rsid w:val="006F6F78"/>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3ABD"/>
    <w:rsid w:val="00886CDC"/>
    <w:rsid w:val="0089252E"/>
    <w:rsid w:val="00895596"/>
    <w:rsid w:val="00896AB5"/>
    <w:rsid w:val="008A4ACC"/>
    <w:rsid w:val="008A5431"/>
    <w:rsid w:val="008A7D6E"/>
    <w:rsid w:val="008B3BA0"/>
    <w:rsid w:val="008B6D23"/>
    <w:rsid w:val="008B7776"/>
    <w:rsid w:val="008B790C"/>
    <w:rsid w:val="008C075E"/>
    <w:rsid w:val="008C3956"/>
    <w:rsid w:val="008C4D6D"/>
    <w:rsid w:val="008C7D6C"/>
    <w:rsid w:val="008C7FA6"/>
    <w:rsid w:val="008D2355"/>
    <w:rsid w:val="008D2F3E"/>
    <w:rsid w:val="008D6390"/>
    <w:rsid w:val="008D7A51"/>
    <w:rsid w:val="008E0669"/>
    <w:rsid w:val="008E0B0D"/>
    <w:rsid w:val="008E35C4"/>
    <w:rsid w:val="008E3A13"/>
    <w:rsid w:val="008E6619"/>
    <w:rsid w:val="008F1C52"/>
    <w:rsid w:val="00901EF8"/>
    <w:rsid w:val="00902F5A"/>
    <w:rsid w:val="00911847"/>
    <w:rsid w:val="00917025"/>
    <w:rsid w:val="00920F88"/>
    <w:rsid w:val="0092232C"/>
    <w:rsid w:val="00925C1E"/>
    <w:rsid w:val="00934201"/>
    <w:rsid w:val="00940E2E"/>
    <w:rsid w:val="00944C62"/>
    <w:rsid w:val="00957C64"/>
    <w:rsid w:val="0096218E"/>
    <w:rsid w:val="0096246F"/>
    <w:rsid w:val="0096714A"/>
    <w:rsid w:val="00967E43"/>
    <w:rsid w:val="009723C3"/>
    <w:rsid w:val="009755D9"/>
    <w:rsid w:val="0098247A"/>
    <w:rsid w:val="00983443"/>
    <w:rsid w:val="009906F1"/>
    <w:rsid w:val="00991003"/>
    <w:rsid w:val="00996106"/>
    <w:rsid w:val="00996BCF"/>
    <w:rsid w:val="009A1D2D"/>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96CB3"/>
    <w:rsid w:val="00AA039B"/>
    <w:rsid w:val="00AA3953"/>
    <w:rsid w:val="00AB2317"/>
    <w:rsid w:val="00AB46FD"/>
    <w:rsid w:val="00AB7FCD"/>
    <w:rsid w:val="00AC0875"/>
    <w:rsid w:val="00AC2BC7"/>
    <w:rsid w:val="00AC33B8"/>
    <w:rsid w:val="00AC36E9"/>
    <w:rsid w:val="00AC632A"/>
    <w:rsid w:val="00AD115D"/>
    <w:rsid w:val="00AD547A"/>
    <w:rsid w:val="00AE15C1"/>
    <w:rsid w:val="00AE1A01"/>
    <w:rsid w:val="00AF1FCB"/>
    <w:rsid w:val="00AF3D02"/>
    <w:rsid w:val="00AF709A"/>
    <w:rsid w:val="00AF7E38"/>
    <w:rsid w:val="00B101EF"/>
    <w:rsid w:val="00B1571C"/>
    <w:rsid w:val="00B173AC"/>
    <w:rsid w:val="00B201FC"/>
    <w:rsid w:val="00B20D3E"/>
    <w:rsid w:val="00B211A9"/>
    <w:rsid w:val="00B24874"/>
    <w:rsid w:val="00B26DB0"/>
    <w:rsid w:val="00B32A9F"/>
    <w:rsid w:val="00B33965"/>
    <w:rsid w:val="00B3408F"/>
    <w:rsid w:val="00B3501E"/>
    <w:rsid w:val="00B376D5"/>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BF0572"/>
    <w:rsid w:val="00C00771"/>
    <w:rsid w:val="00C020EC"/>
    <w:rsid w:val="00C06ECF"/>
    <w:rsid w:val="00C07C07"/>
    <w:rsid w:val="00C12B09"/>
    <w:rsid w:val="00C12C36"/>
    <w:rsid w:val="00C13B6B"/>
    <w:rsid w:val="00C1484E"/>
    <w:rsid w:val="00C17977"/>
    <w:rsid w:val="00C22253"/>
    <w:rsid w:val="00C261EE"/>
    <w:rsid w:val="00C3121B"/>
    <w:rsid w:val="00C312C6"/>
    <w:rsid w:val="00C31539"/>
    <w:rsid w:val="00C35104"/>
    <w:rsid w:val="00C425A1"/>
    <w:rsid w:val="00C50CC2"/>
    <w:rsid w:val="00C51F14"/>
    <w:rsid w:val="00C53358"/>
    <w:rsid w:val="00C539F9"/>
    <w:rsid w:val="00C55AE6"/>
    <w:rsid w:val="00C60697"/>
    <w:rsid w:val="00C60916"/>
    <w:rsid w:val="00C61961"/>
    <w:rsid w:val="00C626F3"/>
    <w:rsid w:val="00C63067"/>
    <w:rsid w:val="00C632B7"/>
    <w:rsid w:val="00C64562"/>
    <w:rsid w:val="00C6488A"/>
    <w:rsid w:val="00C7117C"/>
    <w:rsid w:val="00C71845"/>
    <w:rsid w:val="00C77D96"/>
    <w:rsid w:val="00C803BD"/>
    <w:rsid w:val="00C80EDD"/>
    <w:rsid w:val="00C840CE"/>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0914"/>
    <w:rsid w:val="00CD28BA"/>
    <w:rsid w:val="00CD28FC"/>
    <w:rsid w:val="00CD34D4"/>
    <w:rsid w:val="00CD3696"/>
    <w:rsid w:val="00CD5A64"/>
    <w:rsid w:val="00CD5E49"/>
    <w:rsid w:val="00CE0E27"/>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85E5F"/>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7D5"/>
    <w:rsid w:val="00ED0B56"/>
    <w:rsid w:val="00ED27B9"/>
    <w:rsid w:val="00ED29ED"/>
    <w:rsid w:val="00ED6635"/>
    <w:rsid w:val="00EE08A0"/>
    <w:rsid w:val="00EE1695"/>
    <w:rsid w:val="00EE3A5E"/>
    <w:rsid w:val="00EE4D5A"/>
    <w:rsid w:val="00EE6E6F"/>
    <w:rsid w:val="00EF59D3"/>
    <w:rsid w:val="00EF6E69"/>
    <w:rsid w:val="00F0020F"/>
    <w:rsid w:val="00F02133"/>
    <w:rsid w:val="00F04076"/>
    <w:rsid w:val="00F05FB3"/>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72C"/>
    <w:rsid w:val="00F6258F"/>
    <w:rsid w:val="00F627D3"/>
    <w:rsid w:val="00F65C4F"/>
    <w:rsid w:val="00F66EA1"/>
    <w:rsid w:val="00F77CB0"/>
    <w:rsid w:val="00F81A0F"/>
    <w:rsid w:val="00F84213"/>
    <w:rsid w:val="00F86D44"/>
    <w:rsid w:val="00F875D2"/>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2F44C29"/>
    <w:rsid w:val="03E362E9"/>
    <w:rsid w:val="04350FDB"/>
    <w:rsid w:val="0574D876"/>
    <w:rsid w:val="065B9588"/>
    <w:rsid w:val="07A25E98"/>
    <w:rsid w:val="08DADD84"/>
    <w:rsid w:val="097F104F"/>
    <w:rsid w:val="0AFBF663"/>
    <w:rsid w:val="0E063124"/>
    <w:rsid w:val="0FF24BC2"/>
    <w:rsid w:val="10354D7D"/>
    <w:rsid w:val="12EC3108"/>
    <w:rsid w:val="168C9A6D"/>
    <w:rsid w:val="2276D4CF"/>
    <w:rsid w:val="2284643A"/>
    <w:rsid w:val="229B3D1D"/>
    <w:rsid w:val="24DA526F"/>
    <w:rsid w:val="273780BF"/>
    <w:rsid w:val="28B85D29"/>
    <w:rsid w:val="2D11247E"/>
    <w:rsid w:val="2D49D164"/>
    <w:rsid w:val="314CED1B"/>
    <w:rsid w:val="3250CE82"/>
    <w:rsid w:val="344DF7FD"/>
    <w:rsid w:val="34EEBF60"/>
    <w:rsid w:val="34FC0BFA"/>
    <w:rsid w:val="36E71C83"/>
    <w:rsid w:val="3C70D626"/>
    <w:rsid w:val="3ED2C064"/>
    <w:rsid w:val="420DF7D0"/>
    <w:rsid w:val="4A1DBF67"/>
    <w:rsid w:val="4FEF5986"/>
    <w:rsid w:val="53C02B19"/>
    <w:rsid w:val="540C1E03"/>
    <w:rsid w:val="574D5D1C"/>
    <w:rsid w:val="591E13EC"/>
    <w:rsid w:val="59BC2270"/>
    <w:rsid w:val="59BD09A2"/>
    <w:rsid w:val="59F848A3"/>
    <w:rsid w:val="5AF7ECE6"/>
    <w:rsid w:val="5C97F7BF"/>
    <w:rsid w:val="5DEA2783"/>
    <w:rsid w:val="5FBE8FA1"/>
    <w:rsid w:val="60D17DA0"/>
    <w:rsid w:val="65A56E7E"/>
    <w:rsid w:val="667B3A7F"/>
    <w:rsid w:val="68DC6EB3"/>
    <w:rsid w:val="69F6322E"/>
    <w:rsid w:val="6EFC2F6D"/>
    <w:rsid w:val="6F703446"/>
    <w:rsid w:val="6FCCA040"/>
    <w:rsid w:val="70EB31A9"/>
    <w:rsid w:val="735E0097"/>
    <w:rsid w:val="768C3F6C"/>
    <w:rsid w:val="7A026809"/>
    <w:rsid w:val="7AB583CF"/>
    <w:rsid w:val="7B397D67"/>
    <w:rsid w:val="7D84FC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0396F5B2-985D-4D2B-A5E7-B881D125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775756848">
              <w:marLeft w:val="0"/>
              <w:marRight w:val="0"/>
              <w:marTop w:val="0"/>
              <w:marBottom w:val="0"/>
              <w:divBdr>
                <w:top w:val="none" w:sz="0" w:space="0" w:color="auto"/>
                <w:left w:val="none" w:sz="0" w:space="0" w:color="auto"/>
                <w:bottom w:val="none" w:sz="0" w:space="0" w:color="auto"/>
                <w:right w:val="none" w:sz="0" w:space="0" w:color="auto"/>
              </w:divBdr>
            </w:div>
            <w:div w:id="9832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hat.com/en/technologies/linux-platforms/enterprise-linux/rhel-7-end-of-maintenance"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s.vmware.com/cloud-foundation/2025/03/31/reminder-vsphere-7-to-reach-end-of-service-october-2-2025/"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oracle.com/a/ocom/docs/elsp-lifetime-06933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1.safelinks.protection.outlook.com/?url=https%3A%2F%2Flinux.oracle.com%2Fords%2Fr%2Foraclelinux%2Fhardware-certifications%2Fsystems&amp;data=05%7C02%7Clinas.masiliunas%40fortevento.lt%7C3e10d87f2f124b074a0c08ddd99725a9%7Cfb397a09c7894deda8420bcea4d1b44d%7C0%7C0%7C638905965413825107%7CUnknown%7CTWFpbGZsb3d8eyJFbXB0eU1hcGkiOnRydWUsIlYiOiIwLjAuMDAwMCIsIlAiOiJXaW4zMiIsIkFOIjoiTWFpbCIsIldUIjoyfQ%3D%3D%7C0%7C%7C%7C&amp;sdata=%2FoAXLLlFX9SdU92hFQqackPvd7G4OmDYZL%2BfFl%2F%2FrCo%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ess.redhat.com/support/policy/updates/er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02AF30EB-F1D8-434C-9703-A52A9245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DB8FD-56EF-49E1-93AB-BEEA0CA62D3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2311</Words>
  <Characters>13174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15455</CharactersWithSpaces>
  <SharedDoc>false</SharedDoc>
  <HyperlinkBase/>
  <HLinks>
    <vt:vector size="30" baseType="variant">
      <vt:variant>
        <vt:i4>2818090</vt:i4>
      </vt:variant>
      <vt:variant>
        <vt:i4>12</vt:i4>
      </vt:variant>
      <vt:variant>
        <vt:i4>0</vt:i4>
      </vt:variant>
      <vt:variant>
        <vt:i4>5</vt:i4>
      </vt:variant>
      <vt:variant>
        <vt:lpwstr>https://www.oracle.com/a/ocom/docs/elsp-lifetime-069338.pdf</vt:lpwstr>
      </vt:variant>
      <vt:variant>
        <vt:lpwstr/>
      </vt:variant>
      <vt:variant>
        <vt:i4>2097212</vt:i4>
      </vt:variant>
      <vt:variant>
        <vt:i4>9</vt:i4>
      </vt:variant>
      <vt:variant>
        <vt:i4>0</vt:i4>
      </vt:variant>
      <vt:variant>
        <vt:i4>5</vt:i4>
      </vt:variant>
      <vt:variant>
        <vt:lpwstr>https://eur01.safelinks.protection.outlook.com/?url=https%3A%2F%2Flinux.oracle.com%2Fords%2Fr%2Foraclelinux%2Fhardware-certifications%2Fsystems&amp;data=05%7C02%7Clinas.masiliunas%40fortevento.lt%7C3e10d87f2f124b074a0c08ddd99725a9%7Cfb397a09c7894deda8420bcea4d1b44d%7C0%7C0%7C638905965413825107%7CUnknown%7CTWFpbGZsb3d8eyJFbXB0eU1hcGkiOnRydWUsIlYiOiIwLjAuMDAwMCIsIlAiOiJXaW4zMiIsIkFOIjoiTWFpbCIsIldUIjoyfQ%3D%3D%7C0%7C%7C%7C&amp;sdata=%2FoAXLLlFX9SdU92hFQqackPvd7G4OmDYZL%2BfFl%2F%2FrCo%3D&amp;reserved=0</vt:lpwstr>
      </vt:variant>
      <vt:variant>
        <vt:lpwstr/>
      </vt:variant>
      <vt:variant>
        <vt:i4>3080296</vt:i4>
      </vt:variant>
      <vt:variant>
        <vt:i4>6</vt:i4>
      </vt:variant>
      <vt:variant>
        <vt:i4>0</vt:i4>
      </vt:variant>
      <vt:variant>
        <vt:i4>5</vt:i4>
      </vt:variant>
      <vt:variant>
        <vt:lpwstr>https://access.redhat.com/support/policy/updates/errata</vt:lpwstr>
      </vt:variant>
      <vt:variant>
        <vt:lpwstr/>
      </vt:variant>
      <vt:variant>
        <vt:i4>655428</vt:i4>
      </vt:variant>
      <vt:variant>
        <vt:i4>3</vt:i4>
      </vt:variant>
      <vt:variant>
        <vt:i4>0</vt:i4>
      </vt:variant>
      <vt:variant>
        <vt:i4>5</vt:i4>
      </vt:variant>
      <vt:variant>
        <vt:lpwstr>https://www.redhat.com/en/technologies/linux-platforms/enterprise-linux/rhel-7-end-of-maintenance</vt:lpwstr>
      </vt:variant>
      <vt:variant>
        <vt:lpwstr/>
      </vt:variant>
      <vt:variant>
        <vt:i4>6619192</vt:i4>
      </vt:variant>
      <vt:variant>
        <vt:i4>0</vt:i4>
      </vt:variant>
      <vt:variant>
        <vt:i4>0</vt:i4>
      </vt:variant>
      <vt:variant>
        <vt:i4>5</vt:i4>
      </vt:variant>
      <vt:variant>
        <vt:lpwstr>https://blogs.vmware.com/cloud-foundation/2025/03/31/reminder-vsphere-7-to-reach-end-of-service-october-2-2025/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13</cp:revision>
  <cp:lastPrinted>2022-08-09T17:41:00Z</cp:lastPrinted>
  <dcterms:created xsi:type="dcterms:W3CDTF">2025-08-19T16:18:00Z</dcterms:created>
  <dcterms:modified xsi:type="dcterms:W3CDTF">2025-08-19T10:52:00Z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