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60A" w14:textId="3E13B0F0" w:rsidR="00232714" w:rsidRDefault="00232714" w:rsidP="15D23C3C">
      <w:pPr>
        <w:pStyle w:val="prastasis1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62797">
        <w:rPr>
          <w:rFonts w:ascii="Times New Roman" w:hAnsi="Times New Roman"/>
          <w:sz w:val="24"/>
          <w:szCs w:val="24"/>
          <w:lang w:eastAsia="en-US"/>
        </w:rPr>
        <w:t>Techninės specifikacijos priedas Nr.</w:t>
      </w:r>
      <w:r w:rsidR="00A75A62">
        <w:rPr>
          <w:rFonts w:ascii="Times New Roman" w:hAnsi="Times New Roman"/>
          <w:sz w:val="24"/>
          <w:szCs w:val="24"/>
          <w:lang w:eastAsia="en-US"/>
        </w:rPr>
        <w:t xml:space="preserve"> 1</w:t>
      </w:r>
    </w:p>
    <w:p w14:paraId="7E61BDF4" w14:textId="77777777" w:rsidR="00616163" w:rsidRPr="00ED6B6A" w:rsidRDefault="00616163" w:rsidP="15D23C3C">
      <w:pPr>
        <w:pStyle w:val="prastasis1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1F7B7EB" w14:textId="30649431" w:rsidR="00FD11FE" w:rsidRDefault="00FD11FE" w:rsidP="15D23C3C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15D23C3C">
        <w:rPr>
          <w:b/>
          <w:bCs/>
          <w:lang w:eastAsia="lt-LT"/>
        </w:rPr>
        <w:t xml:space="preserve">REIKALAVIMAI </w:t>
      </w:r>
      <w:r w:rsidR="00024BEE">
        <w:rPr>
          <w:b/>
          <w:bCs/>
          <w:lang w:eastAsia="lt-LT"/>
        </w:rPr>
        <w:t xml:space="preserve">ŽALIŲJŲ ATLIEKŲ </w:t>
      </w:r>
      <w:r w:rsidRPr="15D23C3C">
        <w:rPr>
          <w:b/>
          <w:bCs/>
          <w:lang w:eastAsia="lt-LT"/>
        </w:rPr>
        <w:t>KONTEINERIAMS</w:t>
      </w:r>
      <w:r w:rsidR="00024BEE">
        <w:rPr>
          <w:b/>
          <w:bCs/>
          <w:lang w:eastAsia="lt-LT"/>
        </w:rPr>
        <w:t xml:space="preserve"> IR DIDMAIŠIAMS</w:t>
      </w:r>
    </w:p>
    <w:p w14:paraId="4F55DD73" w14:textId="77777777" w:rsidR="00616163" w:rsidRPr="00ED6B6A" w:rsidRDefault="00616163" w:rsidP="15D23C3C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14:paraId="2757A04B" w14:textId="05320C6D" w:rsidR="00FD11FE" w:rsidRPr="00ED6B6A" w:rsidRDefault="00024BEE" w:rsidP="15D23C3C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38547C8D">
        <w:rPr>
          <w:lang w:eastAsia="lt-LT"/>
        </w:rPr>
        <w:t>Žaliųjų</w:t>
      </w:r>
      <w:r w:rsidR="006A25F3" w:rsidRPr="38547C8D">
        <w:rPr>
          <w:lang w:eastAsia="lt-LT"/>
        </w:rPr>
        <w:t xml:space="preserve"> atliekų</w:t>
      </w:r>
      <w:r w:rsidR="00FD11FE" w:rsidRPr="38547C8D">
        <w:rPr>
          <w:lang w:eastAsia="lt-LT"/>
        </w:rPr>
        <w:t xml:space="preserve"> antžeminiai</w:t>
      </w:r>
      <w:r w:rsidR="00956413" w:rsidRPr="38547C8D">
        <w:rPr>
          <w:lang w:eastAsia="lt-LT"/>
        </w:rPr>
        <w:t xml:space="preserve"> stumdomi</w:t>
      </w:r>
      <w:r w:rsidR="006A25F3" w:rsidRPr="38547C8D">
        <w:rPr>
          <w:lang w:eastAsia="lt-LT"/>
        </w:rPr>
        <w:t xml:space="preserve"> </w:t>
      </w:r>
      <w:r w:rsidR="00FD11FE" w:rsidRPr="38547C8D">
        <w:rPr>
          <w:lang w:eastAsia="lt-LT"/>
        </w:rPr>
        <w:t>konteineriai (toliau – konteineriai)</w:t>
      </w:r>
      <w:r w:rsidR="003B2DE8" w:rsidRPr="38547C8D">
        <w:rPr>
          <w:b/>
          <w:bCs/>
          <w:lang w:eastAsia="lt-LT"/>
        </w:rPr>
        <w:t xml:space="preserve"> </w:t>
      </w:r>
      <w:r w:rsidR="003B2DE8" w:rsidRPr="38547C8D">
        <w:rPr>
          <w:lang w:eastAsia="lt-LT"/>
        </w:rPr>
        <w:t xml:space="preserve">ir didmaišiai </w:t>
      </w:r>
      <w:r w:rsidR="00FD11FE" w:rsidRPr="38547C8D">
        <w:rPr>
          <w:lang w:eastAsia="lt-LT"/>
        </w:rPr>
        <w:t>bus naudojami</w:t>
      </w:r>
      <w:r w:rsidR="003B2DE8" w:rsidRPr="38547C8D">
        <w:rPr>
          <w:lang w:eastAsia="lt-LT"/>
        </w:rPr>
        <w:t xml:space="preserve"> žaliųjų </w:t>
      </w:r>
      <w:r w:rsidR="006A25F3" w:rsidRPr="38547C8D">
        <w:rPr>
          <w:lang w:eastAsia="lt-LT"/>
        </w:rPr>
        <w:t xml:space="preserve">atliekų </w:t>
      </w:r>
      <w:r w:rsidR="00FD11FE" w:rsidRPr="38547C8D">
        <w:rPr>
          <w:lang w:eastAsia="lt-LT"/>
        </w:rPr>
        <w:t xml:space="preserve">surinkimui iš atliekų turėtojų. </w:t>
      </w:r>
      <w:r w:rsidR="00956413" w:rsidRPr="38547C8D">
        <w:rPr>
          <w:lang w:eastAsia="lt-LT"/>
        </w:rPr>
        <w:t>K</w:t>
      </w:r>
      <w:r w:rsidR="00FD11FE" w:rsidRPr="38547C8D">
        <w:rPr>
          <w:lang w:eastAsia="lt-LT"/>
        </w:rPr>
        <w:t xml:space="preserve">onteineriai </w:t>
      </w:r>
      <w:r w:rsidR="003B2DE8" w:rsidRPr="38547C8D">
        <w:rPr>
          <w:lang w:eastAsia="lt-LT"/>
        </w:rPr>
        <w:t xml:space="preserve">ir didmaišiai </w:t>
      </w:r>
      <w:r w:rsidR="00FD11FE" w:rsidRPr="38547C8D">
        <w:rPr>
          <w:lang w:eastAsia="lt-LT"/>
        </w:rPr>
        <w:t xml:space="preserve">yra naudojami formuojant konteinerių </w:t>
      </w:r>
      <w:r w:rsidR="000932F3" w:rsidRPr="38547C8D">
        <w:rPr>
          <w:lang w:eastAsia="lt-LT"/>
        </w:rPr>
        <w:t xml:space="preserve">ir didmaišių </w:t>
      </w:r>
      <w:r w:rsidR="00FD11FE" w:rsidRPr="38547C8D">
        <w:rPr>
          <w:lang w:eastAsia="lt-LT"/>
        </w:rPr>
        <w:t xml:space="preserve">rezervą. Konteineriai </w:t>
      </w:r>
      <w:r w:rsidR="003B2DE8" w:rsidRPr="38547C8D">
        <w:rPr>
          <w:lang w:eastAsia="lt-LT"/>
        </w:rPr>
        <w:t xml:space="preserve">ir didmaišiai </w:t>
      </w:r>
      <w:r w:rsidR="00FD11FE" w:rsidRPr="38547C8D">
        <w:rPr>
          <w:lang w:eastAsia="lt-LT"/>
        </w:rPr>
        <w:t>turi atitikti žemiau esančioje lentelėje pateiktus reikalavimus.</w:t>
      </w:r>
    </w:p>
    <w:p w14:paraId="67AD22A1" w14:textId="1F4131BC" w:rsidR="00FD11FE" w:rsidRPr="00ED6B6A" w:rsidRDefault="00FD11FE" w:rsidP="15D23C3C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15D23C3C">
        <w:rPr>
          <w:lang w:eastAsia="lt-LT"/>
        </w:rPr>
        <w:t xml:space="preserve">Nauji </w:t>
      </w:r>
      <w:r w:rsidR="00633F40">
        <w:rPr>
          <w:lang w:eastAsia="lt-LT"/>
        </w:rPr>
        <w:t xml:space="preserve">ir esami </w:t>
      </w:r>
      <w:r w:rsidRPr="15D23C3C">
        <w:rPr>
          <w:lang w:eastAsia="lt-LT"/>
        </w:rPr>
        <w:t xml:space="preserve">atliekų turėtojai aprūpinami </w:t>
      </w:r>
      <w:r w:rsidR="1E34F378" w:rsidRPr="15D23C3C">
        <w:rPr>
          <w:lang w:eastAsia="lt-LT"/>
        </w:rPr>
        <w:t xml:space="preserve">Administratoriaus </w:t>
      </w:r>
      <w:r w:rsidRPr="15D23C3C">
        <w:rPr>
          <w:lang w:eastAsia="lt-LT"/>
        </w:rPr>
        <w:t>nurodyto dydžio antžeminiais stumdomais</w:t>
      </w:r>
      <w:r w:rsidR="006A25F3">
        <w:rPr>
          <w:lang w:eastAsia="lt-LT"/>
        </w:rPr>
        <w:t xml:space="preserve"> </w:t>
      </w:r>
      <w:r w:rsidRPr="15D23C3C">
        <w:rPr>
          <w:lang w:eastAsia="lt-LT"/>
        </w:rPr>
        <w:t>konteineriais</w:t>
      </w:r>
      <w:r w:rsidR="007D62EC">
        <w:rPr>
          <w:lang w:eastAsia="lt-LT"/>
        </w:rPr>
        <w:t xml:space="preserve"> ir didmaišiais</w:t>
      </w:r>
      <w:r w:rsidRPr="15D23C3C">
        <w:rPr>
          <w:lang w:eastAsia="lt-LT"/>
        </w:rPr>
        <w:t xml:space="preserve">, atitinkančiais žemiau esančioje lentelėje pateiktus reikalavimus. </w:t>
      </w:r>
    </w:p>
    <w:p w14:paraId="7F88B9D8" w14:textId="3E570743" w:rsidR="00651BCB" w:rsidRDefault="00FD11FE" w:rsidP="15D23C3C">
      <w:pPr>
        <w:pStyle w:val="prastasis1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15D23C3C">
        <w:rPr>
          <w:rFonts w:ascii="Times New Roman" w:hAnsi="Times New Roman"/>
          <w:sz w:val="24"/>
          <w:szCs w:val="24"/>
          <w:lang w:eastAsia="lt-LT"/>
        </w:rPr>
        <w:t>Paslaug</w:t>
      </w:r>
      <w:r w:rsidR="009C0C64">
        <w:rPr>
          <w:rFonts w:ascii="Times New Roman" w:hAnsi="Times New Roman"/>
          <w:sz w:val="24"/>
          <w:szCs w:val="24"/>
          <w:lang w:eastAsia="lt-LT"/>
        </w:rPr>
        <w:t>ų</w:t>
      </w:r>
      <w:r w:rsidRPr="15D23C3C">
        <w:rPr>
          <w:rFonts w:ascii="Times New Roman" w:hAnsi="Times New Roman"/>
          <w:sz w:val="24"/>
          <w:szCs w:val="24"/>
          <w:lang w:eastAsia="lt-LT"/>
        </w:rPr>
        <w:t xml:space="preserve"> teikėjas, </w:t>
      </w:r>
      <w:r w:rsidR="009C0C64">
        <w:rPr>
          <w:rFonts w:ascii="Times New Roman" w:hAnsi="Times New Roman"/>
          <w:sz w:val="24"/>
          <w:szCs w:val="24"/>
          <w:lang w:eastAsia="lt-LT"/>
        </w:rPr>
        <w:t>P</w:t>
      </w:r>
      <w:r w:rsidRPr="15D23C3C">
        <w:rPr>
          <w:rFonts w:ascii="Times New Roman" w:hAnsi="Times New Roman"/>
          <w:sz w:val="24"/>
          <w:szCs w:val="24"/>
          <w:lang w:eastAsia="lt-LT"/>
        </w:rPr>
        <w:t xml:space="preserve">asiruošimo Paslaugai ataskaitoje teikdamas </w:t>
      </w:r>
      <w:r w:rsidR="3D2D7F28" w:rsidRPr="15D23C3C">
        <w:rPr>
          <w:rFonts w:ascii="Times New Roman" w:hAnsi="Times New Roman"/>
          <w:sz w:val="24"/>
          <w:szCs w:val="24"/>
          <w:lang w:eastAsia="lt-LT"/>
        </w:rPr>
        <w:t xml:space="preserve">Administratoriui </w:t>
      </w:r>
      <w:r w:rsidRPr="15D23C3C">
        <w:rPr>
          <w:rFonts w:ascii="Times New Roman" w:hAnsi="Times New Roman"/>
          <w:sz w:val="24"/>
          <w:szCs w:val="24"/>
          <w:lang w:eastAsia="lt-LT"/>
        </w:rPr>
        <w:t>informaciją apie konteinerių</w:t>
      </w:r>
      <w:r w:rsidR="007D62EC">
        <w:rPr>
          <w:rFonts w:ascii="Times New Roman" w:hAnsi="Times New Roman"/>
          <w:sz w:val="24"/>
          <w:szCs w:val="24"/>
          <w:lang w:eastAsia="lt-LT"/>
        </w:rPr>
        <w:t xml:space="preserve"> ir didmaišių</w:t>
      </w:r>
      <w:r w:rsidRPr="15D23C3C">
        <w:rPr>
          <w:rFonts w:ascii="Times New Roman" w:hAnsi="Times New Roman"/>
          <w:sz w:val="24"/>
          <w:szCs w:val="24"/>
          <w:lang w:eastAsia="lt-LT"/>
        </w:rPr>
        <w:t xml:space="preserve"> rezervą, privalo pateikti visus šiuos reikalavimus pagrindžiančius dokumentus ar Paslaugos teikėjo patvirtintas šių dokumentų kopijas.</w:t>
      </w:r>
    </w:p>
    <w:p w14:paraId="08CAB16B" w14:textId="77777777" w:rsidR="00D35EFF" w:rsidRPr="00D35EFF" w:rsidRDefault="00D35EFF" w:rsidP="15D23C3C">
      <w:pPr>
        <w:pStyle w:val="prastasis1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lt-LT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56"/>
      </w:tblGrid>
      <w:tr w:rsidR="000E3D9F" w:rsidRPr="00ED6B6A" w14:paraId="2A161E4B" w14:textId="77777777" w:rsidTr="161F9C9A">
        <w:trPr>
          <w:trHeight w:hRule="exact" w:val="1603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E9146" w14:textId="4734950C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Konteinerių</w:t>
            </w:r>
            <w:r w:rsidR="007D62E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ir didmaišių</w:t>
            </w: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rezervo apimtis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2855A" w14:textId="1DD5EE0B" w:rsidR="009C15DC" w:rsidRDefault="26D69D94" w:rsidP="00407C70">
            <w:pPr>
              <w:pStyle w:val="prastasis1"/>
              <w:autoSpaceDE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Konteinerių </w:t>
            </w:r>
            <w:r w:rsidR="007D62E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ir didmaišių 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skaičius turi būti pakankamas </w:t>
            </w:r>
            <w:r w:rsidR="009C15DC">
              <w:rPr>
                <w:rFonts w:ascii="Times New Roman" w:hAnsi="Times New Roman"/>
                <w:sz w:val="24"/>
                <w:szCs w:val="24"/>
                <w:lang w:eastAsia="lt-LT"/>
              </w:rPr>
              <w:t>aptarnaujamoje teritorijoje esančių</w:t>
            </w:r>
            <w:r w:rsidR="00B12F52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9C15D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esamų ir naujų atliekų turėtojų aprūpinimui</w:t>
            </w:r>
            <w:r w:rsidR="007D62E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žaliosioms atliekoms</w:t>
            </w:r>
            <w:r w:rsidR="009C15D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rinkti skirtais antžeminiais nuolatinio ir (ar) laikinojo naudojimo konteineriais</w:t>
            </w:r>
            <w:r w:rsidR="003360C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 didmaišiais</w:t>
            </w:r>
            <w:r w:rsidR="009C15D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bei šių konteinerių </w:t>
            </w:r>
            <w:r w:rsidR="00FF455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ir didmaišių </w:t>
            </w:r>
            <w:r w:rsidR="009C15D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keitimui techninėje specifikacijoje nustatyta tvarka. </w:t>
            </w:r>
          </w:p>
          <w:p w14:paraId="5028035E" w14:textId="41B5D8E0" w:rsidR="00232714" w:rsidRPr="00ED6B6A" w:rsidRDefault="00232714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9F" w:rsidRPr="00ED6B6A" w14:paraId="1A7CB6E8" w14:textId="77777777" w:rsidTr="161F9C9A">
        <w:trPr>
          <w:trHeight w:hRule="exact" w:val="363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199F9" w14:textId="7112C145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Bendrieji reikalavimai konteineriams</w:t>
            </w:r>
            <w:r w:rsidR="003360C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ir didmaišiams</w:t>
            </w:r>
          </w:p>
        </w:tc>
      </w:tr>
      <w:tr w:rsidR="000E3D9F" w:rsidRPr="00ED6B6A" w14:paraId="1A514161" w14:textId="77777777" w:rsidTr="161F9C9A">
        <w:trPr>
          <w:trHeight w:hRule="exact" w:val="340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1A6C4" w14:textId="77777777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87CB" w14:textId="25B1C4E7" w:rsidR="00232714" w:rsidRPr="00ED6B6A" w:rsidRDefault="003360CC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Žaliųjų</w:t>
            </w:r>
            <w:r w:rsidR="006A25F3" w:rsidRPr="006A25F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atliekų </w:t>
            </w:r>
            <w:r w:rsidR="00232714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surinkimas.</w:t>
            </w:r>
          </w:p>
        </w:tc>
      </w:tr>
      <w:tr w:rsidR="00F22F83" w:rsidRPr="00ED6B6A" w14:paraId="36D7655E" w14:textId="77777777" w:rsidTr="161F9C9A">
        <w:trPr>
          <w:trHeight w:hRule="exact" w:val="641"/>
          <w:jc w:val="center"/>
        </w:trPr>
        <w:tc>
          <w:tcPr>
            <w:tcW w:w="183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45D66B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F98D8" w14:textId="69CB2679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Konteinerio</w:t>
            </w:r>
            <w:r w:rsidR="003360C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didmaišio 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gamybai negali būti naudojamos aplinkai pavojingos medžiagos.</w:t>
            </w:r>
          </w:p>
        </w:tc>
      </w:tr>
      <w:tr w:rsidR="00F22F83" w:rsidRPr="00ED6B6A" w14:paraId="1BB7678B" w14:textId="77777777" w:rsidTr="00F01332">
        <w:trPr>
          <w:trHeight w:hRule="exact" w:val="862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8AB42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EA9DD" w14:textId="5823CC8E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>Medžiagos, iš kurių gaminamas konteineris</w:t>
            </w:r>
            <w:r w:rsidR="003360CC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</w:t>
            </w:r>
            <w:r w:rsidR="007C7666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>didmaišis</w:t>
            </w:r>
            <w:r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ir </w:t>
            </w:r>
            <w:r w:rsidR="009F4CA3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pats </w:t>
            </w:r>
            <w:r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>konteineris</w:t>
            </w:r>
            <w:r w:rsidR="007C7666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didmaišis </w:t>
            </w:r>
            <w:r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>turi būti atsparūs UV spinduliams, išoriniams smūgiams.</w:t>
            </w:r>
          </w:p>
        </w:tc>
      </w:tr>
      <w:tr w:rsidR="00F22F83" w:rsidRPr="00ED6B6A" w14:paraId="6222046A" w14:textId="77777777" w:rsidTr="161F9C9A">
        <w:trPr>
          <w:trHeight w:val="72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C02B4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0B0F8" w14:textId="21CEA830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Medžiagos, iš kurių formuojamas konteineris</w:t>
            </w:r>
            <w:r w:rsidR="007C7666">
              <w:rPr>
                <w:rStyle w:val="FontStyle59"/>
                <w:sz w:val="24"/>
                <w:szCs w:val="24"/>
              </w:rPr>
              <w:t xml:space="preserve"> ir didmaišis</w:t>
            </w:r>
            <w:r w:rsidRPr="15D23C3C">
              <w:rPr>
                <w:rStyle w:val="FontStyle59"/>
                <w:sz w:val="24"/>
                <w:szCs w:val="24"/>
              </w:rPr>
              <w:t>, turi neabsorbuoti drėgmės ir būti visiškai atsparios korozijai, šalčiui, karščiui ir cheminėms medžiagoms.</w:t>
            </w:r>
          </w:p>
        </w:tc>
      </w:tr>
      <w:tr w:rsidR="00F22F83" w:rsidRPr="00ED6B6A" w14:paraId="71FE66FB" w14:textId="77777777" w:rsidTr="161F9C9A">
        <w:trPr>
          <w:trHeight w:hRule="exact" w:val="1176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4D264" w14:textId="77777777" w:rsidR="00F22F83" w:rsidRPr="00ED6B6A" w:rsidRDefault="00F22F83" w:rsidP="00D35EFF">
            <w:pPr>
              <w:pStyle w:val="prastasis1"/>
              <w:autoSpaceDE w:val="0"/>
              <w:spacing w:after="0" w:line="274" w:lineRule="exact"/>
              <w:jc w:val="center"/>
              <w:rPr>
                <w:rStyle w:val="Numatytasispastraiposriftas1"/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7F3BD" w14:textId="706B35EE" w:rsidR="00F22F83" w:rsidRPr="00ED6B6A" w:rsidRDefault="005A74D0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K</w:t>
            </w:r>
            <w:r w:rsidR="00F22F83" w:rsidRPr="15D23C3C">
              <w:rPr>
                <w:rStyle w:val="FontStyle59"/>
                <w:sz w:val="24"/>
                <w:szCs w:val="24"/>
              </w:rPr>
              <w:t>onteineriai turi būti pagaminti iš perdirbamo aukšto tankumo polietileno (HDPE) arba lygiavertės medžiagos.</w:t>
            </w:r>
            <w:r w:rsidR="00C113F9">
              <w:rPr>
                <w:rStyle w:val="FontStyle59"/>
                <w:sz w:val="24"/>
                <w:szCs w:val="24"/>
              </w:rPr>
              <w:t xml:space="preserve"> Didmaišiai turi būti pagaminti </w:t>
            </w:r>
            <w:r w:rsidR="007E2684">
              <w:rPr>
                <w:rStyle w:val="FontStyle59"/>
                <w:sz w:val="24"/>
                <w:szCs w:val="24"/>
              </w:rPr>
              <w:t>iš laminuoto arba nelaminuoto audinio</w:t>
            </w:r>
            <w:r w:rsidR="00367C54">
              <w:rPr>
                <w:rStyle w:val="FontStyle59"/>
                <w:sz w:val="24"/>
                <w:szCs w:val="24"/>
              </w:rPr>
              <w:t xml:space="preserve"> bei su arba be polietileninio įdėklo. </w:t>
            </w:r>
          </w:p>
        </w:tc>
      </w:tr>
      <w:tr w:rsidR="00F22F83" w:rsidRPr="00ED6B6A" w14:paraId="638CEE0B" w14:textId="77777777" w:rsidTr="161F9C9A">
        <w:trPr>
          <w:trHeight w:hRule="exact" w:val="703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0A5F6" w14:textId="6E676231" w:rsidR="00F22F83" w:rsidRPr="00ED6B6A" w:rsidRDefault="00F22F83" w:rsidP="00D35EFF">
            <w:pPr>
              <w:pStyle w:val="prastasis1"/>
              <w:autoSpaceDE w:val="0"/>
              <w:spacing w:after="0" w:line="274" w:lineRule="exact"/>
              <w:jc w:val="center"/>
              <w:rPr>
                <w:rStyle w:val="Numatytasispastraiposriftas1"/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B8152" w14:textId="28BA6FD5" w:rsidR="00F22F83" w:rsidRPr="00ED6B6A" w:rsidRDefault="07F8DA3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Style w:val="FontStyle59"/>
                <w:sz w:val="24"/>
                <w:szCs w:val="24"/>
              </w:rPr>
            </w:pPr>
            <w:r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>K</w:t>
            </w:r>
            <w:r w:rsidR="00F22F83"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>onteinerio spalva suteikiama dažant medžiagos masę, iš kurios formuojamas konteineris.</w:t>
            </w:r>
          </w:p>
        </w:tc>
      </w:tr>
      <w:tr w:rsidR="000E3D9F" w:rsidRPr="00ED6B6A" w14:paraId="14BC6F8D" w14:textId="77777777" w:rsidTr="161F9C9A">
        <w:trPr>
          <w:trHeight w:hRule="exact" w:val="765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70333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Konteinerio žymeklis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2A40D" w14:textId="72402340" w:rsidR="00232714" w:rsidRPr="00ED6B6A" w:rsidRDefault="6DCDCBC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Konteinerio žymeklio montavimo vietą parenka Paslaugos teikėjas taip, kad sistema jį nuskenuotų, o ištuštinimo metu jis nebūtų pažeistas.</w:t>
            </w:r>
          </w:p>
        </w:tc>
      </w:tr>
      <w:tr w:rsidR="000E3D9F" w:rsidRPr="00ED6B6A" w14:paraId="60A1560F" w14:textId="77777777" w:rsidTr="161F9C9A">
        <w:trPr>
          <w:trHeight w:hRule="exact" w:val="1191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2C1F" w14:textId="2E954ADF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Informacija ant konteinerio</w:t>
            </w:r>
            <w:r w:rsidR="0096117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ir didmaišio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C875D" w14:textId="741C5FFB" w:rsidR="00583624" w:rsidRPr="00ED6B6A" w:rsidRDefault="00583624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15D23C3C">
              <w:rPr>
                <w:rStyle w:val="FontStyle59"/>
                <w:sz w:val="24"/>
              </w:rPr>
              <w:t>Ant kiekvieno konteinerio priekinės dalies turi būti užklijuotas informacinis lipdukas</w:t>
            </w:r>
            <w:r w:rsidR="00A8392B">
              <w:rPr>
                <w:rStyle w:val="FontStyle59"/>
                <w:sz w:val="24"/>
              </w:rPr>
              <w:t xml:space="preserve">. </w:t>
            </w:r>
          </w:p>
          <w:p w14:paraId="539A46F7" w14:textId="6C12544F" w:rsidR="00232714" w:rsidRPr="00ED6B6A" w:rsidRDefault="20E08AF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Konteinerio identifikacinis numeris nurodomas kitame lipduke</w:t>
            </w:r>
            <w:r w:rsidR="29D59F27" w:rsidRPr="15D23C3C">
              <w:rPr>
                <w:rStyle w:val="FontStyle59"/>
                <w:sz w:val="24"/>
                <w:szCs w:val="24"/>
              </w:rPr>
              <w:t xml:space="preserve"> ir klijuojamas iš dešinės konteinerio pusės</w:t>
            </w:r>
            <w:r w:rsidRPr="15D23C3C">
              <w:rPr>
                <w:rStyle w:val="FontStyle59"/>
                <w:sz w:val="24"/>
                <w:szCs w:val="24"/>
              </w:rPr>
              <w:t>.</w:t>
            </w:r>
          </w:p>
        </w:tc>
      </w:tr>
      <w:tr w:rsidR="000E3D9F" w:rsidRPr="00ED6B6A" w14:paraId="33515DEE" w14:textId="77777777" w:rsidTr="161F9C9A">
        <w:trPr>
          <w:trHeight w:hRule="exact" w:val="1093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5BF5C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Dokumentacija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AFAB8" w14:textId="46D9DB79" w:rsidR="00232714" w:rsidRPr="00ED6B6A" w:rsidRDefault="00FD11FE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 xml:space="preserve">Konteinerių </w:t>
            </w:r>
            <w:r w:rsidR="00961178">
              <w:rPr>
                <w:rStyle w:val="FontStyle59"/>
                <w:sz w:val="24"/>
                <w:szCs w:val="24"/>
              </w:rPr>
              <w:t xml:space="preserve">ir didmaišių </w:t>
            </w:r>
            <w:r w:rsidRPr="15D23C3C">
              <w:rPr>
                <w:rStyle w:val="FontStyle59"/>
                <w:sz w:val="24"/>
                <w:szCs w:val="24"/>
              </w:rPr>
              <w:t>eksploatacijos, tvarkymo bei priežiūros instrukcijos lietuvių ir originalo kalbomis.</w:t>
            </w:r>
          </w:p>
        </w:tc>
      </w:tr>
      <w:tr w:rsidR="000E3D9F" w:rsidRPr="00ED6B6A" w14:paraId="6C2973AE" w14:textId="77777777" w:rsidTr="161F9C9A">
        <w:trPr>
          <w:trHeight w:hRule="exact" w:val="340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D3B51" w14:textId="05A4470C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Papildomi reikalavimai antžeminiams stumdomiems konteineriams</w:t>
            </w:r>
            <w:r w:rsidR="00961178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ir didmaišiams</w:t>
            </w:r>
          </w:p>
        </w:tc>
      </w:tr>
      <w:tr w:rsidR="00464143" w:rsidRPr="00ED6B6A" w14:paraId="48474FE6" w14:textId="77777777" w:rsidTr="161F9C9A">
        <w:trPr>
          <w:trHeight w:hRule="exact" w:val="3881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7D193" w14:textId="77777777" w:rsidR="00464143" w:rsidRPr="00ED6B6A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lastRenderedPageBreak/>
              <w:t>Bendrieji reikalavimai</w:t>
            </w:r>
          </w:p>
          <w:p w14:paraId="173FB585" w14:textId="77777777" w:rsidR="00464143" w:rsidRPr="00ED6B6A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D3AA8" w14:textId="6A5D27E7" w:rsidR="00464143" w:rsidRPr="00AB5EF3" w:rsidRDefault="00464143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15D23C3C">
              <w:rPr>
                <w:rStyle w:val="FontStyle59"/>
                <w:sz w:val="24"/>
              </w:rPr>
              <w:t xml:space="preserve">Konteineriai turi būti sertifikuoti pagal LST EN 840 (1-6 dalys) kokybės standartą (arba lygiavertis). </w:t>
            </w:r>
            <w:r w:rsidR="00CF03DA">
              <w:rPr>
                <w:rStyle w:val="FontStyle59"/>
                <w:sz w:val="24"/>
              </w:rPr>
              <w:t xml:space="preserve">Didmaišiai turi būti sertifikuoti </w:t>
            </w:r>
            <w:r w:rsidR="00735C90">
              <w:rPr>
                <w:rStyle w:val="FontStyle59"/>
                <w:sz w:val="24"/>
              </w:rPr>
              <w:t>pagal</w:t>
            </w:r>
            <w:r w:rsidR="00BC7E54">
              <w:rPr>
                <w:rStyle w:val="FontStyle59"/>
                <w:sz w:val="24"/>
              </w:rPr>
              <w:t xml:space="preserve"> </w:t>
            </w:r>
            <w:r w:rsidR="00735C90">
              <w:rPr>
                <w:rStyle w:val="FontStyle59"/>
                <w:sz w:val="24"/>
              </w:rPr>
              <w:t>ISO-21898:20</w:t>
            </w:r>
            <w:r w:rsidR="00BC7E54">
              <w:rPr>
                <w:rStyle w:val="FontStyle59"/>
                <w:sz w:val="24"/>
              </w:rPr>
              <w:t>24</w:t>
            </w:r>
            <w:r w:rsidR="00735C90">
              <w:rPr>
                <w:rStyle w:val="FontStyle59"/>
                <w:sz w:val="24"/>
              </w:rPr>
              <w:t xml:space="preserve"> kokybės standartą (arba lygiavertis). </w:t>
            </w:r>
            <w:r w:rsidRPr="15D23C3C">
              <w:rPr>
                <w:rStyle w:val="FontStyle59"/>
                <w:sz w:val="24"/>
              </w:rPr>
              <w:t>Į</w:t>
            </w:r>
            <w:r w:rsidRPr="15D23C3C">
              <w:rPr>
                <w:rFonts w:ascii="Times New Roman" w:hAnsi="Times New Roman"/>
              </w:rPr>
              <w:t xml:space="preserve">rodymui kartu su </w:t>
            </w:r>
            <w:r w:rsidR="005964A0">
              <w:rPr>
                <w:rFonts w:ascii="Times New Roman" w:hAnsi="Times New Roman"/>
              </w:rPr>
              <w:t>P</w:t>
            </w:r>
            <w:r w:rsidRPr="15D23C3C">
              <w:rPr>
                <w:rFonts w:ascii="Times New Roman" w:hAnsi="Times New Roman"/>
              </w:rPr>
              <w:t>asiruošimo  ataskaita pateikiami atitikimą standartams patvirtinantys dokumentai, oficialių kokybės kontrolės institucijų ar akredituotų /sertifikuotų laboratorijų bandymų protokolai arba kiti lygiaverčiai dokumentai ar jų kopijos, CE atitikties sertifikato arba deklaracijos kopija;</w:t>
            </w:r>
          </w:p>
          <w:p w14:paraId="44F017D2" w14:textId="43500232" w:rsidR="00464143" w:rsidRPr="00AB5EF3" w:rsidRDefault="00464143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15D23C3C">
              <w:rPr>
                <w:rStyle w:val="FontStyle59"/>
                <w:sz w:val="24"/>
              </w:rPr>
              <w:t>konteineriai turi turėti RAL GZ 951/1, apie tai pateikiant sertifikatą (į</w:t>
            </w:r>
            <w:r w:rsidRPr="15D23C3C">
              <w:rPr>
                <w:rFonts w:ascii="Times New Roman" w:hAnsi="Times New Roman"/>
              </w:rPr>
              <w:t xml:space="preserve">rodymui kartu su </w:t>
            </w:r>
            <w:r w:rsidR="00407C70">
              <w:rPr>
                <w:rFonts w:ascii="Times New Roman" w:hAnsi="Times New Roman"/>
              </w:rPr>
              <w:t>Pasiruošimo ataskaita</w:t>
            </w:r>
            <w:r w:rsidRPr="15D23C3C">
              <w:rPr>
                <w:rFonts w:ascii="Times New Roman" w:hAnsi="Times New Roman"/>
              </w:rPr>
              <w:t xml:space="preserve"> pateikiami akredituotų institucijų/sertifikuotų laboratorijų dokumentai ar jų kopijos, įrodančios, kad konteinerių kokybės parametrai yra ne žemesni kaip RAL GZ 951/1 arba </w:t>
            </w:r>
            <w:r w:rsidR="007A0297">
              <w:rPr>
                <w:rFonts w:ascii="Times New Roman" w:hAnsi="Times New Roman"/>
              </w:rPr>
              <w:t xml:space="preserve">lygiaverčiai </w:t>
            </w:r>
            <w:r w:rsidR="00C86AD7">
              <w:rPr>
                <w:rFonts w:ascii="Times New Roman" w:hAnsi="Times New Roman"/>
              </w:rPr>
              <w:t>šiems parametrams</w:t>
            </w:r>
            <w:r w:rsidRPr="15D23C3C">
              <w:rPr>
                <w:rFonts w:ascii="Times New Roman" w:hAnsi="Times New Roman"/>
              </w:rPr>
              <w:t>)</w:t>
            </w:r>
            <w:r w:rsidRPr="15D23C3C">
              <w:rPr>
                <w:rStyle w:val="FontStyle59"/>
                <w:sz w:val="24"/>
              </w:rPr>
              <w:t>;</w:t>
            </w:r>
          </w:p>
          <w:p w14:paraId="21AEC1A3" w14:textId="2D403DD7" w:rsidR="00464143" w:rsidRPr="00ED6B6A" w:rsidRDefault="00464143" w:rsidP="15D23C3C">
            <w:pPr>
              <w:pStyle w:val="prastasis1"/>
              <w:autoSpaceDE w:val="0"/>
              <w:spacing w:after="0" w:line="240" w:lineRule="auto"/>
              <w:ind w:right="91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kiekvienas konteineris turi būti pažymėtas atitinkamu kokybės užtikrinimo</w:t>
            </w:r>
            <w:r w:rsidR="00633F40">
              <w:rPr>
                <w:rStyle w:val="FontStyle59"/>
                <w:sz w:val="24"/>
                <w:szCs w:val="24"/>
              </w:rPr>
              <w:t xml:space="preserve"> CE</w:t>
            </w:r>
            <w:r w:rsidRPr="15D23C3C">
              <w:rPr>
                <w:rStyle w:val="FontStyle59"/>
                <w:sz w:val="24"/>
                <w:szCs w:val="24"/>
              </w:rPr>
              <w:t xml:space="preserve"> ženklu.</w:t>
            </w:r>
          </w:p>
        </w:tc>
      </w:tr>
      <w:tr w:rsidR="00862233" w:rsidRPr="00ED6B6A" w14:paraId="12264075" w14:textId="77777777" w:rsidTr="161F9C9A">
        <w:trPr>
          <w:trHeight w:val="2060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1188C" w14:textId="77777777" w:rsidR="00862233" w:rsidRPr="00ED6B6A" w:rsidRDefault="0086223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7D5D6" w14:textId="0850FA87" w:rsidR="00862233" w:rsidRPr="00ED6B6A" w:rsidRDefault="02156AD5" w:rsidP="00862233">
            <w:pPr>
              <w:pStyle w:val="prastasis1"/>
              <w:numPr>
                <w:ilvl w:val="0"/>
                <w:numId w:val="3"/>
              </w:numPr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3D32415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Žaliųjų</w:t>
            </w:r>
            <w:r w:rsidR="09061808" w:rsidRPr="3D32415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atliekų</w:t>
            </w:r>
            <w:r w:rsidR="09061808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surinkimui – </w:t>
            </w:r>
            <w:r w:rsidR="78C0CB37" w:rsidRPr="3D32415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0,</w:t>
            </w:r>
            <w:r w:rsidRPr="3D32415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24</w:t>
            </w:r>
            <w:r w:rsidR="78C0CB37" w:rsidRPr="3D32415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m</w:t>
            </w:r>
            <w:r w:rsidR="78C0CB37" w:rsidRPr="3D32415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lt-LT"/>
              </w:rPr>
              <w:t>3</w:t>
            </w:r>
            <w:r w:rsidR="09061808" w:rsidRPr="3D32415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talpos</w:t>
            </w:r>
            <w:r w:rsidR="09061808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naujas arba </w:t>
            </w:r>
            <w:r w:rsidR="1AF6B50C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naudotas </w:t>
            </w:r>
            <w:r w:rsidR="09061808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geros techninės ir estetinės būklės antžeminis stumdomas plastikinis </w:t>
            </w:r>
            <w:r w:rsidR="09061808" w:rsidRPr="3D32415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juodos </w:t>
            </w:r>
            <w:r w:rsidR="09061808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>spalvos</w:t>
            </w:r>
            <w:r w:rsidR="7DF8844B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(RAL 7021)</w:t>
            </w:r>
            <w:r w:rsidR="09061808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konteineris su </w:t>
            </w:r>
            <w:r w:rsidR="09061808" w:rsidRPr="3D32415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rudos</w:t>
            </w:r>
            <w:r w:rsidR="09061808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spalvos</w:t>
            </w:r>
            <w:r w:rsidR="7DF8844B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(RAL 8011) </w:t>
            </w:r>
            <w:r w:rsidR="09061808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>dangčiu</w:t>
            </w:r>
            <w:r w:rsidR="7DF8844B" w:rsidRPr="3D324152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32235FFD" w14:textId="41F30DF2" w:rsidR="00862233" w:rsidRPr="00ED6B6A" w:rsidRDefault="00AA67CE" w:rsidP="00862233">
            <w:pPr>
              <w:pStyle w:val="prastasis1"/>
              <w:numPr>
                <w:ilvl w:val="0"/>
                <w:numId w:val="3"/>
              </w:numPr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Žaliųjų </w:t>
            </w:r>
            <w:r w:rsidR="0086223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62233" w:rsidRPr="006A25F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atliekų</w:t>
            </w:r>
            <w:r w:rsidR="0086223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62233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surinkimui </w:t>
            </w:r>
            <w:r w:rsidR="00862233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="00862233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86223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862233" w:rsidRPr="001D561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nuo</w:t>
            </w:r>
            <w:r w:rsidR="0086223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A4180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500 kg iki </w:t>
            </w:r>
            <w:r w:rsidR="00650D05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9A4180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00 kg </w:t>
            </w:r>
            <w:r w:rsidR="00650D05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saug</w:t>
            </w:r>
            <w:r w:rsidR="005F2AC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</w:t>
            </w:r>
            <w:r w:rsidR="00650D05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us užkrovimo svori</w:t>
            </w:r>
            <w:r w:rsidR="005F2AC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o </w:t>
            </w:r>
            <w:r w:rsidR="00862233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naujas arba </w:t>
            </w:r>
            <w:r w:rsidR="00C86AD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naudotas </w:t>
            </w:r>
            <w:r w:rsidR="00862233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geros techninės ir estetinės būklės</w:t>
            </w:r>
            <w:r w:rsidR="00A54E4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A54E45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baltos</w:t>
            </w:r>
            <w:r w:rsidR="00862233"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62233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spalvos</w:t>
            </w:r>
            <w:r w:rsidR="00EC1A3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(RAL </w:t>
            </w:r>
            <w:r w:rsidR="00A54E45">
              <w:rPr>
                <w:rFonts w:ascii="Times New Roman" w:hAnsi="Times New Roman"/>
                <w:sz w:val="24"/>
                <w:szCs w:val="24"/>
                <w:lang w:eastAsia="lt-LT"/>
              </w:rPr>
              <w:t>9010</w:t>
            </w:r>
            <w:r w:rsidR="005F2AC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didmaišis. </w:t>
            </w:r>
            <w:r w:rsidR="00EC1A3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312A3" w:rsidRPr="00ED6B6A" w14:paraId="7E13DC27" w14:textId="77777777" w:rsidTr="161F9C9A">
        <w:trPr>
          <w:trHeight w:val="2356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CE405" w14:textId="77777777" w:rsidR="007312A3" w:rsidRPr="00ED6B6A" w:rsidRDefault="007312A3" w:rsidP="00D35EFF">
            <w:pPr>
              <w:pStyle w:val="prastasis1"/>
              <w:autoSpaceDE w:val="0"/>
              <w:spacing w:after="0" w:line="278" w:lineRule="exact"/>
              <w:ind w:left="5"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Atitikimas standartams ir 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26B1D" w14:textId="36BA0165" w:rsidR="007312A3" w:rsidRDefault="00C41816" w:rsidP="15D23C3C">
            <w:pPr>
              <w:pStyle w:val="prastasis1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>K</w:t>
            </w:r>
            <w:r w:rsidR="007312A3"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>onteineriai ištuštinami standartiniais krovimo įrenginiais, kurie tinkami tuštinti įvairių dydžių</w:t>
            </w:r>
            <w:r w:rsidR="00A36946"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7312A3"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>0,24 m</w:t>
            </w:r>
            <w:r w:rsidR="007312A3" w:rsidRPr="161F9C9A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="00B536A9"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7312A3"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standartiniams konteineriams aptarnauti, kurių pagalba konteineriai pakeliami ir ištuštinami į </w:t>
            </w:r>
            <w:r w:rsidR="00F1187D"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>atliekų surinkimo transporto priemonę</w:t>
            </w:r>
            <w:r w:rsidR="007312A3" w:rsidRPr="161F9C9A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25C47D9E" w14:textId="53E4537F" w:rsidR="00B536A9" w:rsidRPr="00ED6B6A" w:rsidRDefault="00B536A9" w:rsidP="15D23C3C">
            <w:pPr>
              <w:pStyle w:val="prastasis1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Žaliųjų atliekų didmaišiai yra ištuštinami </w:t>
            </w:r>
            <w:r w:rsidR="00AD4E14">
              <w:rPr>
                <w:rFonts w:ascii="Times New Roman" w:hAnsi="Times New Roman"/>
                <w:sz w:val="24"/>
                <w:szCs w:val="24"/>
                <w:lang w:eastAsia="lt-LT"/>
              </w:rPr>
              <w:t>transporto priemonėmis, kuriose yra sumontuoti hidrauliniai manipuliatoriai, galintys ištuštini didmaišius s</w:t>
            </w:r>
            <w:r w:rsidR="00386C0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 keturiomis pakėlimo kilpomis. </w:t>
            </w:r>
          </w:p>
        </w:tc>
      </w:tr>
      <w:tr w:rsidR="000E3D9F" w:rsidRPr="00ED6B6A" w14:paraId="5FC77C82" w14:textId="77777777" w:rsidTr="161F9C9A">
        <w:trPr>
          <w:trHeight w:hRule="exact" w:val="950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B58CE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ABB17" w14:textId="5BD73E3A" w:rsidR="00232714" w:rsidRPr="00ED6B6A" w:rsidRDefault="00232714" w:rsidP="15D23C3C">
            <w:pPr>
              <w:pStyle w:val="prastasis1"/>
              <w:autoSpaceDE w:val="0"/>
              <w:spacing w:after="0" w:line="240" w:lineRule="auto"/>
              <w:ind w:right="48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Konteinerių spalva pagal RAL</w:t>
            </w:r>
            <w:r w:rsidR="00F6785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kokybės standartą</w:t>
            </w:r>
            <w:r w:rsidR="005F53F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830C69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RAL 7021</w:t>
            </w:r>
            <w:r w:rsidR="000D62BB">
              <w:rPr>
                <w:rFonts w:ascii="Times New Roman" w:hAnsi="Times New Roman"/>
                <w:sz w:val="24"/>
                <w:szCs w:val="24"/>
                <w:lang w:eastAsia="lt-LT"/>
              </w:rPr>
              <w:t>, RAL 8011 arba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lygiavertė spalva</w:t>
            </w:r>
            <w:r w:rsidR="00830C69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="00B536A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Didmaišių spalva pagal RAL kokybės standartą (RAL 9010 arba lygiavertė spalva).</w:t>
            </w:r>
          </w:p>
          <w:p w14:paraId="1FC83C8C" w14:textId="77777777" w:rsidR="00232714" w:rsidRPr="00ED6B6A" w:rsidRDefault="00232714" w:rsidP="15D23C3C">
            <w:pPr>
              <w:pStyle w:val="prastasis1"/>
              <w:autoSpaceDE w:val="0"/>
              <w:spacing w:after="0" w:line="240" w:lineRule="auto"/>
              <w:ind w:right="48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0E3D9F" w:rsidRPr="00ED6B6A" w14:paraId="5A60459C" w14:textId="77777777" w:rsidTr="161F9C9A">
        <w:trPr>
          <w:trHeight w:hRule="exact" w:val="2095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0632B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9173A" w14:textId="44C97769" w:rsidR="001D282D" w:rsidRPr="00ED6B6A" w:rsidRDefault="00232714" w:rsidP="005F53F7">
            <w:pPr>
              <w:pStyle w:val="prastasis1"/>
              <w:autoSpaceDE w:val="0"/>
              <w:spacing w:after="0" w:line="240" w:lineRule="auto"/>
              <w:ind w:right="182"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61F9C9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0,24 m</w:t>
            </w:r>
            <w:r w:rsidRPr="161F9C9A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161F9C9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talpos konteinerių važiuoklė iš plastikinių ratų su guminėmis padangomis ir galvanizuoto metalo ištisine ašimi;</w:t>
            </w:r>
          </w:p>
          <w:p w14:paraId="46BED081" w14:textId="631D3AD6" w:rsidR="00BD7F68" w:rsidRPr="00ED6B6A" w:rsidRDefault="00386C02" w:rsidP="005F53F7">
            <w:pPr>
              <w:pStyle w:val="prastasis1"/>
              <w:autoSpaceDE w:val="0"/>
              <w:spacing w:after="0" w:line="240" w:lineRule="auto"/>
              <w:ind w:right="182" w:firstLine="24"/>
              <w:jc w:val="both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500 kg iki 2000 kg saugaus užkrovimo svorio</w:t>
            </w:r>
            <w:r w:rsidR="00232714" w:rsidRPr="15D23C3C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didma</w:t>
            </w:r>
            <w:r w:rsidR="00E0574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šiai </w:t>
            </w:r>
            <w:r w:rsidR="00E0574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su atviru viršumi</w:t>
            </w:r>
            <w:r w:rsidR="00401439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, keturiomis pakėlimo kilpomis ir </w:t>
            </w:r>
            <w:r w:rsidR="004523ED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su pilnai atsidarančiu dugn</w:t>
            </w:r>
            <w:r w:rsidR="000932F3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u.</w:t>
            </w:r>
            <w:r w:rsidR="00590C79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Didmaišių matmenys yra 90x90x100 (aukštis) cm. </w:t>
            </w:r>
          </w:p>
          <w:p w14:paraId="492CE52A" w14:textId="194DB425" w:rsidR="00BD7F68" w:rsidRPr="00ED6B6A" w:rsidRDefault="00BD7F68" w:rsidP="15D23C3C">
            <w:pPr>
              <w:pStyle w:val="prastasis1"/>
              <w:autoSpaceDE w:val="0"/>
              <w:spacing w:after="0" w:line="240" w:lineRule="auto"/>
              <w:ind w:right="182" w:firstLine="24"/>
              <w:rPr>
                <w:rStyle w:val="FontStyle59"/>
                <w:sz w:val="24"/>
                <w:szCs w:val="24"/>
                <w:highlight w:val="red"/>
              </w:rPr>
            </w:pPr>
          </w:p>
        </w:tc>
      </w:tr>
    </w:tbl>
    <w:p w14:paraId="05B53989" w14:textId="77777777" w:rsidR="00D321CD" w:rsidRPr="00ED6B6A" w:rsidRDefault="00D321CD" w:rsidP="15D23C3C">
      <w:pPr>
        <w:pStyle w:val="prastasis1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321CD" w:rsidRPr="00ED6B6A" w:rsidSect="003C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567" w:bottom="961" w:left="1134" w:header="680" w:footer="68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584F" w14:textId="77777777" w:rsidR="007B7C7C" w:rsidRDefault="007B7C7C" w:rsidP="00AF4310">
      <w:r>
        <w:separator/>
      </w:r>
    </w:p>
  </w:endnote>
  <w:endnote w:type="continuationSeparator" w:id="0">
    <w:p w14:paraId="05617B73" w14:textId="77777777" w:rsidR="007B7C7C" w:rsidRDefault="007B7C7C" w:rsidP="00AF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678C" w14:textId="77777777" w:rsidR="008C7846" w:rsidRDefault="0013615E" w:rsidP="00781723">
    <w:pPr>
      <w:pStyle w:val="Porat"/>
      <w:framePr w:wrap="none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7846"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1B4445EC" w14:textId="77777777" w:rsidR="00AF4310" w:rsidRDefault="00AF4310" w:rsidP="008C784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0C57" w14:textId="77777777" w:rsidR="008C7846" w:rsidRPr="008C7846" w:rsidRDefault="008C7846" w:rsidP="00781723">
    <w:pPr>
      <w:pStyle w:val="Porat"/>
      <w:framePr w:wrap="none" w:vAnchor="text" w:hAnchor="margin" w:xAlign="right" w:y="1"/>
      <w:rPr>
        <w:rStyle w:val="Puslapionumeris"/>
      </w:rPr>
    </w:pPr>
  </w:p>
  <w:p w14:paraId="268D52ED" w14:textId="77777777" w:rsidR="00AF4310" w:rsidRPr="008C7846" w:rsidRDefault="00AF4310" w:rsidP="006D1829">
    <w:pPr>
      <w:pStyle w:val="Porat"/>
      <w:ind w:right="36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B4B6" w14:textId="77777777" w:rsidR="006D1829" w:rsidRDefault="006D18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F9CD" w14:textId="77777777" w:rsidR="007B7C7C" w:rsidRDefault="007B7C7C" w:rsidP="00AF4310">
      <w:r>
        <w:separator/>
      </w:r>
    </w:p>
  </w:footnote>
  <w:footnote w:type="continuationSeparator" w:id="0">
    <w:p w14:paraId="216DAB79" w14:textId="77777777" w:rsidR="007B7C7C" w:rsidRDefault="007B7C7C" w:rsidP="00AF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A2D2" w14:textId="77777777" w:rsidR="006D1829" w:rsidRDefault="006D18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270909"/>
      <w:docPartObj>
        <w:docPartGallery w:val="Page Numbers (Top of Page)"/>
        <w:docPartUnique/>
      </w:docPartObj>
    </w:sdtPr>
    <w:sdtEndPr/>
    <w:sdtContent>
      <w:p w14:paraId="50894874" w14:textId="77777777" w:rsidR="006D1829" w:rsidRDefault="0013615E">
        <w:pPr>
          <w:pStyle w:val="Antrats"/>
          <w:jc w:val="center"/>
        </w:pPr>
        <w:r>
          <w:fldChar w:fldCharType="begin"/>
        </w:r>
        <w:r w:rsidR="006D1829">
          <w:instrText>PAGE   \* MERGEFORMAT</w:instrText>
        </w:r>
        <w:r>
          <w:fldChar w:fldCharType="separate"/>
        </w:r>
        <w:r w:rsidR="009F0456">
          <w:rPr>
            <w:noProof/>
          </w:rPr>
          <w:t>3</w:t>
        </w:r>
        <w:r>
          <w:fldChar w:fldCharType="end"/>
        </w:r>
      </w:p>
    </w:sdtContent>
  </w:sdt>
  <w:p w14:paraId="3DAD6F38" w14:textId="77777777" w:rsidR="00AF4310" w:rsidRPr="006D1829" w:rsidRDefault="00AF4310" w:rsidP="006D18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12F4" w14:textId="77777777" w:rsidR="006D1829" w:rsidRDefault="006D18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4A5"/>
    <w:multiLevelType w:val="hybridMultilevel"/>
    <w:tmpl w:val="AAEE05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1C05"/>
    <w:multiLevelType w:val="multilevel"/>
    <w:tmpl w:val="47060FAA"/>
    <w:lvl w:ilvl="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5" w:hanging="360"/>
      </w:pPr>
      <w:rPr>
        <w:rFonts w:ascii="Wingdings" w:hAnsi="Wingdings"/>
      </w:rPr>
    </w:lvl>
  </w:abstractNum>
  <w:abstractNum w:abstractNumId="2" w15:restartNumberingAfterBreak="0">
    <w:nsid w:val="70D60B82"/>
    <w:multiLevelType w:val="hybridMultilevel"/>
    <w:tmpl w:val="59FA6148"/>
    <w:lvl w:ilvl="0" w:tplc="71203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003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B4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F6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22B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DCC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28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049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C4E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5F4584D"/>
    <w:multiLevelType w:val="hybridMultilevel"/>
    <w:tmpl w:val="7D2C8582"/>
    <w:lvl w:ilvl="0" w:tplc="042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659387599">
    <w:abstractNumId w:val="1"/>
  </w:num>
  <w:num w:numId="2" w16cid:durableId="1086652461">
    <w:abstractNumId w:val="3"/>
  </w:num>
  <w:num w:numId="3" w16cid:durableId="173691065">
    <w:abstractNumId w:val="0"/>
  </w:num>
  <w:num w:numId="4" w16cid:durableId="5976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14"/>
    <w:rsid w:val="000002EF"/>
    <w:rsid w:val="0000458F"/>
    <w:rsid w:val="00013944"/>
    <w:rsid w:val="0001AA22"/>
    <w:rsid w:val="00023339"/>
    <w:rsid w:val="00024BEE"/>
    <w:rsid w:val="00031B8B"/>
    <w:rsid w:val="00057516"/>
    <w:rsid w:val="00065EE5"/>
    <w:rsid w:val="00070221"/>
    <w:rsid w:val="00074385"/>
    <w:rsid w:val="00075D6F"/>
    <w:rsid w:val="00085EAE"/>
    <w:rsid w:val="000932F3"/>
    <w:rsid w:val="000B4C3B"/>
    <w:rsid w:val="000D0747"/>
    <w:rsid w:val="000D62BB"/>
    <w:rsid w:val="000E25AD"/>
    <w:rsid w:val="000E3D9F"/>
    <w:rsid w:val="001075DC"/>
    <w:rsid w:val="001141F2"/>
    <w:rsid w:val="00114EFB"/>
    <w:rsid w:val="00115652"/>
    <w:rsid w:val="001168A5"/>
    <w:rsid w:val="00125D98"/>
    <w:rsid w:val="00126DA3"/>
    <w:rsid w:val="0013615E"/>
    <w:rsid w:val="00145E53"/>
    <w:rsid w:val="0016655B"/>
    <w:rsid w:val="00180521"/>
    <w:rsid w:val="00183262"/>
    <w:rsid w:val="00192B05"/>
    <w:rsid w:val="00194E44"/>
    <w:rsid w:val="00197451"/>
    <w:rsid w:val="001A2C5C"/>
    <w:rsid w:val="001B360C"/>
    <w:rsid w:val="001C2B6C"/>
    <w:rsid w:val="001D282D"/>
    <w:rsid w:val="001D5618"/>
    <w:rsid w:val="001E736E"/>
    <w:rsid w:val="001F6699"/>
    <w:rsid w:val="00232714"/>
    <w:rsid w:val="002335A5"/>
    <w:rsid w:val="00235F1A"/>
    <w:rsid w:val="002672E8"/>
    <w:rsid w:val="0028041A"/>
    <w:rsid w:val="00283263"/>
    <w:rsid w:val="0029040E"/>
    <w:rsid w:val="00294F5E"/>
    <w:rsid w:val="002C2B85"/>
    <w:rsid w:val="003360CC"/>
    <w:rsid w:val="00367C54"/>
    <w:rsid w:val="00386C02"/>
    <w:rsid w:val="003A6AE2"/>
    <w:rsid w:val="003B2DE8"/>
    <w:rsid w:val="003C2A87"/>
    <w:rsid w:val="003C43A2"/>
    <w:rsid w:val="003D6518"/>
    <w:rsid w:val="003F6B9D"/>
    <w:rsid w:val="00401439"/>
    <w:rsid w:val="00407C70"/>
    <w:rsid w:val="00422C7B"/>
    <w:rsid w:val="004379B0"/>
    <w:rsid w:val="00437DDB"/>
    <w:rsid w:val="004523ED"/>
    <w:rsid w:val="00456159"/>
    <w:rsid w:val="00464143"/>
    <w:rsid w:val="004833CD"/>
    <w:rsid w:val="00485A1E"/>
    <w:rsid w:val="004940D4"/>
    <w:rsid w:val="004A3474"/>
    <w:rsid w:val="004B317B"/>
    <w:rsid w:val="004B5E0F"/>
    <w:rsid w:val="004D495A"/>
    <w:rsid w:val="004E6844"/>
    <w:rsid w:val="005055F1"/>
    <w:rsid w:val="0053393C"/>
    <w:rsid w:val="00540B71"/>
    <w:rsid w:val="005709CD"/>
    <w:rsid w:val="00583624"/>
    <w:rsid w:val="00590C79"/>
    <w:rsid w:val="005964A0"/>
    <w:rsid w:val="005A001B"/>
    <w:rsid w:val="005A23C2"/>
    <w:rsid w:val="005A5A60"/>
    <w:rsid w:val="005A74D0"/>
    <w:rsid w:val="005C3089"/>
    <w:rsid w:val="005C31A6"/>
    <w:rsid w:val="005C757D"/>
    <w:rsid w:val="005E24FD"/>
    <w:rsid w:val="005F2AC1"/>
    <w:rsid w:val="005F53F7"/>
    <w:rsid w:val="00604DC0"/>
    <w:rsid w:val="006128A8"/>
    <w:rsid w:val="00616163"/>
    <w:rsid w:val="00633F40"/>
    <w:rsid w:val="00650D05"/>
    <w:rsid w:val="00651BCB"/>
    <w:rsid w:val="0065D445"/>
    <w:rsid w:val="00662797"/>
    <w:rsid w:val="00664AB9"/>
    <w:rsid w:val="00672BD5"/>
    <w:rsid w:val="006A25F3"/>
    <w:rsid w:val="006B07E9"/>
    <w:rsid w:val="006B3761"/>
    <w:rsid w:val="006C2BC2"/>
    <w:rsid w:val="006C6F5E"/>
    <w:rsid w:val="006D1829"/>
    <w:rsid w:val="006E0B88"/>
    <w:rsid w:val="006E279D"/>
    <w:rsid w:val="006E2A31"/>
    <w:rsid w:val="006E4841"/>
    <w:rsid w:val="006E5177"/>
    <w:rsid w:val="006F0FCD"/>
    <w:rsid w:val="006F6541"/>
    <w:rsid w:val="007132F7"/>
    <w:rsid w:val="007244B7"/>
    <w:rsid w:val="00726A4A"/>
    <w:rsid w:val="00726E8D"/>
    <w:rsid w:val="007312A3"/>
    <w:rsid w:val="007315A3"/>
    <w:rsid w:val="00735C90"/>
    <w:rsid w:val="00741017"/>
    <w:rsid w:val="00767111"/>
    <w:rsid w:val="007705BB"/>
    <w:rsid w:val="0077089F"/>
    <w:rsid w:val="00775836"/>
    <w:rsid w:val="00775D97"/>
    <w:rsid w:val="007869FA"/>
    <w:rsid w:val="00787DD9"/>
    <w:rsid w:val="007A0297"/>
    <w:rsid w:val="007B08C6"/>
    <w:rsid w:val="007B7C7C"/>
    <w:rsid w:val="007C047A"/>
    <w:rsid w:val="007C7666"/>
    <w:rsid w:val="007D62EC"/>
    <w:rsid w:val="007E2684"/>
    <w:rsid w:val="00802745"/>
    <w:rsid w:val="00806CB3"/>
    <w:rsid w:val="0082120B"/>
    <w:rsid w:val="008221B0"/>
    <w:rsid w:val="00826CE4"/>
    <w:rsid w:val="00827EB9"/>
    <w:rsid w:val="00830C69"/>
    <w:rsid w:val="00862233"/>
    <w:rsid w:val="00871A8C"/>
    <w:rsid w:val="008A270F"/>
    <w:rsid w:val="008A4F7F"/>
    <w:rsid w:val="008B1783"/>
    <w:rsid w:val="008B6491"/>
    <w:rsid w:val="008B6529"/>
    <w:rsid w:val="008C07BC"/>
    <w:rsid w:val="008C6ABE"/>
    <w:rsid w:val="008C7846"/>
    <w:rsid w:val="008D2A55"/>
    <w:rsid w:val="008E5975"/>
    <w:rsid w:val="008F3364"/>
    <w:rsid w:val="00900E6C"/>
    <w:rsid w:val="00905A0B"/>
    <w:rsid w:val="00923C28"/>
    <w:rsid w:val="009254F7"/>
    <w:rsid w:val="00947867"/>
    <w:rsid w:val="00955280"/>
    <w:rsid w:val="00956413"/>
    <w:rsid w:val="00961178"/>
    <w:rsid w:val="0096384D"/>
    <w:rsid w:val="0096405D"/>
    <w:rsid w:val="009771F5"/>
    <w:rsid w:val="009831DB"/>
    <w:rsid w:val="00994AC5"/>
    <w:rsid w:val="009954EE"/>
    <w:rsid w:val="009A1F34"/>
    <w:rsid w:val="009A4180"/>
    <w:rsid w:val="009A627C"/>
    <w:rsid w:val="009C0C64"/>
    <w:rsid w:val="009C1121"/>
    <w:rsid w:val="009C15DC"/>
    <w:rsid w:val="009F0456"/>
    <w:rsid w:val="009F4CA3"/>
    <w:rsid w:val="009F714F"/>
    <w:rsid w:val="00A01E28"/>
    <w:rsid w:val="00A05619"/>
    <w:rsid w:val="00A17EC8"/>
    <w:rsid w:val="00A234C1"/>
    <w:rsid w:val="00A314C7"/>
    <w:rsid w:val="00A36737"/>
    <w:rsid w:val="00A36946"/>
    <w:rsid w:val="00A45114"/>
    <w:rsid w:val="00A50D42"/>
    <w:rsid w:val="00A54E45"/>
    <w:rsid w:val="00A75A62"/>
    <w:rsid w:val="00A81ADA"/>
    <w:rsid w:val="00A8392B"/>
    <w:rsid w:val="00AA2182"/>
    <w:rsid w:val="00AA67CE"/>
    <w:rsid w:val="00AB5EF3"/>
    <w:rsid w:val="00AC58C2"/>
    <w:rsid w:val="00AC5EE5"/>
    <w:rsid w:val="00AD4E14"/>
    <w:rsid w:val="00AD7265"/>
    <w:rsid w:val="00AE6627"/>
    <w:rsid w:val="00AF1455"/>
    <w:rsid w:val="00AF2AB1"/>
    <w:rsid w:val="00AF4310"/>
    <w:rsid w:val="00AF7372"/>
    <w:rsid w:val="00B060DB"/>
    <w:rsid w:val="00B06664"/>
    <w:rsid w:val="00B12F52"/>
    <w:rsid w:val="00B1399C"/>
    <w:rsid w:val="00B36E4A"/>
    <w:rsid w:val="00B536A9"/>
    <w:rsid w:val="00B54ADE"/>
    <w:rsid w:val="00B625E1"/>
    <w:rsid w:val="00B7749A"/>
    <w:rsid w:val="00B90125"/>
    <w:rsid w:val="00BA6805"/>
    <w:rsid w:val="00BB73C1"/>
    <w:rsid w:val="00BC7E54"/>
    <w:rsid w:val="00BD7F68"/>
    <w:rsid w:val="00BF446B"/>
    <w:rsid w:val="00C04C1E"/>
    <w:rsid w:val="00C113F9"/>
    <w:rsid w:val="00C27A49"/>
    <w:rsid w:val="00C315B4"/>
    <w:rsid w:val="00C41816"/>
    <w:rsid w:val="00C45A40"/>
    <w:rsid w:val="00C51B61"/>
    <w:rsid w:val="00C675CC"/>
    <w:rsid w:val="00C76857"/>
    <w:rsid w:val="00C82D77"/>
    <w:rsid w:val="00C86AD7"/>
    <w:rsid w:val="00CA6216"/>
    <w:rsid w:val="00CB7BEE"/>
    <w:rsid w:val="00CC2A82"/>
    <w:rsid w:val="00CD26C1"/>
    <w:rsid w:val="00CF03DA"/>
    <w:rsid w:val="00D0123A"/>
    <w:rsid w:val="00D15A49"/>
    <w:rsid w:val="00D321CD"/>
    <w:rsid w:val="00D35EFF"/>
    <w:rsid w:val="00D56CE8"/>
    <w:rsid w:val="00D873F2"/>
    <w:rsid w:val="00DA44A4"/>
    <w:rsid w:val="00DB3EF5"/>
    <w:rsid w:val="00DE7C02"/>
    <w:rsid w:val="00E05742"/>
    <w:rsid w:val="00E11795"/>
    <w:rsid w:val="00E15B4E"/>
    <w:rsid w:val="00E62B82"/>
    <w:rsid w:val="00E7453A"/>
    <w:rsid w:val="00E7577C"/>
    <w:rsid w:val="00EB07CD"/>
    <w:rsid w:val="00EC1A32"/>
    <w:rsid w:val="00ED6B6A"/>
    <w:rsid w:val="00EF4C90"/>
    <w:rsid w:val="00F01332"/>
    <w:rsid w:val="00F02402"/>
    <w:rsid w:val="00F10A2D"/>
    <w:rsid w:val="00F11225"/>
    <w:rsid w:val="00F1187D"/>
    <w:rsid w:val="00F22F83"/>
    <w:rsid w:val="00F42974"/>
    <w:rsid w:val="00F57C7F"/>
    <w:rsid w:val="00F622AD"/>
    <w:rsid w:val="00F67859"/>
    <w:rsid w:val="00F744FE"/>
    <w:rsid w:val="00F940C6"/>
    <w:rsid w:val="00FA25E3"/>
    <w:rsid w:val="00FA3CBC"/>
    <w:rsid w:val="00FD11FE"/>
    <w:rsid w:val="00FE1180"/>
    <w:rsid w:val="00FF455A"/>
    <w:rsid w:val="013B83E9"/>
    <w:rsid w:val="01F2C6B4"/>
    <w:rsid w:val="0201A4A6"/>
    <w:rsid w:val="02156AD5"/>
    <w:rsid w:val="023EE123"/>
    <w:rsid w:val="02E3E683"/>
    <w:rsid w:val="02FB01A9"/>
    <w:rsid w:val="03E0CE1D"/>
    <w:rsid w:val="03F96944"/>
    <w:rsid w:val="04243BB7"/>
    <w:rsid w:val="07F8DA33"/>
    <w:rsid w:val="09061808"/>
    <w:rsid w:val="0DAB4012"/>
    <w:rsid w:val="0F471073"/>
    <w:rsid w:val="10348BA0"/>
    <w:rsid w:val="105AB151"/>
    <w:rsid w:val="118531F5"/>
    <w:rsid w:val="11B64FB1"/>
    <w:rsid w:val="135B0A24"/>
    <w:rsid w:val="14366BDB"/>
    <w:rsid w:val="15D23C3C"/>
    <w:rsid w:val="161F9C9A"/>
    <w:rsid w:val="172B5028"/>
    <w:rsid w:val="17C8D6BD"/>
    <w:rsid w:val="18ACFABE"/>
    <w:rsid w:val="1964A71E"/>
    <w:rsid w:val="19AEFAE2"/>
    <w:rsid w:val="19E86B3A"/>
    <w:rsid w:val="1A23FC4E"/>
    <w:rsid w:val="1AF6B50C"/>
    <w:rsid w:val="1BB02F75"/>
    <w:rsid w:val="1CE69BA4"/>
    <w:rsid w:val="1E34F378"/>
    <w:rsid w:val="1E57A1CB"/>
    <w:rsid w:val="1FBA34CD"/>
    <w:rsid w:val="20571FC1"/>
    <w:rsid w:val="2057ACBE"/>
    <w:rsid w:val="20CF9D89"/>
    <w:rsid w:val="20E08AF7"/>
    <w:rsid w:val="2135294C"/>
    <w:rsid w:val="22322856"/>
    <w:rsid w:val="22A45750"/>
    <w:rsid w:val="255C87CD"/>
    <w:rsid w:val="25EFAB3F"/>
    <w:rsid w:val="2601BCAB"/>
    <w:rsid w:val="26D69D94"/>
    <w:rsid w:val="27E33B17"/>
    <w:rsid w:val="29578AF1"/>
    <w:rsid w:val="29D59F27"/>
    <w:rsid w:val="2A990DDC"/>
    <w:rsid w:val="2C867828"/>
    <w:rsid w:val="2C8F2BB3"/>
    <w:rsid w:val="2F16E69E"/>
    <w:rsid w:val="2F54735D"/>
    <w:rsid w:val="335A5C42"/>
    <w:rsid w:val="34417184"/>
    <w:rsid w:val="348ADB5E"/>
    <w:rsid w:val="36ABB9C7"/>
    <w:rsid w:val="3709A251"/>
    <w:rsid w:val="370BA368"/>
    <w:rsid w:val="384E3209"/>
    <w:rsid w:val="38547C8D"/>
    <w:rsid w:val="3C8B1DC5"/>
    <w:rsid w:val="3D2D7F28"/>
    <w:rsid w:val="3D324152"/>
    <w:rsid w:val="3DFDB85A"/>
    <w:rsid w:val="3FBA4CAE"/>
    <w:rsid w:val="4106CC2F"/>
    <w:rsid w:val="42D0C397"/>
    <w:rsid w:val="4395F8C9"/>
    <w:rsid w:val="43EF2B97"/>
    <w:rsid w:val="459CB0F0"/>
    <w:rsid w:val="487545E8"/>
    <w:rsid w:val="48C29CBA"/>
    <w:rsid w:val="4BB1787C"/>
    <w:rsid w:val="4C4631B1"/>
    <w:rsid w:val="4CA92F15"/>
    <w:rsid w:val="4CB2C4CA"/>
    <w:rsid w:val="4D22980A"/>
    <w:rsid w:val="4E0B8F1E"/>
    <w:rsid w:val="4F34C69D"/>
    <w:rsid w:val="4FD276F8"/>
    <w:rsid w:val="4FE0CFD7"/>
    <w:rsid w:val="50DCB12B"/>
    <w:rsid w:val="5539A4AC"/>
    <w:rsid w:val="5578952B"/>
    <w:rsid w:val="55B0224E"/>
    <w:rsid w:val="564589D3"/>
    <w:rsid w:val="5830B316"/>
    <w:rsid w:val="584AAA2A"/>
    <w:rsid w:val="5A5B8E1D"/>
    <w:rsid w:val="5A9DA207"/>
    <w:rsid w:val="5C184ECC"/>
    <w:rsid w:val="5C9C6E5B"/>
    <w:rsid w:val="5EB6634D"/>
    <w:rsid w:val="61B04C1A"/>
    <w:rsid w:val="61E99A7C"/>
    <w:rsid w:val="65AF5701"/>
    <w:rsid w:val="6654FA4E"/>
    <w:rsid w:val="6694C681"/>
    <w:rsid w:val="66B16300"/>
    <w:rsid w:val="66BA090B"/>
    <w:rsid w:val="66CF7FFE"/>
    <w:rsid w:val="6855D96C"/>
    <w:rsid w:val="6927F4F3"/>
    <w:rsid w:val="6A1E31A9"/>
    <w:rsid w:val="6C05E7FF"/>
    <w:rsid w:val="6D6C166F"/>
    <w:rsid w:val="6DCDCBC7"/>
    <w:rsid w:val="6DF30E9E"/>
    <w:rsid w:val="6E2EA826"/>
    <w:rsid w:val="6ED312CE"/>
    <w:rsid w:val="6F0CCE5F"/>
    <w:rsid w:val="6F4A49E0"/>
    <w:rsid w:val="708FEF48"/>
    <w:rsid w:val="7108C249"/>
    <w:rsid w:val="71414566"/>
    <w:rsid w:val="7491EE07"/>
    <w:rsid w:val="74C07D01"/>
    <w:rsid w:val="74FC7BAF"/>
    <w:rsid w:val="765C4D62"/>
    <w:rsid w:val="77F89B7B"/>
    <w:rsid w:val="78C0CB37"/>
    <w:rsid w:val="7948F5AC"/>
    <w:rsid w:val="7967D893"/>
    <w:rsid w:val="79766EE6"/>
    <w:rsid w:val="7A0FBB1D"/>
    <w:rsid w:val="7B2FBE85"/>
    <w:rsid w:val="7BC7BF63"/>
    <w:rsid w:val="7C58F604"/>
    <w:rsid w:val="7DF8844B"/>
    <w:rsid w:val="7E675F47"/>
    <w:rsid w:val="7EBF732B"/>
    <w:rsid w:val="7F66C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5AF8"/>
  <w15:docId w15:val="{91B9F900-0EE3-435C-A0F9-AE65F24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714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31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310"/>
    <w:rPr>
      <w:lang w:val="lt-LT"/>
    </w:rPr>
  </w:style>
  <w:style w:type="character" w:styleId="Hipersaitas">
    <w:name w:val="Hyperlink"/>
    <w:basedOn w:val="Numatytasispastraiposriftas"/>
    <w:rsid w:val="00AF4310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8C7846"/>
  </w:style>
  <w:style w:type="character" w:customStyle="1" w:styleId="Numatytasispastraiposriftas1">
    <w:name w:val="Numatytasis pastraipos šriftas1"/>
    <w:rsid w:val="00232714"/>
  </w:style>
  <w:style w:type="paragraph" w:customStyle="1" w:styleId="prastasis1">
    <w:name w:val="Įprastasis1"/>
    <w:rsid w:val="0023271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2"/>
      <w:szCs w:val="22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75DC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75DC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6E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6E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6E8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6E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6E8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FontStyle59">
    <w:name w:val="Font Style59"/>
    <w:uiPriority w:val="99"/>
    <w:rsid w:val="00583624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583624"/>
    <w:rPr>
      <w:rFonts w:ascii="Times New Roman" w:hAnsi="Times New Roman" w:cs="Times New Roman" w:hint="default"/>
      <w:b/>
      <w:bCs w:val="0"/>
      <w:sz w:val="22"/>
    </w:rPr>
  </w:style>
  <w:style w:type="paragraph" w:customStyle="1" w:styleId="Style29">
    <w:name w:val="Style29"/>
    <w:basedOn w:val="prastasis"/>
    <w:uiPriority w:val="99"/>
    <w:rsid w:val="00583624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lang w:eastAsia="lt-LT"/>
    </w:rPr>
  </w:style>
  <w:style w:type="paragraph" w:styleId="Pataisymai">
    <w:name w:val="Revision"/>
    <w:hidden/>
    <w:uiPriority w:val="99"/>
    <w:semiHidden/>
    <w:rsid w:val="00B060DB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0E9C-67BD-4702-9284-D85653DC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3164</Words>
  <Characters>1805</Characters>
  <Application>Microsoft Office Word</Application>
  <DocSecurity>4</DocSecurity>
  <Lines>15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 Makauskas</dc:creator>
  <cp:lastModifiedBy>Santa Zubernytė</cp:lastModifiedBy>
  <cp:revision>2</cp:revision>
  <dcterms:created xsi:type="dcterms:W3CDTF">2025-08-20T06:42:00Z</dcterms:created>
  <dcterms:modified xsi:type="dcterms:W3CDTF">2025-08-20T06:42:00Z</dcterms:modified>
</cp:coreProperties>
</file>