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0B07A08F" w:rsidR="003470BD" w:rsidRPr="004D4B7E" w:rsidRDefault="008345FA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345FA">
              <w:rPr>
                <w:rFonts w:ascii="Cambria" w:hAnsi="Cambria"/>
                <w:kern w:val="2"/>
                <w:sz w:val="20"/>
              </w:rPr>
              <w:t>Vaisiaus būklės stebėjimo monitorių (</w:t>
            </w:r>
            <w:proofErr w:type="spellStart"/>
            <w:r w:rsidRPr="008345FA">
              <w:rPr>
                <w:rFonts w:ascii="Cambria" w:hAnsi="Cambria"/>
                <w:kern w:val="2"/>
                <w:sz w:val="20"/>
              </w:rPr>
              <w:t>kardiotokografų</w:t>
            </w:r>
            <w:proofErr w:type="spellEnd"/>
            <w:r w:rsidRPr="008345FA">
              <w:rPr>
                <w:rFonts w:ascii="Cambria" w:hAnsi="Cambria"/>
                <w:kern w:val="2"/>
                <w:sz w:val="20"/>
              </w:rPr>
              <w:t xml:space="preserve">) atnaujinimas ir sujungimas į centrinę </w:t>
            </w:r>
            <w:proofErr w:type="spellStart"/>
            <w:r w:rsidRPr="008345FA">
              <w:rPr>
                <w:rFonts w:ascii="Cambria" w:hAnsi="Cambria"/>
                <w:kern w:val="2"/>
                <w:sz w:val="20"/>
              </w:rPr>
              <w:t>monitoravimo</w:t>
            </w:r>
            <w:proofErr w:type="spellEnd"/>
            <w:r w:rsidRPr="008345FA">
              <w:rPr>
                <w:rFonts w:ascii="Cambria" w:hAnsi="Cambria"/>
                <w:kern w:val="2"/>
                <w:sz w:val="20"/>
              </w:rPr>
              <w:t xml:space="preserve"> stotį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510" w:type="dxa"/>
          </w:tcPr>
          <w:p w14:paraId="1A86750A" w14:textId="01B18010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510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510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510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510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>
        <w:tc>
          <w:tcPr>
            <w:tcW w:w="2808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510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>
        <w:tc>
          <w:tcPr>
            <w:tcW w:w="2808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40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240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40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3507BE4B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8345FA">
              <w:rPr>
                <w:rFonts w:ascii="Cambria" w:hAnsi="Cambria"/>
                <w:b/>
                <w:kern w:val="2"/>
                <w:sz w:val="20"/>
              </w:rPr>
              <w:t>v</w:t>
            </w:r>
            <w:r w:rsidR="008345FA" w:rsidRPr="008345FA">
              <w:rPr>
                <w:rFonts w:ascii="Cambria" w:hAnsi="Cambria"/>
                <w:b/>
                <w:kern w:val="2"/>
                <w:sz w:val="20"/>
              </w:rPr>
              <w:t>aisiaus būklės stebėjimo monitorių (</w:t>
            </w:r>
            <w:proofErr w:type="spellStart"/>
            <w:r w:rsidR="008345FA" w:rsidRPr="008345FA">
              <w:rPr>
                <w:rFonts w:ascii="Cambria" w:hAnsi="Cambria"/>
                <w:b/>
                <w:kern w:val="2"/>
                <w:sz w:val="20"/>
              </w:rPr>
              <w:t>kardiotokografų</w:t>
            </w:r>
            <w:proofErr w:type="spellEnd"/>
            <w:r w:rsidR="008345FA" w:rsidRPr="008345FA">
              <w:rPr>
                <w:rFonts w:ascii="Cambria" w:hAnsi="Cambria"/>
                <w:b/>
                <w:kern w:val="2"/>
                <w:sz w:val="20"/>
              </w:rPr>
              <w:t>) atnaujinim</w:t>
            </w:r>
            <w:r w:rsidR="008345FA">
              <w:rPr>
                <w:rFonts w:ascii="Cambria" w:hAnsi="Cambria"/>
                <w:b/>
                <w:kern w:val="2"/>
                <w:sz w:val="20"/>
              </w:rPr>
              <w:t>ą</w:t>
            </w:r>
            <w:r w:rsidR="008345FA" w:rsidRPr="008345FA">
              <w:rPr>
                <w:rFonts w:ascii="Cambria" w:hAnsi="Cambria"/>
                <w:b/>
                <w:kern w:val="2"/>
                <w:sz w:val="20"/>
              </w:rPr>
              <w:t xml:space="preserve"> ir sujungim</w:t>
            </w:r>
            <w:r w:rsidR="008345FA">
              <w:rPr>
                <w:rFonts w:ascii="Cambria" w:hAnsi="Cambria"/>
                <w:b/>
                <w:kern w:val="2"/>
                <w:sz w:val="20"/>
              </w:rPr>
              <w:t>ą</w:t>
            </w:r>
            <w:r w:rsidR="008345FA" w:rsidRPr="008345FA">
              <w:rPr>
                <w:rFonts w:ascii="Cambria" w:hAnsi="Cambria"/>
                <w:b/>
                <w:kern w:val="2"/>
                <w:sz w:val="20"/>
              </w:rPr>
              <w:t xml:space="preserve"> į centrinę </w:t>
            </w:r>
            <w:proofErr w:type="spellStart"/>
            <w:r w:rsidR="008345FA" w:rsidRPr="008345FA">
              <w:rPr>
                <w:rFonts w:ascii="Cambria" w:hAnsi="Cambria"/>
                <w:b/>
                <w:kern w:val="2"/>
                <w:sz w:val="20"/>
              </w:rPr>
              <w:t>monitoravimo</w:t>
            </w:r>
            <w:proofErr w:type="spellEnd"/>
            <w:r w:rsidR="008345FA" w:rsidRPr="008345FA">
              <w:rPr>
                <w:rFonts w:ascii="Cambria" w:hAnsi="Cambria"/>
                <w:b/>
                <w:kern w:val="2"/>
                <w:sz w:val="20"/>
              </w:rPr>
              <w:t xml:space="preserve"> stotį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</w:t>
            </w:r>
            <w:r w:rsidR="008345FA">
              <w:rPr>
                <w:rFonts w:ascii="Cambria" w:hAnsi="Cambria"/>
                <w:color w:val="000000"/>
                <w:kern w:val="2"/>
                <w:sz w:val="20"/>
              </w:rPr>
              <w:t>/Paslaugos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</w:t>
            </w:r>
            <w:r w:rsidR="008345FA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vietą, instaliavimą</w:t>
            </w:r>
            <w:r w:rsidR="008345FA">
              <w:rPr>
                <w:rFonts w:ascii="Cambria" w:hAnsi="Cambria"/>
                <w:color w:val="000000" w:themeColor="text1"/>
                <w:sz w:val="20"/>
              </w:rPr>
              <w:t>/sumontavimą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, po instaliavimo</w:t>
            </w:r>
            <w:r w:rsidR="008345FA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7BC33BBF" w:rsidR="003470BD" w:rsidRPr="004D4B7E" w:rsidRDefault="003470BD" w:rsidP="008345FA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</w:t>
            </w:r>
            <w:r w:rsidR="008345FA">
              <w:rPr>
                <w:rFonts w:ascii="Cambria" w:hAnsi="Cambria"/>
                <w:color w:val="000000"/>
                <w:kern w:val="2"/>
                <w:sz w:val="20"/>
              </w:rPr>
              <w:t>/Paslaugų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 xml:space="preserve"> aprašymas ir kiti reikalavimai tiekiamoms Prekėms</w:t>
            </w:r>
            <w:r w:rsidR="008345FA">
              <w:rPr>
                <w:rFonts w:ascii="Cambria" w:hAnsi="Cambria"/>
                <w:color w:val="000000"/>
                <w:kern w:val="2"/>
                <w:sz w:val="20"/>
              </w:rPr>
              <w:t>/Paslaugoms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 xml:space="preserve"> nustatyti Sutarties priede Nr. 1 „Techninė specifikacija“ (toliau – Techninė specifikacija) ir Sutarties priede Nr. 2 „Prekių</w:t>
            </w:r>
            <w:r w:rsidR="008345FA">
              <w:rPr>
                <w:rFonts w:ascii="Cambria" w:hAnsi="Cambria"/>
                <w:color w:val="000000"/>
                <w:kern w:val="2"/>
                <w:sz w:val="20"/>
              </w:rPr>
              <w:t>/Paslaugų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 xml:space="preserve">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648E4C43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konkursas </w:t>
            </w:r>
            <w:r w:rsidRPr="00E92C85">
              <w:rPr>
                <w:rFonts w:ascii="Cambria" w:hAnsi="Cambria"/>
                <w:kern w:val="2"/>
                <w:sz w:val="20"/>
              </w:rPr>
              <w:t>„</w:t>
            </w:r>
            <w:r w:rsidR="00E92C85" w:rsidRPr="00E92C85">
              <w:rPr>
                <w:rFonts w:ascii="Cambria" w:hAnsi="Cambria"/>
                <w:kern w:val="2"/>
                <w:sz w:val="20"/>
              </w:rPr>
              <w:t>Vaisiaus būklės stebėjimo monitorių (</w:t>
            </w:r>
            <w:proofErr w:type="spellStart"/>
            <w:r w:rsidR="00E92C85" w:rsidRPr="00E92C85">
              <w:rPr>
                <w:rFonts w:ascii="Cambria" w:hAnsi="Cambria"/>
                <w:kern w:val="2"/>
                <w:sz w:val="20"/>
              </w:rPr>
              <w:t>kardiotokografų</w:t>
            </w:r>
            <w:proofErr w:type="spellEnd"/>
            <w:r w:rsidR="00E92C85" w:rsidRPr="00E92C85">
              <w:rPr>
                <w:rFonts w:ascii="Cambria" w:hAnsi="Cambria"/>
                <w:kern w:val="2"/>
                <w:sz w:val="20"/>
              </w:rPr>
              <w:t xml:space="preserve">) atnaujinimas ir sujungimas į centrinę </w:t>
            </w:r>
            <w:proofErr w:type="spellStart"/>
            <w:r w:rsidR="00E92C85" w:rsidRPr="00E92C85">
              <w:rPr>
                <w:rFonts w:ascii="Cambria" w:hAnsi="Cambria"/>
                <w:kern w:val="2"/>
                <w:sz w:val="20"/>
              </w:rPr>
              <w:t>monitoravimo</w:t>
            </w:r>
            <w:proofErr w:type="spellEnd"/>
            <w:r w:rsidR="00E92C85" w:rsidRPr="00E92C85">
              <w:rPr>
                <w:rFonts w:ascii="Cambria" w:hAnsi="Cambria"/>
                <w:kern w:val="2"/>
                <w:sz w:val="20"/>
              </w:rPr>
              <w:t xml:space="preserve"> stotį</w:t>
            </w:r>
            <w:r w:rsidRPr="00E92C85">
              <w:rPr>
                <w:rFonts w:ascii="Cambria" w:hAnsi="Cambria"/>
                <w:kern w:val="2"/>
                <w:sz w:val="20"/>
              </w:rPr>
              <w:t xml:space="preserve">“ </w:t>
            </w:r>
            <w:r w:rsidRPr="004521D8">
              <w:rPr>
                <w:rFonts w:ascii="Cambria" w:hAnsi="Cambria"/>
                <w:kern w:val="2"/>
                <w:sz w:val="20"/>
              </w:rPr>
              <w:t>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77777777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>
              <w:rPr>
                <w:rFonts w:ascii="Cambria" w:hAnsi="Cambria"/>
                <w:b/>
                <w:kern w:val="2"/>
                <w:sz w:val="20"/>
              </w:rPr>
              <w:t>8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>
              <w:rPr>
                <w:rFonts w:ascii="Cambria" w:hAnsi="Cambria"/>
                <w:b/>
                <w:kern w:val="2"/>
                <w:sz w:val="20"/>
              </w:rPr>
              <w:t>aštuonias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>
              <w:rPr>
                <w:rFonts w:ascii="Cambria" w:hAnsi="Cambria"/>
                <w:b/>
                <w:kern w:val="2"/>
                <w:sz w:val="20"/>
              </w:rPr>
              <w:t>tes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7BEE03BE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>Kitas su Prekėmis susijusias paslaugas (Sutarties specialiųjų sąlygų 3.1 punktas), t. y. Prekių instaliavimą</w:t>
            </w:r>
            <w:r w:rsidR="00A7320B">
              <w:rPr>
                <w:rFonts w:ascii="Cambria" w:hAnsi="Cambria"/>
                <w:sz w:val="20"/>
              </w:rPr>
              <w:t>/sumontavimą</w:t>
            </w:r>
            <w:r w:rsidRPr="00321EFD">
              <w:rPr>
                <w:rFonts w:ascii="Cambria" w:hAnsi="Cambria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po instaliavimo</w:t>
            </w:r>
            <w:r w:rsidR="00A7320B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 w:rsidTr="00A7320B">
        <w:trPr>
          <w:trHeight w:val="283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2308101D" w:rsidR="003470BD" w:rsidRDefault="003470BD" w:rsidP="00A7320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ir anglų 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 w:rsidR="00A7320B">
              <w:rPr>
                <w:rFonts w:ascii="Cambria" w:hAnsi="Cambria"/>
                <w:kern w:val="2"/>
                <w:sz w:val="20"/>
              </w:rPr>
              <w:t>8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(Techninės specifikacijos </w:t>
            </w:r>
            <w:r w:rsidR="00A7320B">
              <w:rPr>
                <w:rFonts w:ascii="Cambria" w:hAnsi="Cambria"/>
                <w:kern w:val="2"/>
                <w:sz w:val="20"/>
              </w:rPr>
              <w:t>8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075EF7E3" w14:textId="350B5597" w:rsidR="00A7320B" w:rsidRDefault="00A7320B" w:rsidP="00A7320B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Po paslaugų suteikimo t</w:t>
            </w:r>
            <w:r w:rsidRPr="00EC0314">
              <w:rPr>
                <w:rFonts w:ascii="Cambria" w:hAnsi="Cambria"/>
                <w:kern w:val="2"/>
                <w:sz w:val="20"/>
              </w:rPr>
              <w:t>uri būti pateikiamas Paslaugų perdavimo-priėmimo aktas</w:t>
            </w:r>
            <w:r>
              <w:rPr>
                <w:rFonts w:ascii="Cambria" w:hAnsi="Cambria"/>
                <w:kern w:val="2"/>
                <w:sz w:val="20"/>
              </w:rPr>
              <w:t>.</w:t>
            </w:r>
          </w:p>
          <w:p w14:paraId="73FFA04B" w14:textId="4636E4E3" w:rsidR="003470BD" w:rsidRPr="004D4B7E" w:rsidRDefault="003470BD" w:rsidP="00A7320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</w:t>
            </w:r>
            <w:r w:rsidR="00A7320B">
              <w:rPr>
                <w:rFonts w:ascii="Cambria" w:hAnsi="Cambria"/>
                <w:kern w:val="2"/>
                <w:sz w:val="20"/>
              </w:rPr>
              <w:t>/Paslaugos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Eur su PVM.</w:t>
            </w:r>
          </w:p>
          <w:p w14:paraId="313D1D71" w14:textId="4E9E7575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</w:t>
            </w:r>
            <w:r w:rsidR="00A7320B">
              <w:rPr>
                <w:rFonts w:ascii="Cambria" w:hAnsi="Cambria"/>
                <w:color w:val="000000"/>
                <w:kern w:val="2"/>
                <w:sz w:val="20"/>
              </w:rPr>
              <w:t>/Paslaugų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02A801EB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Jeigu Sutarties vykdymo metu pasikeičia PVM mokėjimą reglamentuojantys teisės aktai, darantys tiesioginę įtaką Tiekėjo tiekiamų Prekių</w:t>
            </w:r>
            <w:r w:rsidR="00A7320B">
              <w:rPr>
                <w:rFonts w:ascii="Cambria" w:hAnsi="Cambria"/>
                <w:kern w:val="2"/>
                <w:sz w:val="20"/>
              </w:rPr>
              <w:t>/teikiamų Paslaugų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Sutartyje nurodytai kainai / įkainiams, Sutarties kaina / įkainiai perskaičiuojami nekeičiant Prekių</w:t>
            </w:r>
            <w:r w:rsidR="00A7320B">
              <w:rPr>
                <w:rFonts w:ascii="Cambria" w:hAnsi="Cambria"/>
                <w:kern w:val="2"/>
                <w:sz w:val="20"/>
              </w:rPr>
              <w:t>/Paslaugų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kainos / įkainio be PVM. </w:t>
            </w:r>
          </w:p>
          <w:p w14:paraId="449693C2" w14:textId="78AE7391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Perskaičiavimas įforminamas Susitarimu ne vėliau kaip per 10 (dešimt) darbo dienų nuo PVM mokėjimą reglamentuojančių teisės aktų pasikeitimo, kuris </w:t>
            </w:r>
            <w:r w:rsidRPr="00321EFD">
              <w:rPr>
                <w:rFonts w:ascii="Cambria" w:hAnsi="Cambria"/>
                <w:kern w:val="2"/>
                <w:sz w:val="20"/>
              </w:rPr>
              <w:lastRenderedPageBreak/>
              <w:t>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už tą Prekių</w:t>
            </w:r>
            <w:r w:rsidR="00A7320B">
              <w:rPr>
                <w:rFonts w:ascii="Cambria" w:hAnsi="Cambria"/>
                <w:kern w:val="2"/>
                <w:sz w:val="20"/>
              </w:rPr>
              <w:t>/Paslaugų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DB0BB52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</w:t>
            </w:r>
            <w:r w:rsidR="00A7320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/Paslaugų suteikimo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61B42955" w:rsidR="00761236" w:rsidRDefault="003470BD" w:rsidP="00761236">
            <w:pPr>
              <w:jc w:val="both"/>
              <w:rPr>
                <w:rFonts w:ascii="Cambria" w:hAnsi="Cambria"/>
                <w:color w:val="2E74B5" w:themeColor="accent1" w:themeShade="BF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Prekėms nustatomas </w:t>
            </w:r>
            <w:r w:rsidRPr="00761236">
              <w:rPr>
                <w:rFonts w:ascii="Cambria" w:hAnsi="Cambria"/>
                <w:kern w:val="2"/>
                <w:sz w:val="20"/>
              </w:rPr>
              <w:t xml:space="preserve">Techninėje specifikacijoje nustatytas </w:t>
            </w:r>
            <w:r w:rsidRPr="00761236">
              <w:rPr>
                <w:rFonts w:ascii="Cambria" w:hAnsi="Cambria"/>
                <w:sz w:val="20"/>
              </w:rPr>
              <w:t xml:space="preserve">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761236" w:rsidRPr="00321EFD">
              <w:rPr>
                <w:rFonts w:ascii="Cambria" w:hAnsi="Cambria"/>
                <w:color w:val="4472C4"/>
                <w:kern w:val="2"/>
                <w:sz w:val="20"/>
              </w:rPr>
              <w:t>(įrašyti terminą</w:t>
            </w:r>
            <w:r w:rsidR="00761236" w:rsidRPr="00F53592">
              <w:rPr>
                <w:rFonts w:ascii="Cambria" w:hAnsi="Cambria"/>
                <w:color w:val="2E74B5" w:themeColor="accent1" w:themeShade="BF"/>
                <w:kern w:val="2"/>
                <w:sz w:val="20"/>
              </w:rPr>
              <w:t>)</w:t>
            </w:r>
            <w:r w:rsidR="00761236">
              <w:rPr>
                <w:rFonts w:ascii="Cambria" w:hAnsi="Cambria"/>
                <w:color w:val="2E74B5" w:themeColor="accent1" w:themeShade="BF"/>
                <w:kern w:val="2"/>
                <w:sz w:val="20"/>
              </w:rPr>
              <w:t>.</w:t>
            </w:r>
          </w:p>
          <w:p w14:paraId="5290D4C5" w14:textId="2DB96267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A7320B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A7320B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A7320B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A7320B">
              <w:rPr>
                <w:rFonts w:ascii="Cambria" w:hAnsi="Cambria"/>
                <w:sz w:val="20"/>
              </w:rPr>
              <w:t xml:space="preserve"> per</w:t>
            </w:r>
            <w:r w:rsidR="00761236" w:rsidRPr="00A7320B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A7320B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A7320B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A7320B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45B997AB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Jei Pirkėjas, gavęs tinkamai pateiktą ir užpildytą Sąskaitą, uždelsia atsiskaityti už tinkamai Tiekėjo perduotas kokybiškas Prekes</w:t>
            </w:r>
            <w:r w:rsidR="00A7320B">
              <w:rPr>
                <w:rFonts w:ascii="Cambria" w:hAnsi="Cambria"/>
                <w:color w:val="000000"/>
                <w:kern w:val="2"/>
                <w:sz w:val="20"/>
              </w:rPr>
              <w:t>/suteiktas Paslaugas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0CC83776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</w:t>
            </w:r>
            <w:r w:rsidR="00A7320B">
              <w:rPr>
                <w:rFonts w:ascii="Cambria" w:hAnsi="Cambria"/>
                <w:color w:val="000000"/>
                <w:kern w:val="2"/>
                <w:sz w:val="20"/>
              </w:rPr>
              <w:t>/teikti Paslaugas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</w:t>
            </w:r>
            <w:r w:rsidR="00A7320B">
              <w:rPr>
                <w:rFonts w:ascii="Cambria" w:hAnsi="Cambria"/>
                <w:kern w:val="2"/>
                <w:sz w:val="20"/>
              </w:rPr>
              <w:t>/suteiktų Paslaugų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ar Prekių</w:t>
            </w:r>
            <w:r w:rsidR="00A7320B">
              <w:rPr>
                <w:rFonts w:ascii="Cambria" w:hAnsi="Cambria"/>
                <w:kern w:val="2"/>
                <w:sz w:val="20"/>
              </w:rPr>
              <w:t>/Paslaugų</w:t>
            </w:r>
            <w:r w:rsidRPr="00F81B10">
              <w:rPr>
                <w:rFonts w:ascii="Cambria" w:hAnsi="Cambria"/>
                <w:kern w:val="2"/>
                <w:sz w:val="20"/>
              </w:rPr>
              <w:t>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A7320B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A7320B" w:rsidRPr="004D4B7E" w:rsidRDefault="00A7320B" w:rsidP="00A7320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7F5BB59E" w:rsidR="00A7320B" w:rsidRPr="004D4B7E" w:rsidRDefault="00A7320B" w:rsidP="00A7320B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7F01A3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A7320B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A7320B" w:rsidRPr="004D4B7E" w:rsidRDefault="00A7320B" w:rsidP="00A7320B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2950A9E7" w:rsidR="00A7320B" w:rsidRPr="004D4B7E" w:rsidRDefault="00A7320B" w:rsidP="00A7320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7F01A3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53559283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12.2.2. jeigu Tiekėjas nesilaiko Sutartyje nustatytų Prekių tiekimo</w:t>
            </w:r>
            <w:r w:rsidR="00A7320B">
              <w:rPr>
                <w:rFonts w:ascii="Cambria" w:eastAsia="Arial" w:hAnsi="Cambria"/>
                <w:kern w:val="2"/>
                <w:sz w:val="20"/>
              </w:rPr>
              <w:t>/Paslaugų teikimo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terminų 2 (du) kartus iš eilės arba vėluoja pristatyti Prekes</w:t>
            </w:r>
            <w:r w:rsidR="00A7320B">
              <w:rPr>
                <w:rFonts w:ascii="Cambria" w:eastAsia="Arial" w:hAnsi="Cambria"/>
                <w:kern w:val="2"/>
                <w:sz w:val="20"/>
              </w:rPr>
              <w:t>/suteikti Pasl</w:t>
            </w:r>
            <w:r w:rsidR="00040582">
              <w:rPr>
                <w:rFonts w:ascii="Cambria" w:eastAsia="Arial" w:hAnsi="Cambria"/>
                <w:kern w:val="2"/>
                <w:sz w:val="20"/>
              </w:rPr>
              <w:t>a</w:t>
            </w:r>
            <w:r w:rsidR="00A7320B">
              <w:rPr>
                <w:rFonts w:ascii="Cambria" w:eastAsia="Arial" w:hAnsi="Cambria"/>
                <w:kern w:val="2"/>
                <w:sz w:val="20"/>
              </w:rPr>
              <w:t>ugas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</w:t>
            </w:r>
            <w:r w:rsidR="00A7320B">
              <w:rPr>
                <w:rFonts w:ascii="Cambria" w:eastAsia="Arial" w:hAnsi="Cambria"/>
                <w:kern w:val="2"/>
                <w:sz w:val="20"/>
              </w:rPr>
              <w:t>/Paslaugų suteikimo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terminas;</w:t>
            </w:r>
          </w:p>
          <w:p w14:paraId="05A87196" w14:textId="320F24F8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</w:t>
            </w:r>
            <w:r w:rsidR="00040582">
              <w:rPr>
                <w:rFonts w:ascii="Cambria" w:eastAsia="Arial" w:hAnsi="Cambria"/>
                <w:kern w:val="2"/>
                <w:sz w:val="20"/>
              </w:rPr>
              <w:t>/Paslaugų suteikimo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terminus ir priskaičiuotų netesybų už vėlavimą suma viršija 20 (dvidešimt) proc. Pradinės sutarties vertės;</w:t>
            </w:r>
          </w:p>
          <w:p w14:paraId="2A1A4CA7" w14:textId="361C295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</w:t>
            </w:r>
            <w:r w:rsidR="00040582">
              <w:rPr>
                <w:rFonts w:ascii="Cambria" w:eastAsia="Arial" w:hAnsi="Cambria"/>
                <w:kern w:val="2"/>
                <w:sz w:val="20"/>
              </w:rPr>
              <w:t>/Paslaugų suteikimo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terminus ir dėl Prekių pristatymo</w:t>
            </w:r>
            <w:r w:rsidR="00040582">
              <w:rPr>
                <w:rFonts w:ascii="Cambria" w:eastAsia="Arial" w:hAnsi="Cambria"/>
                <w:kern w:val="2"/>
                <w:sz w:val="20"/>
              </w:rPr>
              <w:t>/Paslaugų suteikimo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vėlavimo Prekės</w:t>
            </w:r>
            <w:r w:rsidR="00040582">
              <w:rPr>
                <w:rFonts w:ascii="Cambria" w:eastAsia="Arial" w:hAnsi="Cambria"/>
                <w:kern w:val="2"/>
                <w:sz w:val="20"/>
              </w:rPr>
              <w:t>/Paslaugos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tampa nebereikalingos;</w:t>
            </w:r>
          </w:p>
          <w:p w14:paraId="4DFB6F3F" w14:textId="75DE390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</w:t>
            </w:r>
            <w:r w:rsidR="00040582">
              <w:rPr>
                <w:rFonts w:ascii="Cambria" w:eastAsia="Arial" w:hAnsi="Cambria"/>
                <w:kern w:val="2"/>
                <w:sz w:val="20"/>
              </w:rPr>
              <w:t>/suteikia Paslaugas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>, kurios neatitinka Sutartyje ir (ar) Įstatymuose nustatytų reikalavimų Prekėms</w:t>
            </w:r>
            <w:r w:rsidR="00040582">
              <w:rPr>
                <w:rFonts w:ascii="Cambria" w:eastAsia="Arial" w:hAnsi="Cambria"/>
                <w:kern w:val="2"/>
                <w:sz w:val="20"/>
              </w:rPr>
              <w:t>/Paslaugoms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>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139E71E2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Aplinkosauginiai kriterijai Prekėms</w:t>
            </w:r>
            <w:r w:rsidR="00040582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/Paslaugoms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4E6FE4E5" w14:textId="77777777" w:rsidR="00040582" w:rsidRPr="00A701FD" w:rsidRDefault="00040582" w:rsidP="00040582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Tiekėjas privalo Prekes atvežti Pirkėjui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/atvykti suteikti paslaugas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ne kelių eismo piko valandomis, pirmadieniais − penktadieniais nuo 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:00 iki 15:00 val. ir trumpiausiais galimais maršrutais. Už Prekių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/paslaugų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priėmimą atsakingas Pirkėjo atstovas, nurodytas šios Specialiųjų sąlygų 2.1 punkte, priimdamas Prekes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/paslaugas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fiziškai įsitikina, ar Tiekėjas Prekes pristatė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/atvyko suteikti Paslaugas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ne kelių eismo piko valandomis. Pirkėjas 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35AD0939" w:rsidR="00040582" w:rsidRPr="0017788A" w:rsidRDefault="00040582" w:rsidP="00040582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1966A622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</w:t>
            </w:r>
            <w:r w:rsidR="00040582">
              <w:rPr>
                <w:rFonts w:ascii="Cambria" w:hAnsi="Cambria"/>
                <w:bCs/>
                <w:kern w:val="2"/>
                <w:sz w:val="20"/>
              </w:rPr>
              <w:t>/Paslaugų</w:t>
            </w: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3470BD" w:rsidRPr="004D4B7E" w:rsidRDefault="003470BD" w:rsidP="003470BD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12001629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</w:t>
      </w:r>
      <w:r w:rsidR="008345FA">
        <w:rPr>
          <w:rFonts w:ascii="Cambria" w:hAnsi="Cambria"/>
          <w:sz w:val="20"/>
        </w:rPr>
        <w:t>/PASLAUGŲ</w:t>
      </w:r>
      <w:r w:rsidRPr="00321EFD">
        <w:rPr>
          <w:rFonts w:ascii="Cambria" w:hAnsi="Cambria"/>
          <w:sz w:val="20"/>
        </w:rPr>
        <w:t xml:space="preserve"> ŽINIARAŠTIS</w:t>
      </w:r>
    </w:p>
    <w:p w14:paraId="285ED207" w14:textId="58AC13AF" w:rsidR="00040582" w:rsidRDefault="00040582" w:rsidP="001B1B21">
      <w:pPr>
        <w:jc w:val="center"/>
        <w:rPr>
          <w:rFonts w:ascii="Cambria" w:hAnsi="Cambria"/>
          <w:sz w:val="20"/>
        </w:rPr>
      </w:pPr>
    </w:p>
    <w:tbl>
      <w:tblPr>
        <w:tblW w:w="11069" w:type="dxa"/>
        <w:tblInd w:w="-998" w:type="dxa"/>
        <w:tblLook w:val="04A0" w:firstRow="1" w:lastRow="0" w:firstColumn="1" w:lastColumn="0" w:noHBand="0" w:noVBand="1"/>
      </w:tblPr>
      <w:tblGrid>
        <w:gridCol w:w="777"/>
        <w:gridCol w:w="3625"/>
        <w:gridCol w:w="2122"/>
        <w:gridCol w:w="800"/>
        <w:gridCol w:w="795"/>
        <w:gridCol w:w="993"/>
        <w:gridCol w:w="980"/>
        <w:gridCol w:w="977"/>
      </w:tblGrid>
      <w:tr w:rsidR="00040582" w:rsidRPr="00040582" w14:paraId="537C3AF1" w14:textId="77777777" w:rsidTr="00040582">
        <w:trPr>
          <w:trHeight w:val="72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C677B" w14:textId="77777777" w:rsidR="00040582" w:rsidRDefault="00040582" w:rsidP="00040582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b/>
                <w:bCs/>
                <w:sz w:val="20"/>
                <w:lang w:eastAsia="lt-LT"/>
              </w:rPr>
              <w:t>Eil.</w:t>
            </w:r>
          </w:p>
          <w:p w14:paraId="3A20DACF" w14:textId="784B7174" w:rsidR="00040582" w:rsidRPr="00040582" w:rsidRDefault="00040582" w:rsidP="00040582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bookmarkStart w:id="0" w:name="_GoBack"/>
            <w:bookmarkEnd w:id="0"/>
            <w:r w:rsidRPr="00040582">
              <w:rPr>
                <w:rFonts w:ascii="Cambria" w:hAnsi="Cambria" w:cs="Calibri"/>
                <w:b/>
                <w:bCs/>
                <w:sz w:val="20"/>
                <w:lang w:eastAsia="lt-LT"/>
              </w:rPr>
              <w:t>Nr.</w:t>
            </w:r>
          </w:p>
        </w:tc>
        <w:tc>
          <w:tcPr>
            <w:tcW w:w="3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7141D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b/>
                <w:bCs/>
                <w:sz w:val="20"/>
                <w:lang w:eastAsia="lt-LT"/>
              </w:rPr>
              <w:t>Prekių/paslaugų pavadinimas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B5902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453E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391B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BBFD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040582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CA6E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040582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98A1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040582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040582" w:rsidRPr="00040582" w14:paraId="41FCB257" w14:textId="77777777" w:rsidTr="00040582">
        <w:trPr>
          <w:trHeight w:val="349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E2377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b/>
                <w:bCs/>
                <w:sz w:val="20"/>
                <w:lang w:eastAsia="lt-LT"/>
              </w:rPr>
              <w:t>1.</w:t>
            </w:r>
          </w:p>
        </w:tc>
        <w:tc>
          <w:tcPr>
            <w:tcW w:w="102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DD365FE" w14:textId="77777777" w:rsidR="00040582" w:rsidRPr="00040582" w:rsidRDefault="00040582" w:rsidP="00040582">
            <w:pPr>
              <w:jc w:val="both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Vaisiaus monitorių aparatūrinė įranga </w:t>
            </w:r>
            <w:r w:rsidRPr="00040582">
              <w:rPr>
                <w:rFonts w:ascii="Cambria" w:hAnsi="Cambria" w:cs="Calibri"/>
                <w:b/>
                <w:bCs/>
                <w:i/>
                <w:iCs/>
                <w:sz w:val="20"/>
                <w:lang w:eastAsia="lt-LT"/>
              </w:rPr>
              <w:t xml:space="preserve">(angl. </w:t>
            </w:r>
            <w:proofErr w:type="spellStart"/>
            <w:r w:rsidRPr="00040582">
              <w:rPr>
                <w:rFonts w:ascii="Cambria" w:hAnsi="Cambria" w:cs="Calibri"/>
                <w:b/>
                <w:bCs/>
                <w:i/>
                <w:iCs/>
                <w:sz w:val="20"/>
                <w:lang w:eastAsia="lt-LT"/>
              </w:rPr>
              <w:t>hardware</w:t>
            </w:r>
            <w:proofErr w:type="spellEnd"/>
            <w:r w:rsidRPr="00040582">
              <w:rPr>
                <w:rFonts w:ascii="Cambria" w:hAnsi="Cambria" w:cs="Calibri"/>
                <w:b/>
                <w:bCs/>
                <w:i/>
                <w:iCs/>
                <w:sz w:val="20"/>
                <w:lang w:eastAsia="lt-LT"/>
              </w:rPr>
              <w:t xml:space="preserve">) </w:t>
            </w:r>
            <w:r w:rsidRPr="00040582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ir programinė įranga </w:t>
            </w:r>
            <w:proofErr w:type="spellStart"/>
            <w:r w:rsidRPr="00040582">
              <w:rPr>
                <w:rFonts w:ascii="Cambria" w:hAnsi="Cambria" w:cs="Calibri"/>
                <w:b/>
                <w:bCs/>
                <w:sz w:val="20"/>
                <w:lang w:eastAsia="lt-LT"/>
              </w:rPr>
              <w:t>kardiotopografų</w:t>
            </w:r>
            <w:proofErr w:type="spellEnd"/>
            <w:r w:rsidRPr="00040582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 atnaujinimui ir pajungimui į serverį:</w:t>
            </w:r>
          </w:p>
        </w:tc>
      </w:tr>
      <w:tr w:rsidR="00040582" w:rsidRPr="00040582" w14:paraId="42CDB4CA" w14:textId="77777777" w:rsidTr="00040582">
        <w:trPr>
          <w:trHeight w:val="20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2911E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1.1.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5F9BF" w14:textId="77777777" w:rsidR="00040582" w:rsidRPr="00040582" w:rsidRDefault="00040582" w:rsidP="00040582">
            <w:pPr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 xml:space="preserve">Aparatūrinės įrangos atnaujinimas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B0A07" w14:textId="77777777" w:rsidR="00040582" w:rsidRPr="00040582" w:rsidRDefault="00040582" w:rsidP="00040582">
            <w:pPr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68E9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9F96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41BD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E06D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9DAD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</w:tr>
      <w:tr w:rsidR="00040582" w:rsidRPr="00040582" w14:paraId="5FA7C1D9" w14:textId="77777777" w:rsidTr="00040582">
        <w:trPr>
          <w:trHeight w:val="20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D7309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1.2.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30F4F" w14:textId="77777777" w:rsidR="00040582" w:rsidRPr="00040582" w:rsidRDefault="00040582" w:rsidP="00040582">
            <w:pPr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 xml:space="preserve">Programinės įrangos atnaujinimas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513F" w14:textId="77777777" w:rsidR="00040582" w:rsidRPr="00040582" w:rsidRDefault="00040582" w:rsidP="00040582">
            <w:pPr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A7FD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8767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42DF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57A7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780F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</w:tr>
      <w:tr w:rsidR="00040582" w:rsidRPr="00040582" w14:paraId="27D4BEDC" w14:textId="77777777" w:rsidTr="00040582">
        <w:trPr>
          <w:trHeight w:val="32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C478F9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b/>
                <w:bCs/>
                <w:sz w:val="20"/>
                <w:lang w:eastAsia="lt-LT"/>
              </w:rPr>
              <w:t>2.</w:t>
            </w:r>
          </w:p>
        </w:tc>
        <w:tc>
          <w:tcPr>
            <w:tcW w:w="102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961CBD0" w14:textId="77777777" w:rsidR="00040582" w:rsidRPr="00040582" w:rsidRDefault="00040582" w:rsidP="00040582">
            <w:pPr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b/>
                <w:bCs/>
                <w:sz w:val="20"/>
                <w:lang w:eastAsia="lt-LT"/>
              </w:rPr>
              <w:t>Virtuali tarnybinė stotis ir licencijos prisijungimui prie stebėjimo serverio iš 3-jų vietų:</w:t>
            </w:r>
          </w:p>
        </w:tc>
      </w:tr>
      <w:tr w:rsidR="00040582" w:rsidRPr="00040582" w14:paraId="44C90788" w14:textId="77777777" w:rsidTr="00040582">
        <w:trPr>
          <w:trHeight w:val="494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ABEA9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2.1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130D6" w14:textId="77777777" w:rsidR="00040582" w:rsidRPr="00040582" w:rsidRDefault="00040582" w:rsidP="00040582">
            <w:pPr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Virtuali tarnybinė stotis su galimybe stebėti iš 3-jų darbo vietų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B5A9C" w14:textId="77777777" w:rsidR="00040582" w:rsidRPr="00040582" w:rsidRDefault="00040582" w:rsidP="00040582">
            <w:pPr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D67C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1549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5ADF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168C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C450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</w:tr>
      <w:tr w:rsidR="00040582" w:rsidRPr="00040582" w14:paraId="79D9DD03" w14:textId="77777777" w:rsidTr="00040582">
        <w:trPr>
          <w:trHeight w:val="82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2B768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2.2.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0A2B" w14:textId="77777777" w:rsidR="00040582" w:rsidRPr="00040582" w:rsidRDefault="00040582" w:rsidP="00040582">
            <w:pPr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 xml:space="preserve">Virtualios tarnybinės stoties programinė įranga duomenų centralizavimui (licencija 14-ai </w:t>
            </w:r>
            <w:proofErr w:type="spellStart"/>
            <w:r w:rsidRPr="00040582">
              <w:rPr>
                <w:rFonts w:ascii="Cambria" w:hAnsi="Cambria" w:cs="Calibri"/>
                <w:sz w:val="20"/>
                <w:lang w:eastAsia="lt-LT"/>
              </w:rPr>
              <w:t>kardiotokografų</w:t>
            </w:r>
            <w:proofErr w:type="spellEnd"/>
            <w:r w:rsidRPr="00040582">
              <w:rPr>
                <w:rFonts w:ascii="Cambria" w:hAnsi="Cambria" w:cs="Calibri"/>
                <w:sz w:val="20"/>
                <w:lang w:eastAsia="lt-LT"/>
              </w:rPr>
              <w:t xml:space="preserve"> sujungti)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9D0FC" w14:textId="77777777" w:rsidR="00040582" w:rsidRPr="00040582" w:rsidRDefault="00040582" w:rsidP="00040582">
            <w:pPr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4AAE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040582">
              <w:rPr>
                <w:rFonts w:ascii="Cambria" w:hAnsi="Cambria" w:cs="Calibri"/>
                <w:color w:val="000000"/>
                <w:sz w:val="20"/>
                <w:lang w:eastAsia="lt-LT"/>
              </w:rPr>
              <w:t>kompl</w:t>
            </w:r>
            <w:proofErr w:type="spellEnd"/>
            <w:r w:rsidRPr="00040582">
              <w:rPr>
                <w:rFonts w:ascii="Cambria" w:hAnsi="Cambria" w:cs="Calibri"/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EE39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C1AB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A978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2D19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</w:tr>
      <w:tr w:rsidR="00040582" w:rsidRPr="00040582" w14:paraId="2DD56932" w14:textId="77777777" w:rsidTr="00040582">
        <w:trPr>
          <w:trHeight w:val="615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0C07D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2.3.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553C0" w14:textId="77777777" w:rsidR="00040582" w:rsidRPr="00040582" w:rsidRDefault="00040582" w:rsidP="00040582">
            <w:pPr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Programinė įranga stebėjimo punktams (licencija 3-ims stebėjimo stočių vietoms)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ACC82" w14:textId="77777777" w:rsidR="00040582" w:rsidRPr="00040582" w:rsidRDefault="00040582" w:rsidP="00040582">
            <w:pPr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764F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A1CC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D491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A720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5869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</w:tr>
      <w:tr w:rsidR="00040582" w:rsidRPr="00040582" w14:paraId="286176FD" w14:textId="77777777" w:rsidTr="00040582">
        <w:trPr>
          <w:trHeight w:val="301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16DB7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b/>
                <w:bCs/>
                <w:sz w:val="20"/>
                <w:lang w:eastAsia="lt-LT"/>
              </w:rPr>
              <w:t>3.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AFB6B" w14:textId="77777777" w:rsidR="00040582" w:rsidRPr="00040582" w:rsidRDefault="00040582" w:rsidP="00040582">
            <w:pPr>
              <w:jc w:val="both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Atnaujinimo ir sujungimo į centrinę </w:t>
            </w:r>
            <w:proofErr w:type="spellStart"/>
            <w:r w:rsidRPr="00040582">
              <w:rPr>
                <w:rFonts w:ascii="Cambria" w:hAnsi="Cambria" w:cs="Calibri"/>
                <w:b/>
                <w:bCs/>
                <w:sz w:val="20"/>
                <w:lang w:eastAsia="lt-LT"/>
              </w:rPr>
              <w:t>monitoravimo</w:t>
            </w:r>
            <w:proofErr w:type="spellEnd"/>
            <w:r w:rsidRPr="00040582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 stotį paslauga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0E1E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4B00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F806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BA6C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9C92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sz w:val="20"/>
                <w:lang w:eastAsia="lt-LT"/>
              </w:rPr>
              <w:t> </w:t>
            </w:r>
          </w:p>
        </w:tc>
      </w:tr>
      <w:tr w:rsidR="00040582" w:rsidRPr="00040582" w14:paraId="318B355F" w14:textId="77777777" w:rsidTr="00040582">
        <w:trPr>
          <w:trHeight w:val="241"/>
        </w:trPr>
        <w:tc>
          <w:tcPr>
            <w:tcW w:w="10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E9BC1" w14:textId="7FA177BF" w:rsidR="00040582" w:rsidRPr="00040582" w:rsidRDefault="00040582" w:rsidP="0004058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1EC5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040582" w:rsidRPr="00040582" w14:paraId="6F0BCB3D" w14:textId="77777777" w:rsidTr="00040582">
        <w:trPr>
          <w:trHeight w:val="241"/>
        </w:trPr>
        <w:tc>
          <w:tcPr>
            <w:tcW w:w="10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B5421" w14:textId="595591D9" w:rsidR="00040582" w:rsidRPr="00040582" w:rsidRDefault="00040582" w:rsidP="0004058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4EEE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040582" w:rsidRPr="00040582" w14:paraId="36838E38" w14:textId="77777777" w:rsidTr="00040582">
        <w:trPr>
          <w:trHeight w:val="241"/>
        </w:trPr>
        <w:tc>
          <w:tcPr>
            <w:tcW w:w="100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0C7A4" w14:textId="36221389" w:rsidR="00040582" w:rsidRPr="00040582" w:rsidRDefault="00040582" w:rsidP="00040582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A863" w14:textId="77777777" w:rsidR="00040582" w:rsidRPr="00040582" w:rsidRDefault="00040582" w:rsidP="00040582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040582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53335" w14:textId="77777777" w:rsidR="001568E2" w:rsidRDefault="001568E2">
      <w:r>
        <w:separator/>
      </w:r>
    </w:p>
  </w:endnote>
  <w:endnote w:type="continuationSeparator" w:id="0">
    <w:p w14:paraId="2C21FE89" w14:textId="77777777" w:rsidR="001568E2" w:rsidRDefault="0015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22A04" w14:textId="77777777" w:rsidR="001568E2" w:rsidRDefault="001568E2">
      <w:r>
        <w:separator/>
      </w:r>
    </w:p>
  </w:footnote>
  <w:footnote w:type="continuationSeparator" w:id="0">
    <w:p w14:paraId="1EB603D2" w14:textId="77777777" w:rsidR="001568E2" w:rsidRDefault="0015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40582"/>
    <w:rsid w:val="000A4B04"/>
    <w:rsid w:val="001568E2"/>
    <w:rsid w:val="0017788A"/>
    <w:rsid w:val="00195A1F"/>
    <w:rsid w:val="001B1B21"/>
    <w:rsid w:val="001B2EB7"/>
    <w:rsid w:val="00201517"/>
    <w:rsid w:val="00202E5E"/>
    <w:rsid w:val="002F0B5F"/>
    <w:rsid w:val="002F538F"/>
    <w:rsid w:val="003470BD"/>
    <w:rsid w:val="003B2818"/>
    <w:rsid w:val="003E5D1D"/>
    <w:rsid w:val="004907C1"/>
    <w:rsid w:val="004D4B7E"/>
    <w:rsid w:val="00541169"/>
    <w:rsid w:val="005828DD"/>
    <w:rsid w:val="00587E3C"/>
    <w:rsid w:val="00617C60"/>
    <w:rsid w:val="006576ED"/>
    <w:rsid w:val="00761236"/>
    <w:rsid w:val="007919E1"/>
    <w:rsid w:val="007E7705"/>
    <w:rsid w:val="007F1803"/>
    <w:rsid w:val="008345FA"/>
    <w:rsid w:val="008E4772"/>
    <w:rsid w:val="00921493"/>
    <w:rsid w:val="00966341"/>
    <w:rsid w:val="009A0319"/>
    <w:rsid w:val="00A7320B"/>
    <w:rsid w:val="00B1016E"/>
    <w:rsid w:val="00B20913"/>
    <w:rsid w:val="00B767F3"/>
    <w:rsid w:val="00DA703E"/>
    <w:rsid w:val="00DD7479"/>
    <w:rsid w:val="00E92C85"/>
    <w:rsid w:val="00EF3B62"/>
    <w:rsid w:val="00F02B08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10465</Words>
  <Characters>5966</Characters>
  <Application>Microsoft Office Word</Application>
  <DocSecurity>0</DocSecurity>
  <Lines>49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2025-08-20T09:17:00Z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