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veikiančio (-</w:t>
      </w:r>
      <w:proofErr w:type="spellStart"/>
      <w:r w:rsidRPr="00007037">
        <w:rPr>
          <w:rFonts w:eastAsia="Calibri" w:cs="Times New Roman"/>
          <w:kern w:val="0"/>
          <w:sz w:val="22"/>
          <w14:ligatures w14:val="none"/>
        </w:rPr>
        <w:t>ios</w:t>
      </w:r>
      <w:proofErr w:type="spellEnd"/>
      <w:r w:rsidRPr="00007037">
        <w:rPr>
          <w:rFonts w:eastAsia="Calibri" w:cs="Times New Roman"/>
          <w:kern w:val="0"/>
          <w:sz w:val="22"/>
          <w14:ligatures w14:val="none"/>
        </w:rPr>
        <w:t xml:space="preserve">)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632FFA19"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w:t>
            </w:r>
            <w:r w:rsidR="00E57126">
              <w:rPr>
                <w:rFonts w:eastAsia="Calibri" w:cs="Times New Roman"/>
                <w:kern w:val="0"/>
                <w:sz w:val="22"/>
                <w14:ligatures w14:val="none"/>
              </w:rPr>
              <w:t xml:space="preserve"> Sutarties įsigaliojimo diena.</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175903FF" w:rsidR="00007037" w:rsidRPr="00E96F1B" w:rsidRDefault="00007037" w:rsidP="00007037">
            <w:pPr>
              <w:jc w:val="both"/>
              <w:rPr>
                <w:rFonts w:eastAsia="Calibri" w:cs="Times New Roman"/>
                <w:kern w:val="0"/>
                <w:sz w:val="22"/>
                <w:highlight w:val="yellow"/>
                <w14:ligatures w14:val="none"/>
              </w:rPr>
            </w:pPr>
            <w:r w:rsidRPr="003D641D">
              <w:rPr>
                <w:rFonts w:eastAsia="Calibri" w:cs="Times New Roman"/>
                <w:b/>
                <w:kern w:val="0"/>
                <w:sz w:val="22"/>
                <w14:ligatures w14:val="none"/>
              </w:rPr>
              <w:t>Sutarties galiojimas</w:t>
            </w:r>
            <w:r w:rsidRPr="003D641D">
              <w:rPr>
                <w:rFonts w:eastAsia="Calibri" w:cs="Times New Roman"/>
                <w:kern w:val="0"/>
                <w:sz w:val="22"/>
                <w14:ligatures w14:val="none"/>
              </w:rPr>
              <w:t xml:space="preserve"> – </w:t>
            </w:r>
            <w:r w:rsidRPr="003D641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3D641D">
              <w:rPr>
                <w:rFonts w:eastAsia="Times New Roman" w:cs="Times New Roman"/>
                <w:b/>
                <w:bCs/>
                <w:kern w:val="0"/>
                <w:sz w:val="22"/>
                <w14:ligatures w14:val="none"/>
              </w:rPr>
              <w:t xml:space="preserve">bet ne ilgiau kaip </w:t>
            </w:r>
            <w:r w:rsidR="005D7106" w:rsidRPr="003D641D">
              <w:rPr>
                <w:rFonts w:eastAsia="Times New Roman" w:cs="Times New Roman"/>
                <w:b/>
                <w:bCs/>
                <w:kern w:val="0"/>
                <w:sz w:val="22"/>
                <w14:ligatures w14:val="none"/>
              </w:rPr>
              <w:t xml:space="preserve">15 </w:t>
            </w:r>
            <w:r w:rsidRPr="003D641D">
              <w:rPr>
                <w:rFonts w:eastAsia="Times New Roman" w:cs="Times New Roman"/>
                <w:b/>
                <w:bCs/>
                <w:kern w:val="0"/>
                <w:sz w:val="22"/>
                <w14:ligatures w14:val="none"/>
              </w:rPr>
              <w:t>mėn</w:t>
            </w:r>
            <w:r w:rsidRPr="003D641D">
              <w:rPr>
                <w:rFonts w:eastAsia="Times New Roman" w:cs="Times New Roman"/>
                <w:kern w:val="0"/>
                <w:sz w:val="22"/>
                <w14:ligatures w14:val="none"/>
              </w:rPr>
              <w:t xml:space="preserve">. nuo sutarties įsigaliojimo dienos įskaitant </w:t>
            </w:r>
            <w:r w:rsidR="0086454F">
              <w:rPr>
                <w:rFonts w:eastAsia="Times New Roman" w:cs="Times New Roman"/>
                <w:kern w:val="0"/>
                <w:sz w:val="22"/>
                <w14:ligatures w14:val="none"/>
              </w:rPr>
              <w:t xml:space="preserve">visus galimus pratęsimus ir </w:t>
            </w:r>
            <w:r w:rsidRPr="003D641D">
              <w:rPr>
                <w:rFonts w:eastAsia="Times New Roman" w:cs="Times New Roman"/>
                <w:kern w:val="0"/>
                <w:sz w:val="22"/>
                <w14:ligatures w14:val="none"/>
              </w:rPr>
              <w:t xml:space="preserve">apmokėjimo </w:t>
            </w:r>
            <w:r w:rsidR="006223DC" w:rsidRPr="003D641D">
              <w:rPr>
                <w:rFonts w:eastAsia="Times New Roman" w:cs="Times New Roman"/>
                <w:kern w:val="0"/>
                <w:sz w:val="22"/>
                <w14:ligatures w14:val="none"/>
              </w:rPr>
              <w:t>terminą</w:t>
            </w:r>
            <w:r w:rsidRPr="003D641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429A8033" w:rsidR="00565A69" w:rsidRPr="005D7106"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b/>
                <w:bCs/>
                <w:noProof/>
                <w:kern w:val="0"/>
                <w:sz w:val="22"/>
                <w:lang w:eastAsia="lt-LT"/>
                <w14:ligatures w14:val="none"/>
              </w:rPr>
              <w:t xml:space="preserve">Sutarties dalykas yra – </w:t>
            </w:r>
            <w:r w:rsidR="00B1087A" w:rsidRPr="00B1087A">
              <w:rPr>
                <w:rFonts w:eastAsia="Calibri" w:cs="Times New Roman"/>
                <w:b/>
                <w:bCs/>
                <w:color w:val="000000"/>
                <w:kern w:val="0"/>
                <w:sz w:val="22"/>
                <w:lang w:eastAsia="lt-LT"/>
                <w14:ligatures w14:val="none"/>
              </w:rPr>
              <w:t>p</w:t>
            </w:r>
            <w:r w:rsidR="00B1087A" w:rsidRPr="00B1087A">
              <w:rPr>
                <w:rFonts w:eastAsia="Times New Roman" w:cs="Times New Roman"/>
                <w:b/>
                <w:bCs/>
                <w:color w:val="000000"/>
                <w:kern w:val="0"/>
                <w:sz w:val="22"/>
                <w:lang w:eastAsia="lt-LT"/>
                <w14:ligatures w14:val="none"/>
              </w:rPr>
              <w:t xml:space="preserve">ėsčiųjų-dviračių tako Kupiškio m. </w:t>
            </w:r>
            <w:proofErr w:type="spellStart"/>
            <w:r w:rsidR="00B1087A" w:rsidRPr="00B1087A">
              <w:rPr>
                <w:rFonts w:eastAsia="Times New Roman" w:cs="Times New Roman"/>
                <w:b/>
                <w:bCs/>
                <w:color w:val="000000"/>
                <w:kern w:val="0"/>
                <w:sz w:val="22"/>
                <w:lang w:eastAsia="lt-LT"/>
                <w14:ligatures w14:val="none"/>
              </w:rPr>
              <w:t>Krasnavos</w:t>
            </w:r>
            <w:proofErr w:type="spellEnd"/>
            <w:r w:rsidR="00B1087A" w:rsidRPr="00B1087A">
              <w:rPr>
                <w:rFonts w:eastAsia="Times New Roman" w:cs="Times New Roman"/>
                <w:b/>
                <w:bCs/>
                <w:color w:val="000000"/>
                <w:kern w:val="0"/>
                <w:sz w:val="22"/>
                <w:lang w:eastAsia="lt-LT"/>
                <w14:ligatures w14:val="none"/>
              </w:rPr>
              <w:t xml:space="preserve"> g. įrengim</w:t>
            </w:r>
            <w:r w:rsidR="00B1087A" w:rsidRPr="00B1087A">
              <w:rPr>
                <w:rFonts w:eastAsia="Calibri" w:cs="Times New Roman"/>
                <w:b/>
                <w:bCs/>
                <w:color w:val="000000"/>
                <w:kern w:val="0"/>
                <w:sz w:val="22"/>
                <w:lang w:eastAsia="lt-LT"/>
                <w14:ligatures w14:val="none"/>
              </w:rPr>
              <w:t>o</w:t>
            </w:r>
            <w:r w:rsidR="00B1087A" w:rsidRPr="00B1087A">
              <w:rPr>
                <w:rFonts w:eastAsia="Times New Roman" w:cs="Times New Roman"/>
                <w:b/>
                <w:bCs/>
                <w:color w:val="000000"/>
                <w:kern w:val="0"/>
                <w:sz w:val="22"/>
                <w:lang w:eastAsia="lt-LT"/>
                <w14:ligatures w14:val="none"/>
              </w:rPr>
              <w:t xml:space="preserve"> </w:t>
            </w:r>
            <w:r w:rsidR="00E57126">
              <w:rPr>
                <w:rFonts w:eastAsia="Times New Roman" w:cs="Times New Roman"/>
                <w:b/>
                <w:bCs/>
                <w:color w:val="000000"/>
                <w:kern w:val="0"/>
                <w:sz w:val="22"/>
                <w:lang w:eastAsia="lt-LT"/>
                <w14:ligatures w14:val="none"/>
              </w:rPr>
              <w:t>darbai (toliau – įrengimo darbai)</w:t>
            </w:r>
            <w:r w:rsidR="00E57126" w:rsidRPr="00B1087A">
              <w:rPr>
                <w:rFonts w:eastAsia="Times New Roman" w:cs="Times New Roman"/>
                <w:b/>
                <w:bCs/>
                <w:color w:val="000000"/>
                <w:kern w:val="0"/>
                <w:sz w:val="22"/>
                <w:lang w:eastAsia="lt-LT"/>
                <w14:ligatures w14:val="none"/>
              </w:rPr>
              <w:t xml:space="preserve"> </w:t>
            </w:r>
            <w:r w:rsidR="00B1087A" w:rsidRPr="00B1087A">
              <w:rPr>
                <w:rFonts w:eastAsia="Times New Roman" w:cs="Times New Roman"/>
                <w:b/>
                <w:bCs/>
                <w:color w:val="000000"/>
                <w:kern w:val="0"/>
                <w:sz w:val="22"/>
                <w:lang w:eastAsia="lt-LT"/>
                <w14:ligatures w14:val="none"/>
              </w:rPr>
              <w:t>su</w:t>
            </w:r>
            <w:r w:rsidR="00E57126">
              <w:rPr>
                <w:rFonts w:eastAsia="Times New Roman" w:cs="Times New Roman"/>
                <w:b/>
                <w:bCs/>
                <w:color w:val="000000"/>
                <w:kern w:val="0"/>
                <w:sz w:val="22"/>
                <w:lang w:eastAsia="lt-LT"/>
                <w14:ligatures w14:val="none"/>
              </w:rPr>
              <w:t xml:space="preserve"> Techninio darbo</w:t>
            </w:r>
            <w:r w:rsidR="00B1087A" w:rsidRPr="00B1087A">
              <w:rPr>
                <w:rFonts w:eastAsia="Times New Roman" w:cs="Times New Roman"/>
                <w:b/>
                <w:bCs/>
                <w:color w:val="000000"/>
                <w:kern w:val="0"/>
                <w:sz w:val="22"/>
                <w:lang w:eastAsia="lt-LT"/>
                <w14:ligatures w14:val="none"/>
              </w:rPr>
              <w:t xml:space="preserve"> projekto parengimu</w:t>
            </w:r>
            <w:r w:rsidR="00B1087A" w:rsidRPr="00B1087A">
              <w:rPr>
                <w:rFonts w:eastAsia="Calibri" w:cs="Times New Roman"/>
                <w:b/>
                <w:bCs/>
                <w:color w:val="000000"/>
                <w:kern w:val="0"/>
                <w:sz w:val="22"/>
              </w:rPr>
              <w:t xml:space="preserve"> (toliau – Darbai).</w:t>
            </w:r>
            <w:r w:rsidR="00B1087A" w:rsidRPr="005D7106">
              <w:rPr>
                <w:rFonts w:eastAsia="Times New Roman" w:cs="Times New Roman"/>
                <w:b/>
                <w:bCs/>
                <w:kern w:val="0"/>
                <w:sz w:val="22"/>
                <w:lang w:eastAsia="lt-LT"/>
                <w14:ligatures w14:val="none"/>
              </w:rPr>
              <w:t xml:space="preserve"> </w:t>
            </w:r>
            <w:r w:rsidRPr="005D7106">
              <w:rPr>
                <w:rFonts w:eastAsia="Times New Roman" w:cs="Times New Roman"/>
                <w:kern w:val="0"/>
                <w:sz w:val="22"/>
                <w14:ligatures w14:val="none"/>
              </w:rPr>
              <w:t>Šia Sutartimi Rangovas įsipareigoja per Sutartyje nustatytą atlikimo terminą ir Sutartyje nustatytomis sąlygomis atlikti</w:t>
            </w:r>
            <w:r w:rsidR="00565A69" w:rsidRPr="005D7106">
              <w:rPr>
                <w:rFonts w:eastAsia="Times New Roman" w:cs="Times New Roman"/>
                <w:kern w:val="0"/>
                <w:sz w:val="22"/>
                <w14:ligatures w14:val="none"/>
              </w:rPr>
              <w:t>:</w:t>
            </w:r>
          </w:p>
          <w:p w14:paraId="0B8B4E93" w14:textId="5A34351E"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2.1.1. parengti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echninį darbo projektą pagal projektavimo užduotį</w:t>
            </w:r>
            <w:r w:rsidR="00280812" w:rsidRPr="005D7106">
              <w:rPr>
                <w:rFonts w:eastAsia="Times New Roman" w:cs="Times New Roman"/>
                <w:kern w:val="0"/>
                <w:sz w:val="22"/>
                <w14:ligatures w14:val="none"/>
              </w:rPr>
              <w:t>,</w:t>
            </w:r>
            <w:r w:rsidR="00280812" w:rsidRPr="005D7106">
              <w:rPr>
                <w:rFonts w:eastAsia="Calibri" w:cs="Times New Roman"/>
                <w:kern w:val="0"/>
                <w:bdr w:val="nil"/>
                <w:lang w:eastAsia="lt-LT"/>
                <w14:ligatures w14:val="none"/>
              </w:rPr>
              <w:t xml:space="preserve"> </w:t>
            </w:r>
            <w:r w:rsidR="00280812" w:rsidRPr="005D7106">
              <w:rPr>
                <w:rFonts w:eastAsia="Calibri" w:cs="Times New Roman"/>
                <w:kern w:val="0"/>
                <w:sz w:val="22"/>
                <w:bdr w:val="nil"/>
                <w:lang w:eastAsia="lt-LT"/>
                <w14:ligatures w14:val="none"/>
              </w:rPr>
              <w:t xml:space="preserve">jo koregavimas pagal gautas ekspertizės pastabas, bei tinkamai parengto Techninio darbo projekto perdavimas </w:t>
            </w:r>
            <w:r w:rsidR="00E57126">
              <w:rPr>
                <w:rFonts w:eastAsia="Calibri" w:cs="Times New Roman"/>
                <w:kern w:val="0"/>
                <w:sz w:val="22"/>
                <w:bdr w:val="nil"/>
                <w:lang w:eastAsia="lt-LT"/>
                <w14:ligatures w14:val="none"/>
              </w:rPr>
              <w:t>Užsakovui</w:t>
            </w:r>
          </w:p>
          <w:p w14:paraId="4B7BDA93" w14:textId="65D0474B"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2.1.2. gauti statybą leidžiantį dokumentą;</w:t>
            </w:r>
          </w:p>
          <w:p w14:paraId="1EAACD7F" w14:textId="1FE6ABCC"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2.1.3. vykdyti projekto autorinę priežiūrą</w:t>
            </w:r>
            <w:r w:rsidR="00280812" w:rsidRPr="005D7106">
              <w:rPr>
                <w:rFonts w:eastAsia="Times New Roman" w:cs="Times New Roman"/>
                <w:kern w:val="0"/>
                <w:szCs w:val="24"/>
                <w14:ligatures w14:val="none"/>
              </w:rPr>
              <w:t xml:space="preserve"> </w:t>
            </w:r>
            <w:r w:rsidR="00280812" w:rsidRPr="005D7106">
              <w:rPr>
                <w:rFonts w:eastAsia="Times New Roman" w:cs="Times New Roman"/>
                <w:kern w:val="0"/>
                <w:sz w:val="22"/>
                <w14:ligatures w14:val="none"/>
              </w:rPr>
              <w:t xml:space="preserve">per visą </w:t>
            </w:r>
            <w:r w:rsidR="00E57126">
              <w:rPr>
                <w:rFonts w:eastAsia="Times New Roman" w:cs="Times New Roman"/>
                <w:kern w:val="0"/>
                <w:sz w:val="22"/>
                <w14:ligatures w14:val="none"/>
              </w:rPr>
              <w:t>D</w:t>
            </w:r>
            <w:r w:rsidR="00280812" w:rsidRPr="005D7106">
              <w:rPr>
                <w:rFonts w:eastAsia="Times New Roman" w:cs="Times New Roman"/>
                <w:kern w:val="0"/>
                <w:sz w:val="22"/>
                <w14:ligatures w14:val="none"/>
              </w:rPr>
              <w:t>arbų vykdymo terminą</w:t>
            </w:r>
            <w:r w:rsidRPr="005D7106">
              <w:rPr>
                <w:rFonts w:eastAsia="Times New Roman" w:cs="Times New Roman"/>
                <w:kern w:val="0"/>
                <w:sz w:val="22"/>
                <w14:ligatures w14:val="none"/>
              </w:rPr>
              <w:t>;</w:t>
            </w:r>
          </w:p>
          <w:p w14:paraId="38C8E023" w14:textId="6F597A29" w:rsidR="00565A69" w:rsidRPr="005D7106"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5D7106">
              <w:rPr>
                <w:rFonts w:eastAsia="Times New Roman" w:cs="Times New Roman"/>
                <w:kern w:val="0"/>
                <w:sz w:val="22"/>
                <w14:ligatures w14:val="none"/>
              </w:rPr>
              <w:t xml:space="preserve">2.1.4. pagal parengto </w:t>
            </w:r>
            <w:r w:rsidR="00E96F1B" w:rsidRPr="005D7106">
              <w:rPr>
                <w:rFonts w:eastAsia="Times New Roman" w:cs="Times New Roman"/>
                <w:kern w:val="0"/>
                <w:sz w:val="22"/>
                <w14:ligatures w14:val="none"/>
              </w:rPr>
              <w:t>T</w:t>
            </w:r>
            <w:r w:rsidRPr="005D7106">
              <w:rPr>
                <w:rFonts w:eastAsia="Times New Roman" w:cs="Times New Roman"/>
                <w:kern w:val="0"/>
                <w:sz w:val="22"/>
                <w14:ligatures w14:val="none"/>
              </w:rPr>
              <w:t xml:space="preserve">echninio darbo projekto sprendinius, atlikti </w:t>
            </w:r>
            <w:r w:rsidR="00E57126">
              <w:rPr>
                <w:rFonts w:eastAsia="Times New Roman" w:cs="Times New Roman"/>
                <w:kern w:val="0"/>
                <w:sz w:val="22"/>
                <w14:ligatures w14:val="none"/>
              </w:rPr>
              <w:t>įrengimo darbus</w:t>
            </w:r>
            <w:r w:rsidRPr="005D7106">
              <w:rPr>
                <w:rFonts w:eastAsia="Times New Roman" w:cs="Times New Roman"/>
                <w:kern w:val="0"/>
                <w:sz w:val="22"/>
                <w14:ligatures w14:val="none"/>
              </w:rPr>
              <w:t>;</w:t>
            </w:r>
          </w:p>
          <w:p w14:paraId="481CE298" w14:textId="56B07AEB" w:rsidR="00007037" w:rsidRPr="005D7106"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5D7106">
              <w:rPr>
                <w:rFonts w:eastAsia="Times New Roman" w:cs="Times New Roman"/>
                <w:kern w:val="0"/>
                <w:sz w:val="22"/>
                <w14:ligatures w14:val="none"/>
              </w:rPr>
              <w:t>2</w:t>
            </w:r>
            <w:r w:rsidR="00007037" w:rsidRPr="005D7106">
              <w:rPr>
                <w:rFonts w:eastAsia="Times New Roman" w:cs="Times New Roman"/>
                <w:kern w:val="0"/>
                <w:sz w:val="22"/>
                <w14:ligatures w14:val="none"/>
              </w:rPr>
              <w:t>.</w:t>
            </w:r>
            <w:r w:rsidRPr="005D7106">
              <w:rPr>
                <w:rFonts w:eastAsia="Times New Roman" w:cs="Times New Roman"/>
                <w:kern w:val="0"/>
                <w:sz w:val="22"/>
                <w14:ligatures w14:val="none"/>
              </w:rPr>
              <w:t>1.5.</w:t>
            </w:r>
            <w:r w:rsidR="00007037" w:rsidRPr="005D7106">
              <w:rPr>
                <w:rFonts w:eastAsia="Times New Roman" w:cs="Times New Roman"/>
                <w:kern w:val="0"/>
                <w:sz w:val="22"/>
                <w14:ligatures w14:val="none"/>
              </w:rPr>
              <w:t xml:space="preserve"> parengti</w:t>
            </w:r>
            <w:r w:rsidRPr="005D7106">
              <w:rPr>
                <w:rFonts w:eastAsia="Times New Roman" w:cs="Times New Roman"/>
                <w:kern w:val="0"/>
                <w:sz w:val="22"/>
                <w14:ligatures w14:val="none"/>
              </w:rPr>
              <w:t xml:space="preserve"> </w:t>
            </w:r>
            <w:r w:rsidR="00007037" w:rsidRPr="005D7106">
              <w:rPr>
                <w:rFonts w:eastAsia="Times New Roman" w:cs="Times New Roman"/>
                <w:kern w:val="0"/>
                <w:sz w:val="22"/>
                <w14:ligatures w14:val="none"/>
              </w:rPr>
              <w:t xml:space="preserve">kadastrines bylas </w:t>
            </w:r>
            <w:r w:rsidR="00007037" w:rsidRPr="005D7106">
              <w:rPr>
                <w:rFonts w:eastAsia="Lucida Sans Unicode" w:cs="Times New Roman"/>
                <w:kern w:val="0"/>
                <w:sz w:val="22"/>
                <w14:ligatures w14:val="none"/>
              </w:rPr>
              <w:t>su patikra,</w:t>
            </w:r>
            <w:r w:rsidR="00007037" w:rsidRPr="005D7106">
              <w:rPr>
                <w:rFonts w:eastAsia="Times New Roman" w:cs="Times New Roman"/>
                <w:bCs/>
                <w:kern w:val="0"/>
                <w:sz w:val="22"/>
                <w:lang w:eastAsia="ar-SA"/>
                <w14:ligatures w14:val="none"/>
              </w:rPr>
              <w:t xml:space="preserve"> </w:t>
            </w:r>
            <w:r w:rsidR="00007037" w:rsidRPr="005D7106">
              <w:rPr>
                <w:rFonts w:eastAsia="Calibri" w:cs="Times New Roman"/>
                <w:kern w:val="0"/>
                <w:sz w:val="22"/>
                <w14:ligatures w14:val="none"/>
              </w:rPr>
              <w:t xml:space="preserve">perduoti </w:t>
            </w:r>
            <w:r w:rsidR="00BE0059" w:rsidRPr="005D7106">
              <w:rPr>
                <w:rFonts w:eastAsia="Calibri" w:cs="Times New Roman"/>
                <w:kern w:val="0"/>
                <w:sz w:val="22"/>
                <w14:ligatures w14:val="none"/>
              </w:rPr>
              <w:t>Užsakovui</w:t>
            </w:r>
            <w:r w:rsidR="00007037" w:rsidRPr="005D7106">
              <w:rPr>
                <w:rFonts w:eastAsia="Calibri" w:cs="Times New Roman"/>
                <w:kern w:val="0"/>
                <w:sz w:val="22"/>
                <w14:ligatures w14:val="none"/>
              </w:rPr>
              <w:t xml:space="preserve"> pabaigtų </w:t>
            </w:r>
            <w:r w:rsidR="00E57126">
              <w:rPr>
                <w:rFonts w:eastAsia="Calibri" w:cs="Times New Roman"/>
                <w:kern w:val="0"/>
                <w:sz w:val="22"/>
                <w14:ligatures w14:val="none"/>
              </w:rPr>
              <w:t>D</w:t>
            </w:r>
            <w:r w:rsidR="00007037" w:rsidRPr="005D7106">
              <w:rPr>
                <w:rFonts w:eastAsia="Calibri" w:cs="Times New Roman"/>
                <w:kern w:val="0"/>
                <w:sz w:val="22"/>
                <w14:ligatures w14:val="none"/>
              </w:rPr>
              <w:t xml:space="preserve">arbų dokumentaciją visus reikalingus matavimus, išbandymus, defektų ištaisymus ir kitus darbus, kurie yra reikalingi, kad būtų pasirašytas darbų priėmimo–perdavimo aktas ir objektą galima eksploatuoti. </w:t>
            </w:r>
          </w:p>
          <w:p w14:paraId="172DBB96" w14:textId="6E59C71F" w:rsidR="00007037" w:rsidRPr="005D7106" w:rsidRDefault="00007037" w:rsidP="00007037">
            <w:pPr>
              <w:widowControl w:val="0"/>
              <w:tabs>
                <w:tab w:val="num" w:pos="993"/>
              </w:tabs>
              <w:jc w:val="both"/>
              <w:rPr>
                <w:rFonts w:eastAsia="Calibri" w:cs="Times New Roman"/>
                <w:kern w:val="0"/>
                <w:sz w:val="22"/>
                <w14:ligatures w14:val="none"/>
              </w:rPr>
            </w:pPr>
            <w:r w:rsidRPr="005D7106">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shd w:val="clear" w:color="auto" w:fill="auto"/>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shd w:val="clear" w:color="auto" w:fill="auto"/>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shd w:val="clear" w:color="auto" w:fill="auto"/>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shd w:val="clear" w:color="auto" w:fill="auto"/>
                  <w:hideMark/>
                </w:tcPr>
                <w:p w14:paraId="400C202E" w14:textId="7BD275FC" w:rsidR="00C729C1" w:rsidRDefault="00E57126" w:rsidP="00C729C1">
                  <w:pPr>
                    <w:widowControl w:val="0"/>
                    <w:tabs>
                      <w:tab w:val="left" w:pos="142"/>
                      <w:tab w:val="left" w:pos="993"/>
                    </w:tabs>
                    <w:contextualSpacing/>
                    <w:jc w:val="both"/>
                    <w:rPr>
                      <w:rFonts w:eastAsia="Calibri" w:cs="Times New Roman"/>
                      <w:b/>
                      <w:bCs/>
                      <w:kern w:val="0"/>
                      <w:sz w:val="22"/>
                      <w14:ligatures w14:val="none"/>
                    </w:rPr>
                  </w:pPr>
                  <w:r>
                    <w:rPr>
                      <w:rFonts w:eastAsia="Calibri" w:cs="Times New Roman"/>
                      <w:kern w:val="0"/>
                      <w:sz w:val="22"/>
                      <w:lang w:eastAsia="lt-LT"/>
                      <w14:ligatures w14:val="none"/>
                    </w:rPr>
                    <w:t>Techninio darbo projekto</w:t>
                  </w:r>
                  <w:r w:rsidR="00C729C1" w:rsidRPr="00944ED2">
                    <w:rPr>
                      <w:rFonts w:eastAsia="Calibri" w:cs="Times New Roman"/>
                      <w:kern w:val="0"/>
                      <w:sz w:val="22"/>
                      <w:lang w:eastAsia="lt-LT"/>
                      <w14:ligatures w14:val="none"/>
                    </w:rPr>
                    <w:t xml:space="preserve"> parengimas</w:t>
                  </w:r>
                  <w:r w:rsidR="00C729C1">
                    <w:rPr>
                      <w:rFonts w:eastAsia="Calibri" w:cs="Times New Roman"/>
                      <w:kern w:val="0"/>
                      <w:sz w:val="22"/>
                      <w:lang w:eastAsia="lt-LT"/>
                      <w14:ligatures w14:val="none"/>
                    </w:rPr>
                    <w:t xml:space="preserve"> </w:t>
                  </w:r>
                  <w:r w:rsidR="00C729C1" w:rsidRPr="003A19EE">
                    <w:rPr>
                      <w:rFonts w:ascii="TimesNewRomanPSMT" w:hAnsi="TimesNewRomanPSMT" w:cs="TimesNewRomanPSMT"/>
                      <w:kern w:val="0"/>
                      <w:sz w:val="22"/>
                    </w:rPr>
                    <w:t xml:space="preserve">(pagal </w:t>
                  </w:r>
                  <w:r w:rsidR="00B158D3">
                    <w:rPr>
                      <w:rFonts w:ascii="TimesNewRomanPSMT" w:hAnsi="TimesNewRomanPSMT" w:cs="TimesNewRomanPSMT"/>
                      <w:kern w:val="0"/>
                      <w:sz w:val="22"/>
                    </w:rPr>
                    <w:t xml:space="preserve">Užsakovo </w:t>
                  </w:r>
                  <w:r w:rsidR="00C729C1" w:rsidRPr="003A19EE">
                    <w:rPr>
                      <w:rFonts w:ascii="TimesNewRomanPSMT" w:hAnsi="TimesNewRomanPSMT" w:cs="TimesNewRomanPSMT"/>
                      <w:kern w:val="0"/>
                      <w:sz w:val="22"/>
                    </w:rPr>
                    <w:t>projektavimo užduotį)</w:t>
                  </w:r>
                  <w:r w:rsidR="00B158D3">
                    <w:rPr>
                      <w:rFonts w:ascii="TimesNewRomanPSMT" w:hAnsi="TimesNewRomanPSMT" w:cs="TimesNewRomanPSMT"/>
                      <w:kern w:val="0"/>
                      <w:sz w:val="22"/>
                    </w:rPr>
                    <w:t xml:space="preserve"> ir</w:t>
                  </w:r>
                  <w:r w:rsidR="00C729C1">
                    <w:rPr>
                      <w:rFonts w:ascii="TimesNewRomanPSMT" w:hAnsi="TimesNewRomanPSMT" w:cs="TimesNewRomanPSMT"/>
                      <w:kern w:val="0"/>
                      <w:sz w:val="22"/>
                    </w:rPr>
                    <w:t xml:space="preserve"> s</w:t>
                  </w:r>
                  <w:r w:rsidR="00C729C1" w:rsidRPr="00F873C7">
                    <w:rPr>
                      <w:rFonts w:eastAsia="Calibri" w:cs="Times New Roman"/>
                      <w:kern w:val="0"/>
                      <w:sz w:val="22"/>
                      <w14:ligatures w14:val="none"/>
                    </w:rPr>
                    <w:t xml:space="preserve">tatybą leidžiančio dokumento gavimas ne vėliau kaip iki </w:t>
                  </w:r>
                  <w:r w:rsidR="00C729C1" w:rsidRPr="00880E8E">
                    <w:rPr>
                      <w:rFonts w:eastAsia="Calibri" w:cs="Times New Roman"/>
                      <w:b/>
                      <w:bCs/>
                      <w:kern w:val="0"/>
                      <w:sz w:val="22"/>
                      <w14:ligatures w14:val="none"/>
                    </w:rPr>
                    <w:t>2025 m. lapkričio 20 d.</w:t>
                  </w:r>
                  <w:r w:rsidR="00C729C1">
                    <w:rPr>
                      <w:rFonts w:eastAsia="Calibri" w:cs="Times New Roman"/>
                      <w:b/>
                      <w:bCs/>
                      <w:kern w:val="0"/>
                      <w:sz w:val="22"/>
                      <w14:ligatures w14:val="none"/>
                    </w:rPr>
                    <w:t xml:space="preserve">, </w:t>
                  </w:r>
                </w:p>
                <w:p w14:paraId="6F5FE008" w14:textId="0F14A68D" w:rsidR="00C3209B" w:rsidRPr="00007037" w:rsidRDefault="00745D53" w:rsidP="00C729C1">
                  <w:pPr>
                    <w:widowControl w:val="0"/>
                    <w:tabs>
                      <w:tab w:val="left" w:pos="142"/>
                      <w:tab w:val="left" w:pos="993"/>
                    </w:tabs>
                    <w:contextualSpacing/>
                    <w:jc w:val="both"/>
                    <w:rPr>
                      <w:rFonts w:eastAsia="Times New Roman" w:cs="Times New Roman"/>
                      <w:bCs/>
                      <w:kern w:val="0"/>
                      <w:sz w:val="22"/>
                      <w:bdr w:val="nil"/>
                      <w14:ligatures w14:val="none"/>
                    </w:rPr>
                  </w:pPr>
                  <w:r>
                    <w:rPr>
                      <w:rFonts w:eastAsia="Calibri" w:cs="Times New Roman"/>
                      <w:kern w:val="0"/>
                      <w:sz w:val="22"/>
                      <w14:ligatures w14:val="none"/>
                    </w:rPr>
                    <w:t>į</w:t>
                  </w:r>
                  <w:r w:rsidR="00B158D3">
                    <w:rPr>
                      <w:rFonts w:eastAsia="Calibri" w:cs="Times New Roman"/>
                      <w:kern w:val="0"/>
                      <w:sz w:val="22"/>
                      <w14:ligatures w14:val="none"/>
                    </w:rPr>
                    <w:t>rengimo</w:t>
                  </w:r>
                  <w:r w:rsidR="00B158D3" w:rsidRPr="00F873C7">
                    <w:rPr>
                      <w:rFonts w:eastAsia="Calibri" w:cs="Times New Roman"/>
                      <w:kern w:val="0"/>
                      <w:sz w:val="22"/>
                      <w14:ligatures w14:val="none"/>
                    </w:rPr>
                    <w:t xml:space="preserve"> </w:t>
                  </w:r>
                  <w:r w:rsidR="00C729C1" w:rsidRPr="00F873C7">
                    <w:rPr>
                      <w:rFonts w:eastAsia="Calibri" w:cs="Times New Roman"/>
                      <w:kern w:val="0"/>
                      <w:sz w:val="22"/>
                      <w14:ligatures w14:val="none"/>
                    </w:rPr>
                    <w:t xml:space="preserve">darbai </w:t>
                  </w:r>
                  <w:r w:rsidR="00C729C1" w:rsidRPr="003A19EE">
                    <w:rPr>
                      <w:rFonts w:cs="Times New Roman"/>
                      <w:kern w:val="0"/>
                      <w:sz w:val="22"/>
                    </w:rPr>
                    <w:t>(pagal patvirtintą</w:t>
                  </w:r>
                  <w:r w:rsidR="00B158D3">
                    <w:rPr>
                      <w:rFonts w:cs="Times New Roman"/>
                      <w:kern w:val="0"/>
                      <w:sz w:val="22"/>
                    </w:rPr>
                    <w:t xml:space="preserve"> Techninį darbo</w:t>
                  </w:r>
                  <w:r w:rsidR="00EA4838">
                    <w:rPr>
                      <w:rFonts w:cs="Times New Roman"/>
                      <w:kern w:val="0"/>
                      <w:sz w:val="22"/>
                    </w:rPr>
                    <w:t xml:space="preserve"> </w:t>
                  </w:r>
                  <w:r w:rsidR="00C729C1" w:rsidRPr="003A19EE">
                    <w:rPr>
                      <w:rFonts w:cs="Times New Roman"/>
                      <w:kern w:val="0"/>
                      <w:sz w:val="22"/>
                    </w:rPr>
                    <w:t>projektą)</w:t>
                  </w:r>
                  <w:r w:rsidR="00C729C1" w:rsidRPr="00F873C7">
                    <w:rPr>
                      <w:rFonts w:cs="Times New Roman"/>
                      <w:color w:val="EE0000"/>
                      <w:kern w:val="0"/>
                      <w:sz w:val="22"/>
                    </w:rPr>
                    <w:t xml:space="preserve"> </w:t>
                  </w:r>
                  <w:r w:rsidR="00C729C1" w:rsidRPr="00F873C7">
                    <w:rPr>
                      <w:rFonts w:eastAsia="Calibri" w:cs="Times New Roman"/>
                      <w:kern w:val="0"/>
                      <w:sz w:val="22"/>
                      <w14:ligatures w14:val="none"/>
                    </w:rPr>
                    <w:t xml:space="preserve">turi būti </w:t>
                  </w:r>
                  <w:r w:rsidR="00C729C1" w:rsidRPr="00880E8E">
                    <w:rPr>
                      <w:rFonts w:eastAsia="Calibri" w:cs="Times New Roman"/>
                      <w:b/>
                      <w:bCs/>
                      <w:kern w:val="0"/>
                      <w:sz w:val="22"/>
                      <w14:ligatures w14:val="none"/>
                    </w:rPr>
                    <w:t xml:space="preserve">užbaigti iki </w:t>
                  </w:r>
                  <w:r w:rsidR="00C729C1">
                    <w:rPr>
                      <w:rFonts w:eastAsia="Calibri" w:cs="Times New Roman"/>
                      <w:b/>
                      <w:bCs/>
                      <w:kern w:val="0"/>
                      <w:sz w:val="22"/>
                      <w14:ligatures w14:val="none"/>
                    </w:rPr>
                    <w:t>2026 m. gegužės</w:t>
                  </w:r>
                  <w:r w:rsidR="00C729C1" w:rsidRPr="00880E8E">
                    <w:rPr>
                      <w:rFonts w:eastAsia="Calibri" w:cs="Times New Roman"/>
                      <w:b/>
                      <w:bCs/>
                      <w:kern w:val="0"/>
                      <w:sz w:val="22"/>
                      <w14:ligatures w14:val="none"/>
                    </w:rPr>
                    <w:t xml:space="preserve"> 30</w:t>
                  </w:r>
                  <w:r w:rsidR="00C729C1">
                    <w:rPr>
                      <w:rFonts w:eastAsia="Calibri" w:cs="Times New Roman"/>
                      <w:kern w:val="0"/>
                      <w:sz w:val="22"/>
                      <w14:ligatures w14:val="none"/>
                    </w:rPr>
                    <w:t xml:space="preserve"> </w:t>
                  </w:r>
                  <w:r w:rsidR="00C729C1" w:rsidRPr="00880E8E">
                    <w:rPr>
                      <w:rFonts w:eastAsia="Calibri" w:cs="Times New Roman"/>
                      <w:b/>
                      <w:bCs/>
                      <w:kern w:val="0"/>
                      <w:sz w:val="22"/>
                      <w14:ligatures w14:val="none"/>
                    </w:rPr>
                    <w:t>d.</w:t>
                  </w:r>
                  <w:r w:rsidR="00C729C1" w:rsidRPr="00F873C7">
                    <w:rPr>
                      <w:rFonts w:eastAsia="Times New Roman" w:cs="Times New Roman"/>
                      <w:kern w:val="0"/>
                      <w:sz w:val="22"/>
                      <w14:ligatures w14:val="none"/>
                    </w:rPr>
                    <w:t xml:space="preserve"> nuo </w:t>
                  </w:r>
                  <w:r w:rsidR="00B158D3">
                    <w:rPr>
                      <w:rFonts w:eastAsia="Times New Roman" w:cs="Times New Roman"/>
                      <w:kern w:val="0"/>
                      <w:sz w:val="22"/>
                      <w14:ligatures w14:val="none"/>
                    </w:rPr>
                    <w:t>S</w:t>
                  </w:r>
                  <w:r w:rsidR="00C729C1">
                    <w:rPr>
                      <w:rFonts w:eastAsia="Times New Roman" w:cs="Times New Roman"/>
                      <w:kern w:val="0"/>
                      <w:sz w:val="22"/>
                      <w14:ligatures w14:val="none"/>
                    </w:rPr>
                    <w:t xml:space="preserve">utarties įsigaliojimo </w:t>
                  </w:r>
                  <w:r w:rsidR="00C729C1" w:rsidRPr="003A19EE">
                    <w:rPr>
                      <w:rFonts w:eastAsia="Times New Roman" w:cs="Times New Roman"/>
                      <w:kern w:val="0"/>
                      <w:sz w:val="22"/>
                      <w14:ligatures w14:val="none"/>
                    </w:rPr>
                    <w:t>dienos</w:t>
                  </w:r>
                  <w:r w:rsidR="00C729C1" w:rsidRPr="003A19EE">
                    <w:rPr>
                      <w:rFonts w:eastAsia="Calibri" w:cs="Times New Roman"/>
                      <w:kern w:val="0"/>
                      <w:sz w:val="22"/>
                      <w14:ligatures w14:val="none"/>
                    </w:rPr>
                    <w:t>.</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shd w:val="clear" w:color="auto" w:fill="auto"/>
                  <w:hideMark/>
                </w:tcPr>
                <w:p w14:paraId="5258D97C" w14:textId="77777777" w:rsidR="005D7106" w:rsidRPr="00C729C1" w:rsidRDefault="005D7106" w:rsidP="005D7106">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2745D9BF" w:rsidR="00007037" w:rsidRPr="00007037" w:rsidRDefault="005D7106" w:rsidP="005D7106">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 xml:space="preserve">Naujai nutiestų ar atnaujintų dviračių arba bendrų dviračių ir pėsčiųjų takų ilgis“ pasiekimo </w:t>
                  </w:r>
                  <w:r w:rsidR="00430B50">
                    <w:rPr>
                      <w:rFonts w:cs="Times New Roman"/>
                      <w:sz w:val="22"/>
                    </w:rPr>
                    <w:t xml:space="preserve">rodiklio </w:t>
                  </w:r>
                  <w:r w:rsidRPr="00C729C1">
                    <w:rPr>
                      <w:rFonts w:cs="Times New Roman"/>
                      <w:sz w:val="22"/>
                    </w:rPr>
                    <w:t xml:space="preserve">datai, gali būti pratęstas šios Sutarties 6.1 punkte nustatytas </w:t>
                  </w:r>
                  <w:r w:rsidR="00B158D3">
                    <w:rPr>
                      <w:rFonts w:cs="Times New Roman"/>
                      <w:sz w:val="22"/>
                    </w:rPr>
                    <w:t>D</w:t>
                  </w:r>
                  <w:r w:rsidRPr="00C729C1">
                    <w:rPr>
                      <w:rFonts w:cs="Times New Roman"/>
                      <w:sz w:val="22"/>
                    </w:rPr>
                    <w:t>arbų</w:t>
                  </w:r>
                  <w:r w:rsidR="00430B50">
                    <w:rPr>
                      <w:rFonts w:cs="Times New Roman"/>
                      <w:sz w:val="22"/>
                    </w:rPr>
                    <w:t xml:space="preserve"> atlikimo</w:t>
                  </w:r>
                  <w:r w:rsidRPr="00C729C1">
                    <w:rPr>
                      <w:rFonts w:cs="Times New Roman"/>
                      <w:sz w:val="22"/>
                    </w:rPr>
                    <w:t xml:space="preserve"> 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shd w:val="clear" w:color="auto" w:fill="auto"/>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shd w:val="clear" w:color="auto" w:fill="auto"/>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shd w:val="clear" w:color="auto" w:fill="auto"/>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shd w:val="clear" w:color="auto" w:fill="auto"/>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shd w:val="clear" w:color="auto" w:fill="auto"/>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shd w:val="clear" w:color="auto" w:fill="auto"/>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shd w:val="clear" w:color="auto" w:fill="auto"/>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proofErr w:type="spellStart"/>
            <w:r w:rsidRPr="00007037">
              <w:rPr>
                <w:rFonts w:eastAsia="Times New Roman" w:cs="Times New Roman"/>
                <w:kern w:val="0"/>
                <w:sz w:val="22"/>
                <w:bdr w:val="nil"/>
                <w:lang w:val="en-GB" w:eastAsia="en-GB"/>
                <w14:ligatures w14:val="none"/>
              </w:rPr>
              <w:t>Statinio</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statybos</w:t>
            </w:r>
            <w:proofErr w:type="spellEnd"/>
            <w:r w:rsidRPr="00007037">
              <w:rPr>
                <w:rFonts w:eastAsia="Times New Roman" w:cs="Times New Roman"/>
                <w:kern w:val="0"/>
                <w:sz w:val="22"/>
                <w:bdr w:val="nil"/>
                <w:lang w:val="en-GB" w:eastAsia="en-GB"/>
                <w14:ligatures w14:val="none"/>
              </w:rPr>
              <w:t xml:space="preserve"> </w:t>
            </w:r>
            <w:proofErr w:type="spellStart"/>
            <w:proofErr w:type="gramStart"/>
            <w:r w:rsidRPr="00007037">
              <w:rPr>
                <w:rFonts w:eastAsia="Times New Roman" w:cs="Times New Roman"/>
                <w:kern w:val="0"/>
                <w:sz w:val="22"/>
                <w:bdr w:val="nil"/>
                <w:lang w:val="en-GB" w:eastAsia="en-GB"/>
                <w14:ligatures w14:val="none"/>
              </w:rPr>
              <w:t>priežiūra</w:t>
            </w:r>
            <w:proofErr w:type="spellEnd"/>
            <w:r w:rsidRPr="00007037">
              <w:rPr>
                <w:rFonts w:eastAsia="Times New Roman" w:cs="Times New Roman"/>
                <w:kern w:val="0"/>
                <w:sz w:val="22"/>
                <w:bdr w:val="nil"/>
                <w:lang w:val="en-GB" w:eastAsia="en-GB"/>
                <w14:ligatures w14:val="none"/>
              </w:rPr>
              <w:t>“</w:t>
            </w:r>
            <w:proofErr w:type="gramEnd"/>
            <w:r w:rsidRPr="00007037">
              <w:rPr>
                <w:rFonts w:eastAsia="Times New Roman" w:cs="Times New Roman"/>
                <w:kern w:val="0"/>
                <w:sz w:val="22"/>
                <w:bdr w:val="nil"/>
                <w:lang w:val="en-GB" w:eastAsia="en-GB"/>
                <w14:ligatures w14:val="none"/>
              </w:rPr>
              <w:t xml:space="preserve">.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007037">
              <w:rPr>
                <w:rFonts w:eastAsia="Times New Roman" w:cs="Times New Roman"/>
                <w:kern w:val="0"/>
                <w:sz w:val="22"/>
                <w:bdr w:val="nil"/>
                <w:lang w:eastAsia="en-GB"/>
                <w14:ligatures w14:val="none"/>
              </w:rPr>
              <w:t>įsk</w:t>
            </w:r>
            <w:proofErr w:type="spellEnd"/>
            <w:r w:rsidRPr="00007037">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lastRenderedPageBreak/>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6F12D6FA" w:rsidR="00007037" w:rsidRPr="00007037" w:rsidRDefault="008E1B30" w:rsidP="00007037">
            <w:pPr>
              <w:jc w:val="both"/>
              <w:rPr>
                <w:rFonts w:eastAsia="Times New Roman" w:cs="Times New Roman"/>
                <w:kern w:val="0"/>
                <w:sz w:val="22"/>
                <w:bdr w:val="nil"/>
                <w14:ligatures w14:val="none"/>
              </w:rPr>
            </w:pPr>
            <w:r w:rsidRPr="008E1B30">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r>
              <w:rPr>
                <w:rFonts w:eastAsia="Calibri" w:cs="Times New Roman"/>
                <w:kern w:val="0"/>
                <w:sz w:val="22"/>
                <w14:ligatures w14:val="none"/>
              </w:rPr>
              <w:t>.</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lastRenderedPageBreak/>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63941B3B"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 xml:space="preserve">o pratęsimas nenumatytas.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77777777"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pagal STR 1.05.01:2017 „Statybą leidžiantys dokumentai. Statybos užbaigimas. Statybos sustabdymas. Savavališkos statybos padarinių šalinimas. Statybos pagal neteisėtai išduotą statybą leidžiantį dokumentą padarinių šalinimas“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su  pridėtinės vertės mokesčiu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Perskaičiuota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Sutarties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 xml:space="preserve">A – </w:t>
            </w:r>
            <w:proofErr w:type="spellStart"/>
            <w:r w:rsidRPr="00007037">
              <w:rPr>
                <w:rFonts w:eastAsia="Times New Roman" w:cs="Times New Roman"/>
                <w:kern w:val="0"/>
                <w:sz w:val="22"/>
                <w:bdr w:val="nil"/>
                <w:lang w:val="en-GB" w:eastAsia="en-GB"/>
                <w14:ligatures w14:val="none"/>
              </w:rPr>
              <w:t>Atliktų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darbų</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kaina</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su</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iki</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perskaičiavimo</w:t>
            </w:r>
            <w:proofErr w:type="spellEnd"/>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w:t>
            </w:r>
            <w:proofErr w:type="spellStart"/>
            <w:r w:rsidRPr="00007037">
              <w:rPr>
                <w:rFonts w:eastAsia="Times New Roman" w:cs="Times New Roman"/>
                <w:kern w:val="0"/>
                <w:sz w:val="22"/>
                <w:bdr w:val="nil"/>
                <w:lang w:val="en-GB" w:eastAsia="en-GB"/>
                <w14:ligatures w14:val="none"/>
              </w:rPr>
              <w:t>naujas</w:t>
            </w:r>
            <w:proofErr w:type="spellEnd"/>
            <w:r w:rsidRPr="00007037">
              <w:rPr>
                <w:rFonts w:eastAsia="Times New Roman" w:cs="Times New Roman"/>
                <w:kern w:val="0"/>
                <w:sz w:val="22"/>
                <w:bdr w:val="nil"/>
                <w:lang w:val="en-GB" w:eastAsia="en-GB"/>
                <w14:ligatures w14:val="none"/>
              </w:rPr>
              <w:t xml:space="preserve"> PVM </w:t>
            </w:r>
            <w:proofErr w:type="spellStart"/>
            <w:r w:rsidRPr="00007037">
              <w:rPr>
                <w:rFonts w:eastAsia="Times New Roman" w:cs="Times New Roman"/>
                <w:kern w:val="0"/>
                <w:sz w:val="22"/>
                <w:bdr w:val="nil"/>
                <w:lang w:val="en-GB" w:eastAsia="en-GB"/>
                <w14:ligatures w14:val="none"/>
              </w:rPr>
              <w:t>tarifas</w:t>
            </w:r>
            <w:proofErr w:type="spellEnd"/>
            <w:r w:rsidRPr="00007037">
              <w:rPr>
                <w:rFonts w:eastAsia="Times New Roman" w:cs="Times New Roman"/>
                <w:kern w:val="0"/>
                <w:sz w:val="22"/>
                <w:bdr w:val="nil"/>
                <w:lang w:val="en-GB" w:eastAsia="en-GB"/>
                <w14:ligatures w14:val="none"/>
              </w:rPr>
              <w:t xml:space="preserve"> (</w:t>
            </w:r>
            <w:proofErr w:type="spellStart"/>
            <w:r w:rsidRPr="00007037">
              <w:rPr>
                <w:rFonts w:eastAsia="Times New Roman" w:cs="Times New Roman"/>
                <w:kern w:val="0"/>
                <w:sz w:val="22"/>
                <w:bdr w:val="nil"/>
                <w:lang w:val="en-GB" w:eastAsia="en-GB"/>
                <w14:ligatures w14:val="none"/>
              </w:rPr>
              <w:t>procentais</w:t>
            </w:r>
            <w:proofErr w:type="spellEnd"/>
            <w:r w:rsidRPr="00007037">
              <w:rPr>
                <w:rFonts w:eastAsia="Times New Roman" w:cs="Times New Roman"/>
                <w:kern w:val="0"/>
                <w:sz w:val="22"/>
                <w:bdr w:val="nil"/>
                <w:lang w:val="en-GB" w:eastAsia="en-GB"/>
                <w14:ligatures w14:val="none"/>
              </w:rPr>
              <w:t>)</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2"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w:t>
            </w:r>
            <w:r w:rsidRPr="00007037">
              <w:rPr>
                <w:rFonts w:eastAsia="Times New Roman" w:cs="Times New Roman"/>
                <w:kern w:val="0"/>
                <w:sz w:val="22"/>
                <w14:ligatures w14:val="none"/>
              </w:rPr>
              <w:lastRenderedPageBreak/>
              <w:t xml:space="preserve">(toliau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 xml:space="preserve">K = </w:t>
            </w:r>
            <w:proofErr w:type="spellStart"/>
            <w:r w:rsidRPr="00007037">
              <w:rPr>
                <w:rFonts w:eastAsia="Times New Roman" w:cs="Times New Roman"/>
                <w:b/>
                <w:bCs/>
                <w:kern w:val="0"/>
                <w:sz w:val="22"/>
                <w14:ligatures w14:val="none"/>
              </w:rPr>
              <w:t>IPb</w:t>
            </w:r>
            <w:proofErr w:type="spellEnd"/>
            <w:r w:rsidRPr="00007037">
              <w:rPr>
                <w:rFonts w:eastAsia="Times New Roman" w:cs="Times New Roman"/>
                <w:b/>
                <w:bCs/>
                <w:kern w:val="0"/>
                <w:sz w:val="22"/>
                <w14:ligatures w14:val="none"/>
              </w:rPr>
              <w:t xml:space="preserve"> / IPr</w:t>
            </w:r>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IPr</w:t>
            </w:r>
            <w:proofErr w:type="spellEnd"/>
            <w:r w:rsidRPr="00007037">
              <w:rPr>
                <w:rFonts w:eastAsia="Times New Roman" w:cs="Times New Roman"/>
                <w:kern w:val="0"/>
                <w:sz w:val="22"/>
                <w14:ligatures w14:val="none"/>
              </w:rPr>
              <w:t xml:space="preserve">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Times New Roman" w:cs="Times New Roman"/>
                <w:kern w:val="0"/>
                <w:sz w:val="22"/>
                <w14:ligatures w14:val="none"/>
              </w:rPr>
              <w:t>IPb</w:t>
            </w:r>
            <w:proofErr w:type="spellEnd"/>
            <w:r w:rsidRPr="00007037">
              <w:rPr>
                <w:rFonts w:eastAsia="Times New Roman" w:cs="Times New Roman"/>
                <w:kern w:val="0"/>
                <w:sz w:val="22"/>
                <w14:ligatures w14:val="none"/>
              </w:rPr>
              <w:t xml:space="preserve">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Pakeitimas pagrindžiamas dokumentais (pvz. defektiniu (pakeitimų) aktu, brėžiniais (</w:t>
            </w:r>
            <w:proofErr w:type="spellStart"/>
            <w:r w:rsidRPr="00007037">
              <w:rPr>
                <w:rFonts w:eastAsia="Times New Roman" w:cs="Times New Roman"/>
                <w:color w:val="000000"/>
                <w:kern w:val="0"/>
                <w:sz w:val="22"/>
                <w14:ligatures w14:val="none"/>
              </w:rPr>
              <w:t>įsk</w:t>
            </w:r>
            <w:proofErr w:type="spellEnd"/>
            <w:r w:rsidRPr="00007037">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lastRenderedPageBreak/>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lastRenderedPageBreak/>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w:t>
            </w:r>
            <w:r w:rsidRPr="00007037">
              <w:rPr>
                <w:rFonts w:eastAsia="Times New Roman" w:cs="Times New Roman"/>
                <w:kern w:val="0"/>
                <w:sz w:val="22"/>
                <w14:ligatures w14:val="none"/>
              </w:rPr>
              <w:lastRenderedPageBreak/>
              <w:t>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76D183F6" w:rsidR="00007037" w:rsidRPr="00007037" w:rsidRDefault="007B4BB9" w:rsidP="00007037">
            <w:pPr>
              <w:jc w:val="both"/>
              <w:rPr>
                <w:rFonts w:eastAsia="Times New Roman" w:cs="Times New Roman"/>
                <w:kern w:val="0"/>
                <w:sz w:val="22"/>
                <w:bdr w:val="nil"/>
                <w:lang w:eastAsia="en-GB"/>
                <w14:ligatures w14:val="none"/>
              </w:rPr>
            </w:pPr>
            <w:r w:rsidRPr="007B4BB9">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7B4BB9">
              <w:rPr>
                <w:rFonts w:eastAsia="Times New Roman" w:cs="Times New Roman"/>
                <w:kern w:val="0"/>
                <w:sz w:val="22"/>
                <w14:ligatures w14:val="none"/>
              </w:rPr>
              <w:t xml:space="preserve">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7B4BB9">
              <w:rPr>
                <w:rFonts w:eastAsia="Calibri" w:cs="Times New Roman"/>
                <w:kern w:val="0"/>
                <w:sz w:val="22"/>
                <w14:ligatures w14:val="none"/>
              </w:rPr>
              <w:t>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darbus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w:t>
            </w:r>
            <w:proofErr w:type="spellStart"/>
            <w:r w:rsidRPr="00007037">
              <w:rPr>
                <w:rFonts w:eastAsia="Times New Roman" w:cs="Times New Roman"/>
                <w:kern w:val="0"/>
                <w:sz w:val="22"/>
                <w:lang w:eastAsia="lt-LT"/>
                <w14:ligatures w14:val="none"/>
              </w:rPr>
              <w:t>Baciuška</w:t>
            </w:r>
            <w:proofErr w:type="spellEnd"/>
            <w:r w:rsidRPr="00007037">
              <w:rPr>
                <w:rFonts w:eastAsia="Times New Roman" w:cs="Times New Roman"/>
                <w:kern w:val="0"/>
                <w:sz w:val="22"/>
                <w:lang w:eastAsia="lt-LT"/>
                <w14:ligatures w14:val="none"/>
              </w:rPr>
              <w:t xml:space="preserve">,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Investicijų ir viešųjų pirkimų skyriaus vyresnioji specialistė Rita Daliūnienė, tel. +370 459 35 614, el. p. </w:t>
            </w:r>
            <w:proofErr w:type="spellStart"/>
            <w:r w:rsidRPr="00007037">
              <w:rPr>
                <w:rFonts w:eastAsia="Times New Roman" w:cs="Times New Roman"/>
                <w:iCs/>
                <w:kern w:val="0"/>
                <w:sz w:val="22"/>
                <w:lang w:eastAsia="lt-LT"/>
                <w14:ligatures w14:val="none"/>
              </w:rPr>
              <w:t>rita.daliuniene@kupiskis.lt</w:t>
            </w:r>
            <w:proofErr w:type="spellEnd"/>
            <w:r w:rsidRPr="00007037">
              <w:rPr>
                <w:rFonts w:eastAsia="Times New Roman" w:cs="Times New Roman"/>
                <w:iCs/>
                <w:kern w:val="0"/>
                <w:sz w:val="22"/>
                <w:lang w:eastAsia="lt-LT"/>
                <w14:ligatures w14:val="none"/>
              </w:rPr>
              <w: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proofErr w:type="spellStart"/>
            <w:r w:rsidRPr="00007037">
              <w:rPr>
                <w:rFonts w:eastAsia="Calibri" w:cs="Times New Roman"/>
                <w:kern w:val="0"/>
                <w:sz w:val="22"/>
                <w14:ligatures w14:val="none"/>
              </w:rPr>
              <w:t>Luminor</w:t>
            </w:r>
            <w:proofErr w:type="spellEnd"/>
            <w:r w:rsidRPr="00007037">
              <w:rPr>
                <w:rFonts w:eastAsia="Calibri" w:cs="Times New Roman"/>
                <w:kern w:val="0"/>
                <w:sz w:val="22"/>
                <w14:ligatures w14:val="none"/>
              </w:rPr>
              <w:t xml:space="preserve">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 xml:space="preserve">El. paštas: </w:t>
            </w:r>
            <w:proofErr w:type="spellStart"/>
            <w:r w:rsidRPr="00007037">
              <w:rPr>
                <w:rFonts w:eastAsia="Times New Roman" w:cs="Times New Roman"/>
                <w:kern w:val="0"/>
                <w:sz w:val="22"/>
                <w14:ligatures w14:val="none"/>
              </w:rPr>
              <w:t>savivaldybe@kupiskis.lt</w:t>
            </w:r>
            <w:proofErr w:type="spellEnd"/>
            <w:r w:rsidRPr="00007037">
              <w:rPr>
                <w:rFonts w:eastAsia="Times New Roman" w:cs="Times New Roman"/>
                <w:kern w:val="0"/>
                <w:sz w:val="22"/>
                <w14:ligatures w14:val="none"/>
              </w:rPr>
              <w: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w:t>
            </w:r>
            <w:proofErr w:type="spellStart"/>
            <w:r w:rsidRPr="00007037">
              <w:rPr>
                <w:rFonts w:eastAsia="Times New Roman" w:cs="Times New Roman"/>
                <w:i/>
                <w:color w:val="FF0000"/>
                <w:kern w:val="0"/>
                <w:sz w:val="22"/>
                <w:bdr w:val="nil"/>
                <w:lang w:val="en-GB" w:eastAsia="en-GB"/>
                <w14:ligatures w14:val="none"/>
              </w:rPr>
              <w:t>Įrašyti</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Rangovo</w:t>
            </w:r>
            <w:proofErr w:type="spellEnd"/>
            <w:r w:rsidRPr="00007037">
              <w:rPr>
                <w:rFonts w:eastAsia="Times New Roman" w:cs="Times New Roman"/>
                <w:i/>
                <w:color w:val="FF0000"/>
                <w:kern w:val="0"/>
                <w:sz w:val="22"/>
                <w:bdr w:val="nil"/>
                <w:lang w:val="en-GB" w:eastAsia="en-GB"/>
                <w14:ligatures w14:val="none"/>
              </w:rPr>
              <w:t xml:space="preserve"> </w:t>
            </w:r>
            <w:proofErr w:type="spellStart"/>
            <w:r w:rsidRPr="00007037">
              <w:rPr>
                <w:rFonts w:eastAsia="Times New Roman" w:cs="Times New Roman"/>
                <w:i/>
                <w:color w:val="FF0000"/>
                <w:kern w:val="0"/>
                <w:sz w:val="22"/>
                <w:bdr w:val="nil"/>
                <w:lang w:val="en-GB" w:eastAsia="en-GB"/>
                <w14:ligatures w14:val="none"/>
              </w:rPr>
              <w:t>rekvizitus</w:t>
            </w:r>
            <w:proofErr w:type="spellEnd"/>
            <w:r w:rsidRPr="00007037">
              <w:rPr>
                <w:rFonts w:eastAsia="Times New Roman" w:cs="Times New Roman"/>
                <w:i/>
                <w:color w:val="FF0000"/>
                <w:kern w:val="0"/>
                <w:sz w:val="22"/>
                <w:bdr w:val="nil"/>
                <w:lang w:val="en-GB" w:eastAsia="en-GB"/>
                <w14:ligatures w14:val="none"/>
              </w:rPr>
              <w:t>]</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proofErr w:type="spellStart"/>
            <w:r w:rsidRPr="00007037">
              <w:rPr>
                <w:rFonts w:eastAsia="Calibri" w:cs="Times New Roman"/>
                <w:kern w:val="0"/>
                <w:sz w:val="22"/>
                <w14:ligatures w14:val="none"/>
              </w:rPr>
              <w:t>A.s</w:t>
            </w:r>
            <w:proofErr w:type="spellEnd"/>
            <w:r w:rsidRPr="00007037">
              <w:rPr>
                <w:rFonts w:eastAsia="Calibri" w:cs="Times New Roman"/>
                <w:kern w:val="0"/>
                <w:sz w:val="22"/>
                <w14:ligatures w14:val="none"/>
              </w:rPr>
              <w:t xml:space="preserve">.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lastRenderedPageBreak/>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w:t>
      </w:r>
      <w:proofErr w:type="spellStart"/>
      <w:r w:rsidRPr="00007037">
        <w:rPr>
          <w:rFonts w:eastAsia="Times New Roman" w:cs="Times New Roman"/>
          <w:b/>
          <w:bCs/>
          <w:kern w:val="0"/>
          <w:sz w:val="20"/>
          <w:szCs w:val="20"/>
          <w:lang w:eastAsia="lt-LT"/>
          <w14:ligatures w14:val="none"/>
        </w:rPr>
        <w:t>mėn</w:t>
      </w:r>
      <w:proofErr w:type="spellEnd"/>
      <w:r w:rsidRPr="00007037">
        <w:rPr>
          <w:rFonts w:eastAsia="Times New Roman" w:cs="Times New Roman"/>
          <w:b/>
          <w:bCs/>
          <w:kern w:val="0"/>
          <w:sz w:val="20"/>
          <w:szCs w:val="20"/>
          <w:lang w:eastAsia="lt-LT"/>
          <w14:ligatures w14:val="none"/>
        </w:rPr>
        <w:t>.</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lastRenderedPageBreak/>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8599" w14:textId="77777777" w:rsidR="00577657" w:rsidRDefault="00577657" w:rsidP="00952438">
      <w:r>
        <w:separator/>
      </w:r>
    </w:p>
  </w:endnote>
  <w:endnote w:type="continuationSeparator" w:id="0">
    <w:p w14:paraId="42EF7388" w14:textId="77777777" w:rsidR="00577657" w:rsidRDefault="00577657"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394E" w14:textId="77777777" w:rsidR="00577657" w:rsidRDefault="00577657" w:rsidP="00952438">
      <w:r>
        <w:separator/>
      </w:r>
    </w:p>
  </w:footnote>
  <w:footnote w:type="continuationSeparator" w:id="0">
    <w:p w14:paraId="74FD8392" w14:textId="77777777" w:rsidR="00577657" w:rsidRDefault="00577657"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334"/>
    <w:rsid w:val="00043BF9"/>
    <w:rsid w:val="00065B3B"/>
    <w:rsid w:val="00065C36"/>
    <w:rsid w:val="00104D06"/>
    <w:rsid w:val="001142A2"/>
    <w:rsid w:val="00150370"/>
    <w:rsid w:val="0018015C"/>
    <w:rsid w:val="00186B52"/>
    <w:rsid w:val="001D7A69"/>
    <w:rsid w:val="001F2D32"/>
    <w:rsid w:val="002030FB"/>
    <w:rsid w:val="002509AA"/>
    <w:rsid w:val="00280812"/>
    <w:rsid w:val="00285A95"/>
    <w:rsid w:val="002D2D77"/>
    <w:rsid w:val="002D55A6"/>
    <w:rsid w:val="002F3270"/>
    <w:rsid w:val="00361AA6"/>
    <w:rsid w:val="0037728D"/>
    <w:rsid w:val="003D63C2"/>
    <w:rsid w:val="003D641D"/>
    <w:rsid w:val="00423C91"/>
    <w:rsid w:val="004304BB"/>
    <w:rsid w:val="00430B50"/>
    <w:rsid w:val="00436EEA"/>
    <w:rsid w:val="00455D88"/>
    <w:rsid w:val="00470D22"/>
    <w:rsid w:val="00495402"/>
    <w:rsid w:val="00513923"/>
    <w:rsid w:val="00516654"/>
    <w:rsid w:val="00532FCF"/>
    <w:rsid w:val="00565A69"/>
    <w:rsid w:val="00577657"/>
    <w:rsid w:val="00592042"/>
    <w:rsid w:val="005D12D7"/>
    <w:rsid w:val="005D7106"/>
    <w:rsid w:val="006223DC"/>
    <w:rsid w:val="00646E43"/>
    <w:rsid w:val="006478E0"/>
    <w:rsid w:val="006A5F49"/>
    <w:rsid w:val="006C6F24"/>
    <w:rsid w:val="006D11A3"/>
    <w:rsid w:val="00745D53"/>
    <w:rsid w:val="00762C0B"/>
    <w:rsid w:val="007902E4"/>
    <w:rsid w:val="007A709A"/>
    <w:rsid w:val="007B4BB9"/>
    <w:rsid w:val="007B5FAA"/>
    <w:rsid w:val="007C4C60"/>
    <w:rsid w:val="007D3491"/>
    <w:rsid w:val="007E4313"/>
    <w:rsid w:val="00800F74"/>
    <w:rsid w:val="0080208D"/>
    <w:rsid w:val="0086454F"/>
    <w:rsid w:val="00892EFE"/>
    <w:rsid w:val="008E1B30"/>
    <w:rsid w:val="009006AC"/>
    <w:rsid w:val="009012A3"/>
    <w:rsid w:val="00940A39"/>
    <w:rsid w:val="00952438"/>
    <w:rsid w:val="009549D5"/>
    <w:rsid w:val="0097329A"/>
    <w:rsid w:val="00982969"/>
    <w:rsid w:val="009D0981"/>
    <w:rsid w:val="009F6918"/>
    <w:rsid w:val="00A23D69"/>
    <w:rsid w:val="00AA3ACC"/>
    <w:rsid w:val="00AC671A"/>
    <w:rsid w:val="00AC78D7"/>
    <w:rsid w:val="00AE6413"/>
    <w:rsid w:val="00B00B4B"/>
    <w:rsid w:val="00B1087A"/>
    <w:rsid w:val="00B158D3"/>
    <w:rsid w:val="00B41D21"/>
    <w:rsid w:val="00BE0059"/>
    <w:rsid w:val="00BE4637"/>
    <w:rsid w:val="00C3209B"/>
    <w:rsid w:val="00C729C1"/>
    <w:rsid w:val="00C81F9D"/>
    <w:rsid w:val="00C9552B"/>
    <w:rsid w:val="00D17C65"/>
    <w:rsid w:val="00D527EA"/>
    <w:rsid w:val="00DA167B"/>
    <w:rsid w:val="00DB7D8B"/>
    <w:rsid w:val="00E03060"/>
    <w:rsid w:val="00E10BB3"/>
    <w:rsid w:val="00E31C90"/>
    <w:rsid w:val="00E37014"/>
    <w:rsid w:val="00E41C09"/>
    <w:rsid w:val="00E57126"/>
    <w:rsid w:val="00E96F1B"/>
    <w:rsid w:val="00EA21F0"/>
    <w:rsid w:val="00EA4838"/>
    <w:rsid w:val="00EA6F52"/>
    <w:rsid w:val="00EF12A9"/>
    <w:rsid w:val="00F30C71"/>
    <w:rsid w:val="00F37033"/>
    <w:rsid w:val="00F873C7"/>
    <w:rsid w:val="00FA4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17</Pages>
  <Words>38632</Words>
  <Characters>22021</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5</cp:revision>
  <cp:lastPrinted>2025-06-30T06:10:00Z</cp:lastPrinted>
  <dcterms:created xsi:type="dcterms:W3CDTF">2025-07-22T10:23:00Z</dcterms:created>
  <dcterms:modified xsi:type="dcterms:W3CDTF">2025-07-23T18:07:00Z</dcterms:modified>
</cp:coreProperties>
</file>