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E54" w14:textId="77777777" w:rsidR="00CC5560" w:rsidRDefault="00CC5560" w:rsidP="00CC5560">
      <w:pPr>
        <w:tabs>
          <w:tab w:val="left" w:pos="1752"/>
        </w:tabs>
        <w:jc w:val="both"/>
        <w:rPr>
          <w:lang w:val="lt-LT"/>
        </w:rPr>
      </w:pPr>
    </w:p>
    <w:p w14:paraId="1A43EAEA" w14:textId="77777777" w:rsidR="003653AE" w:rsidRPr="007A6B4B" w:rsidRDefault="003653AE" w:rsidP="00CC5560">
      <w:pPr>
        <w:tabs>
          <w:tab w:val="left" w:pos="1752"/>
        </w:tabs>
        <w:jc w:val="both"/>
        <w:rPr>
          <w:lang w:val="lt-LT"/>
        </w:rPr>
      </w:pPr>
    </w:p>
    <w:p w14:paraId="2F135BCF" w14:textId="3A8348A4" w:rsidR="00725946" w:rsidRPr="00290149" w:rsidRDefault="004C3770" w:rsidP="00290149">
      <w:pPr>
        <w:tabs>
          <w:tab w:val="left" w:pos="5130"/>
        </w:tabs>
        <w:rPr>
          <w:rFonts w:eastAsia="Times New Roman"/>
          <w:b/>
          <w:color w:val="000000" w:themeColor="text1"/>
          <w:lang w:val="lt-LT" w:eastAsia="en-GB"/>
        </w:rPr>
      </w:pPr>
      <w:r>
        <w:rPr>
          <w:rFonts w:eastAsia="Times New Roman"/>
          <w:b/>
          <w:color w:val="000000" w:themeColor="text1"/>
          <w:lang w:val="lt-LT" w:eastAsia="en-GB"/>
        </w:rPr>
        <w:t>Tiekėjams</w:t>
      </w:r>
      <w:r w:rsidR="00A977B9">
        <w:rPr>
          <w:rFonts w:eastAsia="Times New Roman"/>
          <w:b/>
          <w:color w:val="000000" w:themeColor="text1"/>
          <w:lang w:val="lt-LT" w:eastAsia="en-GB"/>
        </w:rPr>
        <w:t xml:space="preserve">                                                                                        </w:t>
      </w:r>
      <w:r>
        <w:rPr>
          <w:rFonts w:eastAsia="Times New Roman"/>
          <w:b/>
          <w:color w:val="000000" w:themeColor="text1"/>
          <w:lang w:val="lt-LT" w:eastAsia="en-GB"/>
        </w:rPr>
        <w:t xml:space="preserve">                      </w:t>
      </w:r>
      <w:r w:rsidR="00A977B9">
        <w:rPr>
          <w:rFonts w:eastAsia="Times New Roman"/>
          <w:b/>
          <w:color w:val="000000" w:themeColor="text1"/>
          <w:lang w:val="lt-LT" w:eastAsia="en-GB"/>
        </w:rPr>
        <w:t xml:space="preserve"> </w:t>
      </w:r>
      <w:r w:rsidR="00773FF3">
        <w:rPr>
          <w:rFonts w:eastAsia="Times New Roman"/>
          <w:b/>
          <w:color w:val="000000" w:themeColor="text1"/>
          <w:lang w:val="lt-LT" w:eastAsia="en-GB"/>
        </w:rPr>
        <w:t xml:space="preserve">                                                                                    </w:t>
      </w:r>
      <w:r w:rsidR="00A977B9">
        <w:rPr>
          <w:rFonts w:eastAsia="Times New Roman"/>
          <w:b/>
          <w:color w:val="000000" w:themeColor="text1"/>
          <w:lang w:val="lt-LT" w:eastAsia="en-GB"/>
        </w:rPr>
        <w:t xml:space="preserve"> 2025-0</w:t>
      </w:r>
      <w:r w:rsidR="00FE7996">
        <w:rPr>
          <w:rFonts w:eastAsia="Times New Roman"/>
          <w:b/>
          <w:color w:val="000000" w:themeColor="text1"/>
          <w:lang w:val="lt-LT" w:eastAsia="en-GB"/>
        </w:rPr>
        <w:t>8</w:t>
      </w:r>
      <w:r w:rsidR="00A977B9">
        <w:rPr>
          <w:rFonts w:eastAsia="Times New Roman"/>
          <w:b/>
          <w:color w:val="000000" w:themeColor="text1"/>
          <w:lang w:val="lt-LT" w:eastAsia="en-GB"/>
        </w:rPr>
        <w:t>-</w:t>
      </w:r>
      <w:r w:rsidR="0063298D">
        <w:rPr>
          <w:rFonts w:eastAsia="Times New Roman"/>
          <w:b/>
          <w:color w:val="000000" w:themeColor="text1"/>
          <w:lang w:val="lt-LT" w:eastAsia="en-GB"/>
        </w:rPr>
        <w:t>20</w:t>
      </w:r>
    </w:p>
    <w:p w14:paraId="0F7685AE" w14:textId="77777777" w:rsidR="00BD2384" w:rsidRPr="00BD2384" w:rsidRDefault="00BD2384" w:rsidP="00BD2384">
      <w:pPr>
        <w:tabs>
          <w:tab w:val="left" w:pos="5130"/>
        </w:tabs>
        <w:rPr>
          <w:rFonts w:eastAsia="Times New Roman"/>
          <w:bCs/>
          <w:i/>
          <w:iCs/>
          <w:color w:val="000000" w:themeColor="text1"/>
          <w:sz w:val="22"/>
          <w:szCs w:val="22"/>
          <w:lang w:val="lt-LT" w:eastAsia="en-GB"/>
        </w:rPr>
      </w:pPr>
    </w:p>
    <w:p w14:paraId="09C40A1A" w14:textId="77777777" w:rsidR="00773FF3" w:rsidRPr="00796B32" w:rsidRDefault="00773FF3" w:rsidP="00773FF3">
      <w:pPr>
        <w:widowControl w:val="0"/>
        <w:jc w:val="both"/>
        <w:rPr>
          <w:rFonts w:asciiTheme="majorBidi" w:eastAsia="Times New Roman" w:hAnsiTheme="majorBidi" w:cstheme="majorBidi"/>
          <w:b/>
          <w:lang w:val="lt-LT" w:eastAsia="lt-LT"/>
        </w:rPr>
      </w:pPr>
      <w:r w:rsidRPr="00796B32">
        <w:rPr>
          <w:rFonts w:asciiTheme="majorBidi" w:eastAsia="Times New Roman" w:hAnsiTheme="majorBidi" w:cstheme="majorBidi"/>
          <w:b/>
          <w:lang w:val="lt-LT" w:eastAsia="lt-LT"/>
        </w:rPr>
        <w:t xml:space="preserve">DĖL ATSAKYMO Į KLAUSIMĄ </w:t>
      </w:r>
    </w:p>
    <w:p w14:paraId="40C44C9B" w14:textId="77777777" w:rsidR="00773FF3" w:rsidRPr="00796B32" w:rsidRDefault="00773FF3" w:rsidP="00773FF3">
      <w:pPr>
        <w:jc w:val="both"/>
        <w:rPr>
          <w:lang w:val="lt-LT" w:eastAsia="en-GB"/>
        </w:rPr>
      </w:pPr>
    </w:p>
    <w:p w14:paraId="609A2B43" w14:textId="2C184DFF" w:rsidR="00B46088" w:rsidRPr="00796B32" w:rsidRDefault="00B46088" w:rsidP="00B46088">
      <w:pPr>
        <w:widowControl w:val="0"/>
        <w:ind w:firstLine="851"/>
        <w:jc w:val="both"/>
        <w:rPr>
          <w:rFonts w:asciiTheme="majorBidi" w:eastAsia="Times New Roman" w:hAnsiTheme="majorBidi" w:cstheme="majorBidi"/>
          <w:bCs/>
          <w:lang w:val="lt-LT" w:eastAsia="lt-LT"/>
        </w:rPr>
      </w:pPr>
      <w:r w:rsidRPr="00796B32">
        <w:rPr>
          <w:lang w:val="lt-LT" w:eastAsia="en-GB"/>
        </w:rPr>
        <w:t>Viešoji įstaiga CPO LT, atviro konkurso (</w:t>
      </w:r>
      <w:r>
        <w:rPr>
          <w:lang w:val="lt-LT" w:eastAsia="en-GB"/>
        </w:rPr>
        <w:t>tarptautinio</w:t>
      </w:r>
      <w:r w:rsidRPr="00796B32">
        <w:rPr>
          <w:lang w:val="lt-LT" w:eastAsia="en-GB"/>
        </w:rPr>
        <w:t xml:space="preserve">) būdu </w:t>
      </w:r>
      <w:r w:rsidRPr="00796B32">
        <w:rPr>
          <w:rFonts w:asciiTheme="majorBidi" w:eastAsia="Times New Roman" w:hAnsiTheme="majorBidi" w:cstheme="majorBidi"/>
          <w:bCs/>
          <w:lang w:val="lt-LT" w:eastAsia="lt-LT"/>
        </w:rPr>
        <w:t xml:space="preserve">vykdo </w:t>
      </w:r>
      <w:r w:rsidRPr="00B46088">
        <w:rPr>
          <w:rFonts w:asciiTheme="majorBidi" w:eastAsia="Times New Roman" w:hAnsiTheme="majorBidi" w:cstheme="majorBidi"/>
          <w:b/>
          <w:lang w:val="lt-LT" w:eastAsia="lt-LT"/>
        </w:rPr>
        <w:t>„Tinklo prieigos kontrolės (NAC) programinės įrangos įsigijimas ir diegimas KAM SOC (DEIVIS tinkle)</w:t>
      </w:r>
      <w:r>
        <w:rPr>
          <w:b/>
          <w:bCs/>
          <w:color w:val="000000"/>
          <w:lang w:val="lt-LT"/>
        </w:rPr>
        <w:t xml:space="preserve">“ </w:t>
      </w:r>
      <w:r w:rsidRPr="00796B32">
        <w:rPr>
          <w:color w:val="000000"/>
          <w:lang w:val="lt-LT"/>
        </w:rPr>
        <w:t>viešąjį pirkimą</w:t>
      </w:r>
      <w:r w:rsidRPr="00796B32">
        <w:rPr>
          <w:rFonts w:asciiTheme="majorBidi" w:eastAsia="Times New Roman" w:hAnsiTheme="majorBidi" w:cstheme="majorBidi"/>
          <w:bCs/>
          <w:lang w:val="lt-LT" w:eastAsia="lt-LT"/>
        </w:rPr>
        <w:t xml:space="preserve"> (toliau – pirkimas) (Pirkimo ID</w:t>
      </w:r>
      <w:r>
        <w:rPr>
          <w:rFonts w:asciiTheme="majorBidi" w:eastAsia="Times New Roman" w:hAnsiTheme="majorBidi" w:cstheme="majorBidi"/>
          <w:bCs/>
          <w:lang w:val="lt-LT" w:eastAsia="lt-LT"/>
        </w:rPr>
        <w:t xml:space="preserve"> 3650026</w:t>
      </w:r>
      <w:r w:rsidRPr="00796B32">
        <w:rPr>
          <w:rFonts w:asciiTheme="majorBidi" w:eastAsia="Times New Roman" w:hAnsiTheme="majorBidi" w:cstheme="majorBidi"/>
          <w:bCs/>
          <w:lang w:val="lt-LT" w:eastAsia="lt-LT"/>
        </w:rPr>
        <w:t xml:space="preserve">). </w:t>
      </w:r>
    </w:p>
    <w:p w14:paraId="157A85BB" w14:textId="77777777" w:rsidR="00B46088" w:rsidRPr="00796B32" w:rsidRDefault="00B46088" w:rsidP="00B46088">
      <w:pPr>
        <w:ind w:firstLine="851"/>
        <w:jc w:val="both"/>
        <w:rPr>
          <w:lang w:val="lt-LT" w:eastAsia="en-GB"/>
        </w:rPr>
      </w:pPr>
      <w:r w:rsidRPr="00796B32">
        <w:rPr>
          <w:lang w:val="lt-LT" w:eastAsia="en-GB"/>
        </w:rPr>
        <w:t>Informuojame, kad 2025-0</w:t>
      </w:r>
      <w:r>
        <w:rPr>
          <w:lang w:val="lt-LT" w:eastAsia="en-GB"/>
        </w:rPr>
        <w:t>8</w:t>
      </w:r>
      <w:r w:rsidRPr="00796B32">
        <w:rPr>
          <w:lang w:val="lt-LT" w:eastAsia="en-GB"/>
        </w:rPr>
        <w:t>-</w:t>
      </w:r>
      <w:r>
        <w:rPr>
          <w:lang w:val="lt-LT" w:eastAsia="en-GB"/>
        </w:rPr>
        <w:t>01</w:t>
      </w:r>
      <w:r w:rsidRPr="00796B32">
        <w:rPr>
          <w:lang w:val="lt-LT" w:eastAsia="en-GB"/>
        </w:rPr>
        <w:t xml:space="preserve"> Centrinės viešųjų pirkimų informacinės sistemos priemonėmis gautas vieno iš tiekėjų paklausimas dėl pirkimo sąlygų.</w:t>
      </w:r>
    </w:p>
    <w:p w14:paraId="186908FD" w14:textId="77777777" w:rsidR="00B46088" w:rsidRDefault="00B46088" w:rsidP="00B46088">
      <w:pPr>
        <w:ind w:firstLine="851"/>
        <w:jc w:val="both"/>
        <w:rPr>
          <w:lang w:val="lt-LT"/>
        </w:rPr>
      </w:pPr>
      <w:r w:rsidRPr="00687ABE">
        <w:rPr>
          <w:lang w:val="lt-LT" w:eastAsia="en-GB"/>
        </w:rPr>
        <w:t xml:space="preserve">Vadovaudamiesi </w:t>
      </w:r>
      <w:bookmarkStart w:id="0" w:name="_Hlk98232754"/>
      <w:r w:rsidRPr="00687ABE">
        <w:rPr>
          <w:lang w:val="lt-LT" w:eastAsia="en-GB"/>
        </w:rPr>
        <w:t>Bendrųjų pirkimo sąlygų 5.2 pun</w:t>
      </w:r>
      <w:bookmarkEnd w:id="0"/>
      <w:r w:rsidRPr="00687ABE">
        <w:rPr>
          <w:lang w:val="lt-LT" w:eastAsia="en-GB"/>
        </w:rPr>
        <w:t>ktu,</w:t>
      </w:r>
      <w:r w:rsidRPr="00687ABE">
        <w:rPr>
          <w:lang w:val="lt-LT"/>
        </w:rPr>
        <w:t xml:space="preserve"> teikiame atsakymą:</w:t>
      </w:r>
    </w:p>
    <w:p w14:paraId="0403E875" w14:textId="77777777" w:rsidR="00773FF3" w:rsidRPr="00796B32" w:rsidRDefault="00773FF3" w:rsidP="00773FF3">
      <w:pPr>
        <w:ind w:firstLine="851"/>
        <w:jc w:val="both"/>
        <w:rPr>
          <w:lang w:val="lt-LT"/>
        </w:rPr>
      </w:pPr>
    </w:p>
    <w:tbl>
      <w:tblPr>
        <w:tblStyle w:val="TableGrid"/>
        <w:tblW w:w="14175" w:type="dxa"/>
        <w:tblInd w:w="-5" w:type="dxa"/>
        <w:tblLook w:val="04A0" w:firstRow="1" w:lastRow="0" w:firstColumn="1" w:lastColumn="0" w:noHBand="0" w:noVBand="1"/>
      </w:tblPr>
      <w:tblGrid>
        <w:gridCol w:w="570"/>
        <w:gridCol w:w="6518"/>
        <w:gridCol w:w="7087"/>
      </w:tblGrid>
      <w:tr w:rsidR="00773FF3" w:rsidRPr="00796B32" w14:paraId="40DACB22" w14:textId="77777777" w:rsidTr="00C05BA7">
        <w:tc>
          <w:tcPr>
            <w:tcW w:w="570" w:type="dxa"/>
          </w:tcPr>
          <w:p w14:paraId="24F97F69" w14:textId="77777777" w:rsidR="00773FF3" w:rsidRPr="00796B32" w:rsidRDefault="00773FF3" w:rsidP="00C05BA7">
            <w:pPr>
              <w:pStyle w:val="Default"/>
              <w:rPr>
                <w:sz w:val="24"/>
                <w:szCs w:val="24"/>
              </w:rPr>
            </w:pPr>
            <w:r w:rsidRPr="00796B32">
              <w:rPr>
                <w:rFonts w:asciiTheme="majorBidi" w:hAnsiTheme="majorBidi" w:cstheme="majorBidi"/>
                <w:b/>
                <w:bCs/>
                <w:i/>
                <w:iCs/>
                <w:sz w:val="24"/>
                <w:szCs w:val="24"/>
              </w:rPr>
              <w:t>Eil. Nr.</w:t>
            </w:r>
          </w:p>
        </w:tc>
        <w:tc>
          <w:tcPr>
            <w:tcW w:w="6518" w:type="dxa"/>
            <w:vAlign w:val="center"/>
          </w:tcPr>
          <w:p w14:paraId="1299ADBF" w14:textId="77777777" w:rsidR="00773FF3" w:rsidRPr="00F33466" w:rsidRDefault="00773FF3" w:rsidP="00C05BA7">
            <w:pPr>
              <w:pStyle w:val="Default"/>
              <w:jc w:val="center"/>
              <w:rPr>
                <w:noProof/>
                <w:sz w:val="24"/>
                <w:szCs w:val="24"/>
                <w:lang w:val="lt-LT"/>
              </w:rPr>
            </w:pPr>
            <w:r w:rsidRPr="00F33466">
              <w:rPr>
                <w:rFonts w:asciiTheme="majorBidi" w:hAnsiTheme="majorBidi" w:cstheme="majorBidi"/>
                <w:b/>
                <w:bCs/>
                <w:i/>
                <w:iCs/>
                <w:noProof/>
                <w:sz w:val="24"/>
                <w:szCs w:val="24"/>
                <w:lang w:val="lt-LT"/>
              </w:rPr>
              <w:t>Klausimas</w:t>
            </w:r>
          </w:p>
        </w:tc>
        <w:tc>
          <w:tcPr>
            <w:tcW w:w="7087" w:type="dxa"/>
            <w:vAlign w:val="center"/>
          </w:tcPr>
          <w:p w14:paraId="2CAB409E" w14:textId="77777777" w:rsidR="00773FF3" w:rsidRPr="00F33466" w:rsidRDefault="00773FF3" w:rsidP="00C05BA7">
            <w:pPr>
              <w:pStyle w:val="Default"/>
              <w:jc w:val="center"/>
              <w:rPr>
                <w:noProof/>
                <w:sz w:val="24"/>
                <w:szCs w:val="24"/>
                <w:lang w:val="lt-LT"/>
              </w:rPr>
            </w:pPr>
            <w:r w:rsidRPr="00F33466">
              <w:rPr>
                <w:rFonts w:asciiTheme="majorBidi" w:hAnsiTheme="majorBidi" w:cstheme="majorBidi"/>
                <w:b/>
                <w:bCs/>
                <w:i/>
                <w:iCs/>
                <w:noProof/>
                <w:sz w:val="24"/>
                <w:szCs w:val="24"/>
                <w:lang w:val="lt-LT"/>
              </w:rPr>
              <w:t>Perkančiosios organizacijos atsakymas</w:t>
            </w:r>
          </w:p>
        </w:tc>
      </w:tr>
      <w:tr w:rsidR="00773FF3" w:rsidRPr="00345FDF" w14:paraId="71A1A7A3" w14:textId="77777777" w:rsidTr="00C05BA7">
        <w:tc>
          <w:tcPr>
            <w:tcW w:w="570" w:type="dxa"/>
            <w:shd w:val="clear" w:color="auto" w:fill="auto"/>
          </w:tcPr>
          <w:p w14:paraId="24AFBA1C" w14:textId="77777777" w:rsidR="00773FF3" w:rsidRPr="00A268A8" w:rsidRDefault="00773FF3" w:rsidP="00C05BA7">
            <w:pPr>
              <w:pStyle w:val="Default"/>
              <w:rPr>
                <w:rFonts w:asciiTheme="majorBidi" w:hAnsiTheme="majorBidi" w:cstheme="majorBidi"/>
                <w:sz w:val="24"/>
                <w:szCs w:val="24"/>
              </w:rPr>
            </w:pPr>
            <w:r w:rsidRPr="00A268A8">
              <w:rPr>
                <w:rFonts w:asciiTheme="majorBidi" w:hAnsiTheme="majorBidi" w:cstheme="majorBidi"/>
                <w:sz w:val="24"/>
                <w:szCs w:val="24"/>
              </w:rPr>
              <w:t>1.</w:t>
            </w:r>
          </w:p>
        </w:tc>
        <w:tc>
          <w:tcPr>
            <w:tcW w:w="6518" w:type="dxa"/>
            <w:shd w:val="clear" w:color="auto" w:fill="auto"/>
          </w:tcPr>
          <w:p w14:paraId="4098FFB3" w14:textId="768BD488" w:rsidR="00773FF3" w:rsidRPr="00B161FC" w:rsidRDefault="00C14242" w:rsidP="00C14242">
            <w:pPr>
              <w:pStyle w:val="NormalWeb"/>
              <w:shd w:val="clear" w:color="auto" w:fill="FFFFFF"/>
              <w:spacing w:before="0" w:beforeAutospacing="0" w:after="0" w:afterAutospacing="0"/>
              <w:rPr>
                <w:noProof/>
                <w:lang w:val="lt-LT"/>
              </w:rPr>
            </w:pPr>
            <w:r w:rsidRPr="00B161FC">
              <w:rPr>
                <w:noProof/>
                <w:sz w:val="21"/>
                <w:szCs w:val="21"/>
                <w:shd w:val="clear" w:color="auto" w:fill="FFFFFF"/>
                <w:lang w:val="lt-LT"/>
              </w:rPr>
              <w:t>Rengdami pasiūlymą, norėtume patikslinti šiuo metu Perkančiosios organizacijos naudojamos NAC infrastruktūros apimtį.</w:t>
            </w:r>
            <w:r w:rsidRPr="00B161FC">
              <w:rPr>
                <w:noProof/>
                <w:sz w:val="21"/>
                <w:szCs w:val="21"/>
                <w:lang w:val="lt-LT"/>
              </w:rPr>
              <w:br/>
            </w:r>
            <w:r w:rsidRPr="00B161FC">
              <w:rPr>
                <w:noProof/>
                <w:sz w:val="21"/>
                <w:szCs w:val="21"/>
                <w:lang w:val="lt-LT"/>
              </w:rPr>
              <w:br/>
            </w:r>
            <w:r w:rsidRPr="00B161FC">
              <w:rPr>
                <w:noProof/>
                <w:sz w:val="21"/>
                <w:szCs w:val="21"/>
                <w:shd w:val="clear" w:color="auto" w:fill="FFFFFF"/>
                <w:lang w:val="lt-LT"/>
              </w:rPr>
              <w:t>Techninėje specifikacijoje nurodyta, kad šiuo metu naudojamas sprendimas pagrįstas šiais Aruba ClearPass komponentais:</w:t>
            </w:r>
            <w:r w:rsidRPr="00B161FC">
              <w:rPr>
                <w:noProof/>
                <w:sz w:val="21"/>
                <w:szCs w:val="21"/>
                <w:lang w:val="lt-LT"/>
              </w:rPr>
              <w:br/>
            </w:r>
            <w:r w:rsidRPr="00B161FC">
              <w:rPr>
                <w:noProof/>
                <w:sz w:val="21"/>
                <w:szCs w:val="21"/>
                <w:lang w:val="lt-LT"/>
              </w:rPr>
              <w:br/>
            </w:r>
            <w:r w:rsidRPr="00B161FC">
              <w:rPr>
                <w:noProof/>
                <w:sz w:val="21"/>
                <w:szCs w:val="21"/>
                <w:shd w:val="clear" w:color="auto" w:fill="FFFFFF"/>
                <w:lang w:val="lt-LT"/>
              </w:rPr>
              <w:t>- Aruba ClearPass C2000V,</w:t>
            </w:r>
            <w:r w:rsidRPr="00B161FC">
              <w:rPr>
                <w:noProof/>
                <w:sz w:val="21"/>
                <w:szCs w:val="21"/>
                <w:lang w:val="lt-LT"/>
              </w:rPr>
              <w:br/>
            </w:r>
            <w:r w:rsidRPr="00B161FC">
              <w:rPr>
                <w:noProof/>
                <w:sz w:val="21"/>
                <w:szCs w:val="21"/>
                <w:shd w:val="clear" w:color="auto" w:fill="FFFFFF"/>
                <w:lang w:val="lt-LT"/>
              </w:rPr>
              <w:t>- Aruba ClearPass N1000,</w:t>
            </w:r>
            <w:r w:rsidRPr="00B161FC">
              <w:rPr>
                <w:noProof/>
                <w:sz w:val="21"/>
                <w:szCs w:val="21"/>
                <w:lang w:val="lt-LT"/>
              </w:rPr>
              <w:br/>
            </w:r>
            <w:r w:rsidRPr="00B161FC">
              <w:rPr>
                <w:noProof/>
                <w:sz w:val="21"/>
                <w:szCs w:val="21"/>
                <w:shd w:val="clear" w:color="auto" w:fill="FFFFFF"/>
                <w:lang w:val="lt-LT"/>
              </w:rPr>
              <w:t>- Aruba ClearPass Access License 300 Endpoints.</w:t>
            </w:r>
            <w:r w:rsidRPr="00B161FC">
              <w:rPr>
                <w:noProof/>
                <w:sz w:val="21"/>
                <w:szCs w:val="21"/>
                <w:lang w:val="lt-LT"/>
              </w:rPr>
              <w:br/>
            </w:r>
            <w:r w:rsidRPr="00B161FC">
              <w:rPr>
                <w:noProof/>
                <w:sz w:val="21"/>
                <w:szCs w:val="21"/>
                <w:lang w:val="lt-LT"/>
              </w:rPr>
              <w:br/>
            </w:r>
            <w:r w:rsidRPr="00B161FC">
              <w:rPr>
                <w:noProof/>
                <w:sz w:val="21"/>
                <w:szCs w:val="21"/>
                <w:shd w:val="clear" w:color="auto" w:fill="FFFFFF"/>
                <w:lang w:val="lt-LT"/>
              </w:rPr>
              <w:t>Prašome patikslinti, kiek šiuo metu faktiškai naudojama Aruba ClearPass aktyvių įrenginių ir naudotojų?</w:t>
            </w:r>
            <w:r w:rsidRPr="00B161FC">
              <w:rPr>
                <w:noProof/>
                <w:sz w:val="21"/>
                <w:szCs w:val="21"/>
                <w:lang w:val="lt-LT"/>
              </w:rPr>
              <w:br/>
            </w:r>
            <w:r w:rsidRPr="00B161FC">
              <w:rPr>
                <w:noProof/>
                <w:sz w:val="21"/>
                <w:szCs w:val="21"/>
                <w:shd w:val="clear" w:color="auto" w:fill="FFFFFF"/>
                <w:lang w:val="lt-LT"/>
              </w:rPr>
              <w:t>Ši informacija reikalinga tiksliai įvertinti perėjimo prie naujo NAC sprendimo apimtį, darbų trukmę ir išlaidas.</w:t>
            </w:r>
            <w:r w:rsidRPr="00B161FC">
              <w:rPr>
                <w:noProof/>
                <w:sz w:val="21"/>
                <w:szCs w:val="21"/>
                <w:lang w:val="lt-LT"/>
              </w:rPr>
              <w:br/>
            </w:r>
            <w:r w:rsidRPr="00B161FC">
              <w:rPr>
                <w:noProof/>
                <w:sz w:val="21"/>
                <w:szCs w:val="21"/>
                <w:shd w:val="clear" w:color="auto" w:fill="FFFFFF"/>
                <w:lang w:val="lt-LT"/>
              </w:rPr>
              <w:t>Lauktume atsakymo artimiausiu metu.</w:t>
            </w:r>
          </w:p>
        </w:tc>
        <w:tc>
          <w:tcPr>
            <w:tcW w:w="7087" w:type="dxa"/>
          </w:tcPr>
          <w:p w14:paraId="0CB59946" w14:textId="77777777" w:rsidR="0063298D" w:rsidRPr="0063298D" w:rsidRDefault="0063298D" w:rsidP="0063298D">
            <w:pPr>
              <w:jc w:val="both"/>
              <w:rPr>
                <w:rFonts w:eastAsiaTheme="minorHAnsi"/>
                <w:noProof/>
                <w:sz w:val="22"/>
                <w:szCs w:val="22"/>
                <w:bdr w:val="none" w:sz="0" w:space="0" w:color="auto"/>
                <w:lang w:val="lt-LT"/>
              </w:rPr>
            </w:pPr>
            <w:r w:rsidRPr="0063298D">
              <w:rPr>
                <w:noProof/>
                <w:sz w:val="22"/>
                <w:szCs w:val="22"/>
                <w:lang w:val="lt-LT"/>
              </w:rPr>
              <w:t>Šiuo metu Perkančioji organizacija naudoja tokį kiekį koks ir nurodytas techninėje specifikacijoje:</w:t>
            </w:r>
          </w:p>
          <w:p w14:paraId="2DC5BC8A" w14:textId="77777777" w:rsidR="0063298D" w:rsidRPr="0063298D" w:rsidRDefault="0063298D" w:rsidP="0063298D">
            <w:pPr>
              <w:jc w:val="both"/>
              <w:rPr>
                <w:noProof/>
                <w:sz w:val="22"/>
                <w:szCs w:val="22"/>
                <w:lang w:val="lt-LT"/>
              </w:rPr>
            </w:pPr>
            <w:r w:rsidRPr="0063298D">
              <w:rPr>
                <w:noProof/>
                <w:sz w:val="22"/>
                <w:szCs w:val="22"/>
                <w:lang w:val="lt-LT"/>
              </w:rPr>
              <w:t>Aruba ClearPass C2000V – 1 vnt.</w:t>
            </w:r>
          </w:p>
          <w:p w14:paraId="15DED71F" w14:textId="77777777" w:rsidR="0063298D" w:rsidRPr="0063298D" w:rsidRDefault="0063298D" w:rsidP="0063298D">
            <w:pPr>
              <w:jc w:val="both"/>
              <w:rPr>
                <w:noProof/>
                <w:sz w:val="22"/>
                <w:szCs w:val="22"/>
                <w:lang w:val="lt-LT"/>
              </w:rPr>
            </w:pPr>
            <w:r w:rsidRPr="0063298D">
              <w:rPr>
                <w:noProof/>
                <w:sz w:val="22"/>
                <w:szCs w:val="22"/>
                <w:lang w:val="lt-LT"/>
              </w:rPr>
              <w:t>Aruba ClearPass N1000 – 1 vnt.</w:t>
            </w:r>
          </w:p>
          <w:p w14:paraId="20EF83B3" w14:textId="77777777" w:rsidR="0063298D" w:rsidRPr="0063298D" w:rsidRDefault="0063298D" w:rsidP="0063298D">
            <w:pPr>
              <w:jc w:val="both"/>
              <w:rPr>
                <w:noProof/>
                <w:sz w:val="22"/>
                <w:szCs w:val="22"/>
                <w:lang w:val="lt-LT"/>
              </w:rPr>
            </w:pPr>
            <w:r w:rsidRPr="0063298D">
              <w:rPr>
                <w:noProof/>
                <w:sz w:val="22"/>
                <w:szCs w:val="22"/>
                <w:lang w:val="lt-LT"/>
              </w:rPr>
              <w:t>Aruba ClearPass Access License 300 Endpoints – 300 konkurentinių licencijų. Kadangi licencijos konkurentinės, tai faktiškai jų panaudojimas priklauso kiek tuo metu yra prisijungusių naudotojų. Tačiau Tiekėjas turėtų pateikti visą 300 vnt. konkurentinių licencijų paketą, nes siūlomas sprendimas turi kartu pakeisti ir šiuo metu PO naudojamą sprendimą, įskaitant ir esamų paslaugų perkėlimą nuo esamo tinklo prieigos kontrolės sprendimo ir visų susijusių išlaidų padengimo.</w:t>
            </w:r>
          </w:p>
          <w:p w14:paraId="1ACAD031" w14:textId="349E1328" w:rsidR="00773FF3" w:rsidRPr="00F33466" w:rsidRDefault="00773FF3" w:rsidP="00C05BA7">
            <w:pPr>
              <w:pStyle w:val="Default"/>
              <w:ind w:firstLine="720"/>
              <w:jc w:val="both"/>
              <w:rPr>
                <w:rFonts w:ascii="Times New Roman" w:hAnsi="Times New Roman" w:cs="Times New Roman"/>
                <w:b/>
                <w:bCs/>
                <w:noProof/>
                <w:sz w:val="24"/>
                <w:szCs w:val="24"/>
                <w:lang w:val="lt-LT"/>
              </w:rPr>
            </w:pPr>
          </w:p>
        </w:tc>
      </w:tr>
    </w:tbl>
    <w:p w14:paraId="08FC80B3" w14:textId="77777777" w:rsidR="00290149" w:rsidRDefault="00290149" w:rsidP="00773FF3">
      <w:pPr>
        <w:rPr>
          <w:lang w:val="lt-LT"/>
        </w:rPr>
      </w:pPr>
    </w:p>
    <w:p w14:paraId="51147E08" w14:textId="261797A6" w:rsidR="00290149" w:rsidRDefault="00290149" w:rsidP="00773FF3">
      <w:pPr>
        <w:rPr>
          <w:b/>
          <w:bCs/>
          <w:lang w:val="lt-LT"/>
        </w:rPr>
      </w:pPr>
      <w:r>
        <w:rPr>
          <w:lang w:val="lt-LT"/>
        </w:rPr>
        <w:t>P</w:t>
      </w:r>
      <w:r>
        <w:rPr>
          <w:lang w:val="lt-LT"/>
        </w:rPr>
        <w:t>asiūlymų pateikimo termin</w:t>
      </w:r>
      <w:r>
        <w:rPr>
          <w:lang w:val="lt-LT"/>
        </w:rPr>
        <w:t>as nukeliamas</w:t>
      </w:r>
      <w:r>
        <w:rPr>
          <w:lang w:val="lt-LT"/>
        </w:rPr>
        <w:t xml:space="preserve"> </w:t>
      </w:r>
      <w:r w:rsidRPr="008C4190">
        <w:rPr>
          <w:b/>
          <w:bCs/>
          <w:u w:val="single"/>
          <w:lang w:val="lt-LT"/>
        </w:rPr>
        <w:t>iki 2025-08-27 10:00 val.</w:t>
      </w:r>
    </w:p>
    <w:p w14:paraId="6F5B848B" w14:textId="77777777" w:rsidR="00416586" w:rsidRDefault="00416586" w:rsidP="00773FF3">
      <w:pPr>
        <w:rPr>
          <w:lang w:val="lt-LT"/>
        </w:rPr>
      </w:pPr>
    </w:p>
    <w:p w14:paraId="3F5C4D50" w14:textId="59E2138A" w:rsidR="00773FF3" w:rsidRPr="00283729" w:rsidRDefault="00773FF3" w:rsidP="00773FF3">
      <w:pPr>
        <w:rPr>
          <w:lang w:val="lt-LT"/>
        </w:rPr>
      </w:pPr>
      <w:r w:rsidRPr="00283729">
        <w:rPr>
          <w:lang w:val="lt-LT"/>
        </w:rPr>
        <w:t xml:space="preserve">Pagarbiai, </w:t>
      </w:r>
    </w:p>
    <w:p w14:paraId="567425CB" w14:textId="389755A9" w:rsidR="0095021E" w:rsidRPr="00416586" w:rsidRDefault="00773FF3" w:rsidP="00416586">
      <w:pPr>
        <w:rPr>
          <w:lang w:val="lt-LT"/>
        </w:rPr>
      </w:pPr>
      <w:r w:rsidRPr="00283729">
        <w:rPr>
          <w:lang w:val="lt-LT"/>
        </w:rPr>
        <w:t>Viešojo pirkimo komisija</w:t>
      </w:r>
    </w:p>
    <w:sectPr w:rsidR="0095021E" w:rsidRPr="00416586" w:rsidSect="00773FF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F27C" w14:textId="77777777" w:rsidR="00F56494" w:rsidRDefault="00F56494" w:rsidP="00965658">
      <w:r>
        <w:separator/>
      </w:r>
    </w:p>
  </w:endnote>
  <w:endnote w:type="continuationSeparator" w:id="0">
    <w:p w14:paraId="7E23B436" w14:textId="77777777" w:rsidR="00F56494" w:rsidRDefault="00F56494" w:rsidP="0096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D75B" w14:textId="77777777" w:rsidR="00F56494" w:rsidRDefault="00F56494" w:rsidP="00965658">
      <w:r>
        <w:separator/>
      </w:r>
    </w:p>
  </w:footnote>
  <w:footnote w:type="continuationSeparator" w:id="0">
    <w:p w14:paraId="3EC4849D" w14:textId="77777777" w:rsidR="00F56494" w:rsidRDefault="00F56494" w:rsidP="0096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1BF" w14:textId="211881E7" w:rsidR="00965658" w:rsidRDefault="00965658">
    <w:pPr>
      <w:pStyle w:val="Header"/>
    </w:pPr>
    <w:r>
      <w:rPr>
        <w:noProof/>
      </w:rPr>
      <w:drawing>
        <wp:inline distT="0" distB="0" distL="0" distR="0" wp14:anchorId="6000AEDC" wp14:editId="4C0CC619">
          <wp:extent cx="1249680" cy="511810"/>
          <wp:effectExtent l="0" t="0" r="7620" b="2540"/>
          <wp:docPr id="1471971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5FE"/>
    <w:multiLevelType w:val="multilevel"/>
    <w:tmpl w:val="CEE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17AD1"/>
    <w:multiLevelType w:val="hybridMultilevel"/>
    <w:tmpl w:val="10D2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A76F7"/>
    <w:multiLevelType w:val="hybridMultilevel"/>
    <w:tmpl w:val="B5E6BEBE"/>
    <w:lvl w:ilvl="0" w:tplc="010ED5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215899">
    <w:abstractNumId w:val="1"/>
  </w:num>
  <w:num w:numId="2" w16cid:durableId="2084333468">
    <w:abstractNumId w:val="0"/>
  </w:num>
  <w:num w:numId="3" w16cid:durableId="152582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6B"/>
    <w:rsid w:val="000636FC"/>
    <w:rsid w:val="00084DF4"/>
    <w:rsid w:val="00093164"/>
    <w:rsid w:val="001C336B"/>
    <w:rsid w:val="001C3E0C"/>
    <w:rsid w:val="001F2529"/>
    <w:rsid w:val="00220BC3"/>
    <w:rsid w:val="00232AAA"/>
    <w:rsid w:val="00290149"/>
    <w:rsid w:val="002F4CCD"/>
    <w:rsid w:val="003653AE"/>
    <w:rsid w:val="00377D3A"/>
    <w:rsid w:val="00416586"/>
    <w:rsid w:val="00490573"/>
    <w:rsid w:val="004A641F"/>
    <w:rsid w:val="004C3770"/>
    <w:rsid w:val="005748D5"/>
    <w:rsid w:val="0063298D"/>
    <w:rsid w:val="006906AD"/>
    <w:rsid w:val="006B366B"/>
    <w:rsid w:val="006B666B"/>
    <w:rsid w:val="00725946"/>
    <w:rsid w:val="00756BD1"/>
    <w:rsid w:val="00771201"/>
    <w:rsid w:val="00773FF3"/>
    <w:rsid w:val="00793CD1"/>
    <w:rsid w:val="0081103F"/>
    <w:rsid w:val="008B2A4E"/>
    <w:rsid w:val="008C4190"/>
    <w:rsid w:val="008D40F2"/>
    <w:rsid w:val="0095021E"/>
    <w:rsid w:val="00965658"/>
    <w:rsid w:val="0099241A"/>
    <w:rsid w:val="009A08F9"/>
    <w:rsid w:val="00A14644"/>
    <w:rsid w:val="00A977B9"/>
    <w:rsid w:val="00B13F81"/>
    <w:rsid w:val="00B161FC"/>
    <w:rsid w:val="00B46088"/>
    <w:rsid w:val="00B577DE"/>
    <w:rsid w:val="00BD2384"/>
    <w:rsid w:val="00C12C72"/>
    <w:rsid w:val="00C14242"/>
    <w:rsid w:val="00C70757"/>
    <w:rsid w:val="00C923D0"/>
    <w:rsid w:val="00CC5560"/>
    <w:rsid w:val="00CD2071"/>
    <w:rsid w:val="00D05F60"/>
    <w:rsid w:val="00D242A4"/>
    <w:rsid w:val="00D45D4E"/>
    <w:rsid w:val="00DA3E34"/>
    <w:rsid w:val="00E14C47"/>
    <w:rsid w:val="00E26552"/>
    <w:rsid w:val="00E27D83"/>
    <w:rsid w:val="00F153F1"/>
    <w:rsid w:val="00F17D20"/>
    <w:rsid w:val="00F33466"/>
    <w:rsid w:val="00F56494"/>
    <w:rsid w:val="00F8003D"/>
    <w:rsid w:val="00FE7996"/>
    <w:rsid w:val="00FF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2EA9"/>
  <w15:chartTrackingRefBased/>
  <w15:docId w15:val="{7F63A83B-5440-4E6B-8AE9-FC57A4DA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594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B66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66B"/>
    <w:rPr>
      <w:rFonts w:eastAsiaTheme="majorEastAsia" w:cstheme="majorBidi"/>
      <w:color w:val="272727" w:themeColor="text1" w:themeTint="D8"/>
    </w:rPr>
  </w:style>
  <w:style w:type="paragraph" w:styleId="Title">
    <w:name w:val="Title"/>
    <w:basedOn w:val="Normal"/>
    <w:next w:val="Normal"/>
    <w:link w:val="TitleChar"/>
    <w:uiPriority w:val="10"/>
    <w:qFormat/>
    <w:rsid w:val="006B666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B6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66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B6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66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6B666B"/>
    <w:rPr>
      <w:i/>
      <w:iCs/>
      <w:color w:val="404040" w:themeColor="text1" w:themeTint="BF"/>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punktai"/>
    <w:basedOn w:val="Normal"/>
    <w:link w:val="ListParagraphChar"/>
    <w:uiPriority w:val="34"/>
    <w:qFormat/>
    <w:rsid w:val="006B666B"/>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6B666B"/>
    <w:rPr>
      <w:i/>
      <w:iCs/>
      <w:color w:val="0F4761" w:themeColor="accent1" w:themeShade="BF"/>
    </w:rPr>
  </w:style>
  <w:style w:type="paragraph" w:styleId="IntenseQuote">
    <w:name w:val="Intense Quote"/>
    <w:basedOn w:val="Normal"/>
    <w:next w:val="Normal"/>
    <w:link w:val="IntenseQuoteChar"/>
    <w:uiPriority w:val="30"/>
    <w:qFormat/>
    <w:rsid w:val="006B666B"/>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B666B"/>
    <w:rPr>
      <w:i/>
      <w:iCs/>
      <w:color w:val="0F4761" w:themeColor="accent1" w:themeShade="BF"/>
    </w:rPr>
  </w:style>
  <w:style w:type="character" w:styleId="IntenseReference">
    <w:name w:val="Intense Reference"/>
    <w:basedOn w:val="DefaultParagraphFont"/>
    <w:uiPriority w:val="32"/>
    <w:qFormat/>
    <w:rsid w:val="006B666B"/>
    <w:rPr>
      <w:b/>
      <w:bCs/>
      <w:smallCaps/>
      <w:color w:val="0F4761" w:themeColor="accent1" w:themeShade="BF"/>
      <w:spacing w:val="5"/>
    </w:rPr>
  </w:style>
  <w:style w:type="table" w:styleId="TableGrid">
    <w:name w:val="Table Grid"/>
    <w:basedOn w:val="TableNormal"/>
    <w:uiPriority w:val="39"/>
    <w:rsid w:val="006B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7D20"/>
    <w:rPr>
      <w:color w:val="0000FF"/>
      <w:u w:val="single"/>
    </w:rPr>
  </w:style>
  <w:style w:type="character" w:styleId="FollowedHyperlink">
    <w:name w:val="FollowedHyperlink"/>
    <w:basedOn w:val="DefaultParagraphFont"/>
    <w:uiPriority w:val="99"/>
    <w:semiHidden/>
    <w:unhideWhenUsed/>
    <w:rsid w:val="00F17D20"/>
    <w:rPr>
      <w:color w:val="96607D" w:themeColor="followedHyperlink"/>
      <w:u w:val="single"/>
    </w:rPr>
  </w:style>
  <w:style w:type="paragraph" w:styleId="Header">
    <w:name w:val="header"/>
    <w:basedOn w:val="Normal"/>
    <w:link w:val="HeaderChar"/>
    <w:uiPriority w:val="99"/>
    <w:unhideWhenUsed/>
    <w:rsid w:val="0096565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kern w:val="2"/>
      <w:bdr w:val="none" w:sz="0" w:space="0" w:color="auto"/>
      <w:lang w:val="en-GB"/>
      <w14:ligatures w14:val="standardContextual"/>
    </w:rPr>
  </w:style>
  <w:style w:type="character" w:customStyle="1" w:styleId="HeaderChar">
    <w:name w:val="Header Char"/>
    <w:basedOn w:val="DefaultParagraphFont"/>
    <w:link w:val="Header"/>
    <w:uiPriority w:val="99"/>
    <w:rsid w:val="00965658"/>
  </w:style>
  <w:style w:type="paragraph" w:styleId="Footer">
    <w:name w:val="footer"/>
    <w:basedOn w:val="Normal"/>
    <w:link w:val="FooterChar"/>
    <w:uiPriority w:val="99"/>
    <w:unhideWhenUsed/>
    <w:rsid w:val="0096565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kern w:val="2"/>
      <w:bdr w:val="none" w:sz="0" w:space="0" w:color="auto"/>
      <w:lang w:val="en-GB"/>
      <w14:ligatures w14:val="standardContextual"/>
    </w:rPr>
  </w:style>
  <w:style w:type="character" w:customStyle="1" w:styleId="FooterChar">
    <w:name w:val="Footer Char"/>
    <w:basedOn w:val="DefaultParagraphFont"/>
    <w:link w:val="Footer"/>
    <w:uiPriority w:val="99"/>
    <w:rsid w:val="00965658"/>
  </w:style>
  <w:style w:type="paragraph" w:customStyle="1" w:styleId="FreeForm">
    <w:name w:val="Free Form"/>
    <w:rsid w:val="00F8003D"/>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eastAsia="en-GB"/>
      <w14:ligatures w14:val="none"/>
    </w:rPr>
  </w:style>
  <w:style w:type="paragraph" w:customStyle="1" w:styleId="SLONormal">
    <w:name w:val="SLO Normal"/>
    <w:link w:val="SLONormalChar"/>
    <w:rsid w:val="00F8003D"/>
    <w:pPr>
      <w:spacing w:before="120" w:after="120" w:line="240" w:lineRule="auto"/>
      <w:jc w:val="both"/>
    </w:pPr>
    <w:rPr>
      <w:rFonts w:ascii="Times New Roman" w:eastAsia="Times New Roman" w:hAnsi="Times New Roman" w:cs="Times New Roman"/>
      <w:kern w:val="24"/>
      <w:sz w:val="22"/>
      <w14:ligatures w14:val="none"/>
    </w:rPr>
  </w:style>
  <w:style w:type="character" w:customStyle="1" w:styleId="SLONormalChar">
    <w:name w:val="SLO Normal Char"/>
    <w:basedOn w:val="DefaultParagraphFont"/>
    <w:link w:val="SLONormal"/>
    <w:rsid w:val="00F8003D"/>
    <w:rPr>
      <w:rFonts w:ascii="Times New Roman" w:eastAsia="Times New Roman" w:hAnsi="Times New Roman" w:cs="Times New Roman"/>
      <w:kern w:val="24"/>
      <w:sz w:val="22"/>
      <w14:ligatures w14:val="none"/>
    </w:rPr>
  </w:style>
  <w:style w:type="character" w:styleId="Strong">
    <w:name w:val="Strong"/>
    <w:uiPriority w:val="22"/>
    <w:qFormat/>
    <w:rsid w:val="00F8003D"/>
    <w:rPr>
      <w:b/>
      <w:bCs/>
    </w:rPr>
  </w:style>
  <w:style w:type="paragraph" w:styleId="NoSpacing">
    <w:name w:val="No Spacing"/>
    <w:link w:val="NoSpacingChar"/>
    <w:uiPriority w:val="1"/>
    <w:qFormat/>
    <w:rsid w:val="00725946"/>
    <w:pPr>
      <w:spacing w:after="0" w:line="240" w:lineRule="auto"/>
    </w:pPr>
    <w:rPr>
      <w:rFonts w:ascii="Times New Roman" w:eastAsia="Arial Unicode MS" w:hAnsi="Times New Roman" w:cs="Times New Roman"/>
      <w:kern w:val="0"/>
      <w:lang w:val="en-US"/>
      <w14:ligatures w14:val="none"/>
    </w:rPr>
  </w:style>
  <w:style w:type="character" w:customStyle="1" w:styleId="NoSpacingChar">
    <w:name w:val="No Spacing Char"/>
    <w:basedOn w:val="DefaultParagraphFont"/>
    <w:link w:val="NoSpacing"/>
    <w:uiPriority w:val="1"/>
    <w:rsid w:val="00725946"/>
    <w:rPr>
      <w:rFonts w:ascii="Times New Roman" w:eastAsia="Arial Unicode MS" w:hAnsi="Times New Roman" w:cs="Times New Roman"/>
      <w:kern w:val="0"/>
      <w:lang w:val="en-US"/>
      <w14:ligatures w14:val="none"/>
    </w:rPr>
  </w:style>
  <w:style w:type="paragraph" w:styleId="NormalWeb">
    <w:name w:val="Normal (Web)"/>
    <w:basedOn w:val="Normal"/>
    <w:uiPriority w:val="99"/>
    <w:unhideWhenUsed/>
    <w:rsid w:val="00BD23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ListParagraphChar">
    <w:name w:val="List Paragraph Char"/>
    <w:aliases w:val="List Paragraph1 Char,Bullet EY Char,List Paragraph2 Char,List Paragraph Red Char,Numbering Char,ERP-List Paragraph Char,List Paragraph11 Char,Sąrašo pastraipa.Bullet Char,Bullet Char,Table of contents numbered Char,Lentele Char"/>
    <w:basedOn w:val="DefaultParagraphFont"/>
    <w:link w:val="ListParagraph"/>
    <w:uiPriority w:val="34"/>
    <w:qFormat/>
    <w:locked/>
    <w:rsid w:val="00BD2384"/>
  </w:style>
  <w:style w:type="paragraph" w:customStyle="1" w:styleId="Default">
    <w:name w:val="Default"/>
    <w:rsid w:val="00773FF3"/>
    <w:pPr>
      <w:spacing w:after="0" w:line="240" w:lineRule="auto"/>
    </w:pPr>
    <w:rPr>
      <w:rFonts w:ascii="Helvetica" w:eastAsia="Arial Unicode MS" w:hAnsi="Arial Unicode MS" w:cs="Arial Unicode MS"/>
      <w:color w:val="000000"/>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5765">
      <w:bodyDiv w:val="1"/>
      <w:marLeft w:val="0"/>
      <w:marRight w:val="0"/>
      <w:marTop w:val="0"/>
      <w:marBottom w:val="0"/>
      <w:divBdr>
        <w:top w:val="none" w:sz="0" w:space="0" w:color="auto"/>
        <w:left w:val="none" w:sz="0" w:space="0" w:color="auto"/>
        <w:bottom w:val="none" w:sz="0" w:space="0" w:color="auto"/>
        <w:right w:val="none" w:sz="0" w:space="0" w:color="auto"/>
      </w:divBdr>
      <w:divsChild>
        <w:div w:id="159395436">
          <w:marLeft w:val="0"/>
          <w:marRight w:val="0"/>
          <w:marTop w:val="0"/>
          <w:marBottom w:val="0"/>
          <w:divBdr>
            <w:top w:val="none" w:sz="0" w:space="0" w:color="auto"/>
            <w:left w:val="none" w:sz="0" w:space="0" w:color="auto"/>
            <w:bottom w:val="none" w:sz="0" w:space="0" w:color="auto"/>
            <w:right w:val="none" w:sz="0" w:space="0" w:color="auto"/>
          </w:divBdr>
        </w:div>
        <w:div w:id="1918318755">
          <w:marLeft w:val="0"/>
          <w:marRight w:val="0"/>
          <w:marTop w:val="0"/>
          <w:marBottom w:val="0"/>
          <w:divBdr>
            <w:top w:val="none" w:sz="0" w:space="0" w:color="auto"/>
            <w:left w:val="none" w:sz="0" w:space="0" w:color="auto"/>
            <w:bottom w:val="none" w:sz="0" w:space="0" w:color="auto"/>
            <w:right w:val="none" w:sz="0" w:space="0" w:color="auto"/>
          </w:divBdr>
        </w:div>
        <w:div w:id="1873959398">
          <w:marLeft w:val="0"/>
          <w:marRight w:val="0"/>
          <w:marTop w:val="0"/>
          <w:marBottom w:val="0"/>
          <w:divBdr>
            <w:top w:val="none" w:sz="0" w:space="0" w:color="auto"/>
            <w:left w:val="none" w:sz="0" w:space="0" w:color="auto"/>
            <w:bottom w:val="none" w:sz="0" w:space="0" w:color="auto"/>
            <w:right w:val="none" w:sz="0" w:space="0" w:color="auto"/>
          </w:divBdr>
        </w:div>
        <w:div w:id="2116946133">
          <w:marLeft w:val="0"/>
          <w:marRight w:val="0"/>
          <w:marTop w:val="0"/>
          <w:marBottom w:val="0"/>
          <w:divBdr>
            <w:top w:val="none" w:sz="0" w:space="0" w:color="auto"/>
            <w:left w:val="none" w:sz="0" w:space="0" w:color="auto"/>
            <w:bottom w:val="none" w:sz="0" w:space="0" w:color="auto"/>
            <w:right w:val="none" w:sz="0" w:space="0" w:color="auto"/>
          </w:divBdr>
        </w:div>
        <w:div w:id="1896626363">
          <w:marLeft w:val="0"/>
          <w:marRight w:val="0"/>
          <w:marTop w:val="0"/>
          <w:marBottom w:val="0"/>
          <w:divBdr>
            <w:top w:val="none" w:sz="0" w:space="0" w:color="auto"/>
            <w:left w:val="none" w:sz="0" w:space="0" w:color="auto"/>
            <w:bottom w:val="none" w:sz="0" w:space="0" w:color="auto"/>
            <w:right w:val="none" w:sz="0" w:space="0" w:color="auto"/>
          </w:divBdr>
        </w:div>
        <w:div w:id="1786583787">
          <w:marLeft w:val="0"/>
          <w:marRight w:val="0"/>
          <w:marTop w:val="0"/>
          <w:marBottom w:val="0"/>
          <w:divBdr>
            <w:top w:val="none" w:sz="0" w:space="0" w:color="auto"/>
            <w:left w:val="none" w:sz="0" w:space="0" w:color="auto"/>
            <w:bottom w:val="none" w:sz="0" w:space="0" w:color="auto"/>
            <w:right w:val="none" w:sz="0" w:space="0" w:color="auto"/>
          </w:divBdr>
        </w:div>
        <w:div w:id="1013728724">
          <w:marLeft w:val="0"/>
          <w:marRight w:val="0"/>
          <w:marTop w:val="0"/>
          <w:marBottom w:val="0"/>
          <w:divBdr>
            <w:top w:val="none" w:sz="0" w:space="0" w:color="auto"/>
            <w:left w:val="none" w:sz="0" w:space="0" w:color="auto"/>
            <w:bottom w:val="none" w:sz="0" w:space="0" w:color="auto"/>
            <w:right w:val="none" w:sz="0" w:space="0" w:color="auto"/>
          </w:divBdr>
        </w:div>
        <w:div w:id="1936941709">
          <w:marLeft w:val="0"/>
          <w:marRight w:val="0"/>
          <w:marTop w:val="0"/>
          <w:marBottom w:val="0"/>
          <w:divBdr>
            <w:top w:val="none" w:sz="0" w:space="0" w:color="auto"/>
            <w:left w:val="none" w:sz="0" w:space="0" w:color="auto"/>
            <w:bottom w:val="none" w:sz="0" w:space="0" w:color="auto"/>
            <w:right w:val="none" w:sz="0" w:space="0" w:color="auto"/>
          </w:divBdr>
        </w:div>
        <w:div w:id="1552840133">
          <w:marLeft w:val="0"/>
          <w:marRight w:val="0"/>
          <w:marTop w:val="0"/>
          <w:marBottom w:val="0"/>
          <w:divBdr>
            <w:top w:val="none" w:sz="0" w:space="0" w:color="auto"/>
            <w:left w:val="none" w:sz="0" w:space="0" w:color="auto"/>
            <w:bottom w:val="none" w:sz="0" w:space="0" w:color="auto"/>
            <w:right w:val="none" w:sz="0" w:space="0" w:color="auto"/>
          </w:divBdr>
        </w:div>
        <w:div w:id="854727100">
          <w:marLeft w:val="0"/>
          <w:marRight w:val="0"/>
          <w:marTop w:val="0"/>
          <w:marBottom w:val="0"/>
          <w:divBdr>
            <w:top w:val="none" w:sz="0" w:space="0" w:color="auto"/>
            <w:left w:val="none" w:sz="0" w:space="0" w:color="auto"/>
            <w:bottom w:val="none" w:sz="0" w:space="0" w:color="auto"/>
            <w:right w:val="none" w:sz="0" w:space="0" w:color="auto"/>
          </w:divBdr>
        </w:div>
        <w:div w:id="1609461508">
          <w:marLeft w:val="0"/>
          <w:marRight w:val="0"/>
          <w:marTop w:val="0"/>
          <w:marBottom w:val="0"/>
          <w:divBdr>
            <w:top w:val="none" w:sz="0" w:space="0" w:color="auto"/>
            <w:left w:val="none" w:sz="0" w:space="0" w:color="auto"/>
            <w:bottom w:val="none" w:sz="0" w:space="0" w:color="auto"/>
            <w:right w:val="none" w:sz="0" w:space="0" w:color="auto"/>
          </w:divBdr>
        </w:div>
        <w:div w:id="137381275">
          <w:marLeft w:val="0"/>
          <w:marRight w:val="0"/>
          <w:marTop w:val="0"/>
          <w:marBottom w:val="0"/>
          <w:divBdr>
            <w:top w:val="none" w:sz="0" w:space="0" w:color="auto"/>
            <w:left w:val="none" w:sz="0" w:space="0" w:color="auto"/>
            <w:bottom w:val="none" w:sz="0" w:space="0" w:color="auto"/>
            <w:right w:val="none" w:sz="0" w:space="0" w:color="auto"/>
          </w:divBdr>
        </w:div>
        <w:div w:id="1987003579">
          <w:marLeft w:val="0"/>
          <w:marRight w:val="0"/>
          <w:marTop w:val="0"/>
          <w:marBottom w:val="0"/>
          <w:divBdr>
            <w:top w:val="none" w:sz="0" w:space="0" w:color="auto"/>
            <w:left w:val="none" w:sz="0" w:space="0" w:color="auto"/>
            <w:bottom w:val="none" w:sz="0" w:space="0" w:color="auto"/>
            <w:right w:val="none" w:sz="0" w:space="0" w:color="auto"/>
          </w:divBdr>
        </w:div>
        <w:div w:id="1687363252">
          <w:marLeft w:val="0"/>
          <w:marRight w:val="0"/>
          <w:marTop w:val="0"/>
          <w:marBottom w:val="0"/>
          <w:divBdr>
            <w:top w:val="none" w:sz="0" w:space="0" w:color="auto"/>
            <w:left w:val="none" w:sz="0" w:space="0" w:color="auto"/>
            <w:bottom w:val="none" w:sz="0" w:space="0" w:color="auto"/>
            <w:right w:val="none" w:sz="0" w:space="0" w:color="auto"/>
          </w:divBdr>
        </w:div>
        <w:div w:id="2121559901">
          <w:marLeft w:val="0"/>
          <w:marRight w:val="0"/>
          <w:marTop w:val="0"/>
          <w:marBottom w:val="0"/>
          <w:divBdr>
            <w:top w:val="none" w:sz="0" w:space="0" w:color="auto"/>
            <w:left w:val="none" w:sz="0" w:space="0" w:color="auto"/>
            <w:bottom w:val="none" w:sz="0" w:space="0" w:color="auto"/>
            <w:right w:val="none" w:sz="0" w:space="0" w:color="auto"/>
          </w:divBdr>
        </w:div>
        <w:div w:id="1914270954">
          <w:marLeft w:val="0"/>
          <w:marRight w:val="0"/>
          <w:marTop w:val="0"/>
          <w:marBottom w:val="0"/>
          <w:divBdr>
            <w:top w:val="none" w:sz="0" w:space="0" w:color="auto"/>
            <w:left w:val="none" w:sz="0" w:space="0" w:color="auto"/>
            <w:bottom w:val="none" w:sz="0" w:space="0" w:color="auto"/>
            <w:right w:val="none" w:sz="0" w:space="0" w:color="auto"/>
          </w:divBdr>
        </w:div>
        <w:div w:id="1781148126">
          <w:marLeft w:val="0"/>
          <w:marRight w:val="0"/>
          <w:marTop w:val="0"/>
          <w:marBottom w:val="0"/>
          <w:divBdr>
            <w:top w:val="none" w:sz="0" w:space="0" w:color="auto"/>
            <w:left w:val="none" w:sz="0" w:space="0" w:color="auto"/>
            <w:bottom w:val="none" w:sz="0" w:space="0" w:color="auto"/>
            <w:right w:val="none" w:sz="0" w:space="0" w:color="auto"/>
          </w:divBdr>
        </w:div>
        <w:div w:id="1047607049">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 w:id="1019283823">
          <w:marLeft w:val="0"/>
          <w:marRight w:val="0"/>
          <w:marTop w:val="0"/>
          <w:marBottom w:val="0"/>
          <w:divBdr>
            <w:top w:val="none" w:sz="0" w:space="0" w:color="auto"/>
            <w:left w:val="none" w:sz="0" w:space="0" w:color="auto"/>
            <w:bottom w:val="none" w:sz="0" w:space="0" w:color="auto"/>
            <w:right w:val="none" w:sz="0" w:space="0" w:color="auto"/>
          </w:divBdr>
        </w:div>
        <w:div w:id="1736277418">
          <w:marLeft w:val="0"/>
          <w:marRight w:val="0"/>
          <w:marTop w:val="0"/>
          <w:marBottom w:val="0"/>
          <w:divBdr>
            <w:top w:val="none" w:sz="0" w:space="0" w:color="auto"/>
            <w:left w:val="none" w:sz="0" w:space="0" w:color="auto"/>
            <w:bottom w:val="none" w:sz="0" w:space="0" w:color="auto"/>
            <w:right w:val="none" w:sz="0" w:space="0" w:color="auto"/>
          </w:divBdr>
        </w:div>
      </w:divsChild>
    </w:div>
    <w:div w:id="3856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Stankūnienė</dc:creator>
  <cp:keywords/>
  <dc:description/>
  <cp:lastModifiedBy>Donata Stankūnienė</cp:lastModifiedBy>
  <cp:revision>38</cp:revision>
  <dcterms:created xsi:type="dcterms:W3CDTF">2024-12-02T07:38:00Z</dcterms:created>
  <dcterms:modified xsi:type="dcterms:W3CDTF">2025-08-20T11:30:00Z</dcterms:modified>
</cp:coreProperties>
</file>