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4BF9" w14:textId="0E365E23" w:rsidR="00050D48" w:rsidRDefault="00050D48"/>
    <w:p w14:paraId="56C60D8D" w14:textId="0702B3D7" w:rsidR="00050D48" w:rsidRDefault="00050D48"/>
    <w:p w14:paraId="0DB9FBE0" w14:textId="77777777" w:rsidR="00050D48" w:rsidRDefault="00050D48"/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6841D7" w14:paraId="4BFCE3B0" w14:textId="77777777" w:rsidTr="006203F4">
        <w:tc>
          <w:tcPr>
            <w:tcW w:w="2608" w:type="dxa"/>
            <w:hideMark/>
          </w:tcPr>
          <w:p w14:paraId="5C83EBE0" w14:textId="77777777" w:rsidR="006841D7" w:rsidRPr="00A801E1" w:rsidRDefault="006841D7" w:rsidP="006203F4">
            <w:pPr>
              <w:widowControl w:val="0"/>
              <w:spacing w:line="256" w:lineRule="auto"/>
            </w:pPr>
            <w:r w:rsidRPr="00A801E1">
              <w:br w:type="page"/>
            </w:r>
            <w:r w:rsidRPr="00A801E1">
              <w:br w:type="page"/>
              <w:t>Konkurso sąlygų aprašo</w:t>
            </w:r>
          </w:p>
        </w:tc>
      </w:tr>
      <w:tr w:rsidR="006841D7" w14:paraId="08278FE3" w14:textId="77777777" w:rsidTr="006203F4">
        <w:tc>
          <w:tcPr>
            <w:tcW w:w="2608" w:type="dxa"/>
            <w:hideMark/>
          </w:tcPr>
          <w:p w14:paraId="3FB7C5AF" w14:textId="77777777" w:rsidR="006841D7" w:rsidRPr="00A801E1" w:rsidRDefault="006841D7" w:rsidP="006203F4">
            <w:pPr>
              <w:widowControl w:val="0"/>
              <w:spacing w:line="256" w:lineRule="auto"/>
            </w:pPr>
            <w:r w:rsidRPr="00A801E1">
              <w:t>6 priedas</w:t>
            </w:r>
          </w:p>
        </w:tc>
      </w:tr>
    </w:tbl>
    <w:p w14:paraId="70C7AB9D" w14:textId="77777777" w:rsidR="006841D7" w:rsidRDefault="006841D7" w:rsidP="006841D7">
      <w:pPr>
        <w:keepNext/>
        <w:keepLines/>
        <w:jc w:val="center"/>
        <w:rPr>
          <w:b/>
          <w:bCs/>
          <w:lang w:eastAsia="lt-LT"/>
        </w:rPr>
      </w:pPr>
    </w:p>
    <w:p w14:paraId="370F900F" w14:textId="77777777" w:rsidR="006841D7" w:rsidRPr="00E51AE0" w:rsidRDefault="006841D7" w:rsidP="006841D7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>STATINIO ARCHITEKTŪROS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6B166A2F" w14:textId="77777777" w:rsidR="006841D7" w:rsidRPr="0064753D" w:rsidRDefault="006841D7" w:rsidP="006841D7">
      <w:pPr>
        <w:keepNext/>
        <w:keepLines/>
        <w:jc w:val="center"/>
        <w:rPr>
          <w:bCs/>
          <w:i/>
          <w:iCs/>
          <w:sz w:val="20"/>
          <w:szCs w:val="20"/>
        </w:rPr>
      </w:pPr>
      <w:r w:rsidRPr="0064753D">
        <w:rPr>
          <w:bCs/>
          <w:i/>
          <w:iCs/>
          <w:sz w:val="20"/>
          <w:szCs w:val="20"/>
        </w:rPr>
        <w:t>(teikiamas su pasiūlymu dėl ekonominio naudingumo kriterijaus „</w:t>
      </w:r>
      <w:bookmarkStart w:id="0" w:name="_Hlk159870045"/>
      <w:r w:rsidRPr="0064753D">
        <w:rPr>
          <w:bCs/>
          <w:i/>
          <w:iCs/>
          <w:sz w:val="20"/>
          <w:szCs w:val="20"/>
          <w:lang w:eastAsia="lt-LT"/>
        </w:rPr>
        <w:t>Pagrindinio personalo patirtis</w:t>
      </w:r>
      <w:bookmarkEnd w:id="0"/>
      <w:r w:rsidRPr="0064753D">
        <w:rPr>
          <w:bCs/>
          <w:i/>
          <w:iCs/>
          <w:sz w:val="20"/>
          <w:szCs w:val="20"/>
          <w:lang w:eastAsia="lt-LT"/>
        </w:rPr>
        <w:t>)</w:t>
      </w:r>
      <w:r w:rsidRPr="0064753D">
        <w:rPr>
          <w:bCs/>
          <w:i/>
          <w:iCs/>
          <w:sz w:val="20"/>
          <w:szCs w:val="20"/>
        </w:rPr>
        <w:t>“</w:t>
      </w:r>
    </w:p>
    <w:p w14:paraId="21ABD0D1" w14:textId="77777777" w:rsidR="006841D7" w:rsidRPr="0064753D" w:rsidRDefault="006841D7" w:rsidP="00465879">
      <w:pPr>
        <w:keepNext/>
        <w:keepLines/>
        <w:rPr>
          <w:bCs/>
          <w:sz w:val="20"/>
          <w:szCs w:val="20"/>
        </w:rPr>
      </w:pPr>
    </w:p>
    <w:p w14:paraId="57769C38" w14:textId="77777777" w:rsidR="006841D7" w:rsidRPr="0064753D" w:rsidRDefault="006841D7" w:rsidP="006841D7">
      <w:pPr>
        <w:ind w:firstLine="709"/>
        <w:jc w:val="both"/>
        <w:rPr>
          <w:rStyle w:val="Komentaronuoroda"/>
          <w:bCs/>
          <w:sz w:val="12"/>
          <w:szCs w:val="12"/>
        </w:rPr>
      </w:pPr>
      <w:r w:rsidRPr="0064753D">
        <w:rPr>
          <w:bCs/>
          <w:i/>
          <w:sz w:val="20"/>
          <w:szCs w:val="20"/>
        </w:rPr>
        <w:t>Ekonominio naudingumo vertinimo kriterijus „Pagrindinio personalo patirtis“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dokumentus/duomenis. Tiekėjui pasiūlyme (konkurso sąlygų aprašo 1 priede) ir (ar) šiame priede neužpildžius / nenurodžius / nepažymėjus prašomos informacijos, nepateikus kartu su pasiūlymu reikalaujamų pateikti dokumentų, tiekėjo pasiūlymas nebus atmetamas, tačiau tiekėjui bus skiriama 0 balų.</w:t>
      </w:r>
    </w:p>
    <w:p w14:paraId="7C53F651" w14:textId="77777777" w:rsidR="006841D7" w:rsidRPr="0064753D" w:rsidRDefault="006841D7" w:rsidP="006841D7">
      <w:pPr>
        <w:ind w:firstLine="709"/>
        <w:jc w:val="both"/>
        <w:rPr>
          <w:bCs/>
          <w:i/>
          <w:sz w:val="20"/>
          <w:szCs w:val="20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701"/>
        <w:gridCol w:w="1985"/>
        <w:gridCol w:w="1559"/>
        <w:gridCol w:w="1985"/>
        <w:gridCol w:w="2268"/>
      </w:tblGrid>
      <w:tr w:rsidR="006841D7" w:rsidRPr="00465879" w14:paraId="543C2110" w14:textId="77777777" w:rsidTr="006203F4">
        <w:trPr>
          <w:cantSplit/>
          <w:trHeight w:val="427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D89CC" w14:textId="77777777" w:rsidR="006841D7" w:rsidRPr="00465879" w:rsidRDefault="006841D7" w:rsidP="006203F4">
            <w:pPr>
              <w:jc w:val="both"/>
              <w:rPr>
                <w:sz w:val="22"/>
                <w:szCs w:val="22"/>
              </w:rPr>
            </w:pPr>
            <w:r w:rsidRPr="00465879">
              <w:rPr>
                <w:sz w:val="22"/>
                <w:szCs w:val="22"/>
              </w:rPr>
              <w:t xml:space="preserve">Specialisto vardas, pavardė – </w:t>
            </w:r>
            <w:r w:rsidRPr="00465879">
              <w:rPr>
                <w:sz w:val="22"/>
                <w:szCs w:val="22"/>
                <w:highlight w:val="lightGray"/>
              </w:rPr>
              <w:t>(nurodyti)</w:t>
            </w:r>
          </w:p>
        </w:tc>
      </w:tr>
      <w:tr w:rsidR="006841D7" w:rsidRPr="00465879" w14:paraId="7289364E" w14:textId="77777777" w:rsidTr="006203F4">
        <w:trPr>
          <w:cantSplit/>
          <w:trHeight w:val="427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475E" w14:textId="77777777" w:rsidR="006841D7" w:rsidRPr="00465879" w:rsidRDefault="006841D7" w:rsidP="006203F4">
            <w:pPr>
              <w:jc w:val="both"/>
              <w:rPr>
                <w:sz w:val="22"/>
                <w:szCs w:val="22"/>
              </w:rPr>
            </w:pPr>
            <w:r w:rsidRPr="00465879">
              <w:rPr>
                <w:sz w:val="22"/>
                <w:szCs w:val="22"/>
              </w:rPr>
              <w:t xml:space="preserve">Kokiu pagrindu specialistas pasitelkiamas: </w:t>
            </w:r>
            <w:r w:rsidRPr="00465879">
              <w:rPr>
                <w:sz w:val="22"/>
                <w:szCs w:val="22"/>
                <w:highlight w:val="lightGray"/>
              </w:rPr>
              <w:t>(nurodyti vieną iš žemiau pateiktų variantų)</w:t>
            </w:r>
          </w:p>
          <w:p w14:paraId="5B37B1D8" w14:textId="77777777" w:rsidR="006841D7" w:rsidRPr="00465879" w:rsidRDefault="006841D7" w:rsidP="006203F4">
            <w:pPr>
              <w:jc w:val="both"/>
              <w:rPr>
                <w:sz w:val="22"/>
                <w:szCs w:val="22"/>
                <w:highlight w:val="lightGray"/>
              </w:rPr>
            </w:pPr>
            <w:r w:rsidRPr="00465879">
              <w:rPr>
                <w:sz w:val="22"/>
                <w:szCs w:val="22"/>
                <w:highlight w:val="lightGray"/>
              </w:rPr>
              <w:t>(1) yra tiekėjo darbuotojas,</w:t>
            </w:r>
          </w:p>
          <w:p w14:paraId="02AE9D5D" w14:textId="77777777" w:rsidR="006841D7" w:rsidRPr="00465879" w:rsidRDefault="006841D7" w:rsidP="006203F4">
            <w:pPr>
              <w:jc w:val="both"/>
              <w:rPr>
                <w:sz w:val="22"/>
                <w:szCs w:val="22"/>
                <w:highlight w:val="lightGray"/>
              </w:rPr>
            </w:pPr>
            <w:r w:rsidRPr="00465879">
              <w:rPr>
                <w:sz w:val="22"/>
                <w:szCs w:val="22"/>
                <w:highlight w:val="lightGray"/>
              </w:rPr>
              <w:t>(2) yra ūkio subjekto (nurodant pavadinimą), kurio pajėgumais (kvalifikacija) remiamasi, darbuotojas;</w:t>
            </w:r>
          </w:p>
          <w:p w14:paraId="7FD7AFDB" w14:textId="77777777" w:rsidR="006841D7" w:rsidRPr="00465879" w:rsidRDefault="006841D7" w:rsidP="006203F4">
            <w:pPr>
              <w:jc w:val="both"/>
              <w:rPr>
                <w:sz w:val="22"/>
                <w:szCs w:val="22"/>
                <w:highlight w:val="lightGray"/>
              </w:rPr>
            </w:pPr>
            <w:r w:rsidRPr="00465879">
              <w:rPr>
                <w:sz w:val="22"/>
                <w:szCs w:val="22"/>
                <w:highlight w:val="lightGray"/>
              </w:rPr>
              <w:t>(3) planuojamas įdarbinti laimėjus konkursą (</w:t>
            </w:r>
            <w:proofErr w:type="spellStart"/>
            <w:r w:rsidRPr="00465879">
              <w:rPr>
                <w:sz w:val="22"/>
                <w:szCs w:val="22"/>
                <w:highlight w:val="lightGray"/>
              </w:rPr>
              <w:t>kvazisubtiekėjas</w:t>
            </w:r>
            <w:proofErr w:type="spellEnd"/>
            <w:r w:rsidRPr="00465879">
              <w:rPr>
                <w:sz w:val="22"/>
                <w:szCs w:val="22"/>
                <w:highlight w:val="lightGray"/>
              </w:rPr>
              <w:t xml:space="preserve">); </w:t>
            </w:r>
          </w:p>
          <w:p w14:paraId="108251CF" w14:textId="77777777" w:rsidR="006841D7" w:rsidRPr="00465879" w:rsidRDefault="006841D7" w:rsidP="006203F4">
            <w:pPr>
              <w:jc w:val="both"/>
              <w:rPr>
                <w:sz w:val="22"/>
                <w:szCs w:val="22"/>
              </w:rPr>
            </w:pPr>
            <w:r w:rsidRPr="00465879">
              <w:rPr>
                <w:sz w:val="22"/>
                <w:szCs w:val="22"/>
                <w:highlight w:val="lightGray"/>
              </w:rPr>
              <w:t>(4) yra pasitelkiamas kaip ūkio subjektas, kurio pajėgumais (kvalifikacija) remiamasi</w:t>
            </w:r>
          </w:p>
        </w:tc>
      </w:tr>
      <w:tr w:rsidR="006841D7" w:rsidRPr="00465879" w14:paraId="75880D73" w14:textId="77777777" w:rsidTr="00C72604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F552D0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76AE6F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Projekto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EACFE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Statinio kategorija; grupė, paskirtis; statybos rūšis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F6FDA" w14:textId="22763D75" w:rsidR="006841D7" w:rsidRPr="00465879" w:rsidRDefault="00C72604" w:rsidP="006203F4">
            <w:pPr>
              <w:keepNext/>
              <w:keepLines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Specialisto r</w:t>
            </w:r>
            <w:r w:rsidR="006841D7" w:rsidRPr="00465879">
              <w:rPr>
                <w:bCs/>
                <w:sz w:val="22"/>
                <w:szCs w:val="22"/>
              </w:rPr>
              <w:t>engta projekto dalis</w:t>
            </w:r>
            <w:r>
              <w:rPr>
                <w:bCs/>
                <w:sz w:val="22"/>
                <w:szCs w:val="22"/>
              </w:rPr>
              <w:t>, specialisto pareigos projekte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2E764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i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Projekto rengimo pradžios ir pabaigos datos dienos tikslumu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B3E86D" w14:textId="278DBF7E" w:rsidR="006841D7" w:rsidRPr="00465879" w:rsidRDefault="00C72604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Projekto užsakovo kontaktiniai duomenys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E89C9A" w14:textId="37FCFF21" w:rsidR="006841D7" w:rsidRPr="00465879" w:rsidRDefault="00C72604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C72604">
              <w:rPr>
                <w:bCs/>
                <w:sz w:val="22"/>
                <w:szCs w:val="22"/>
              </w:rPr>
              <w:t>pecialisto paskyrimo į atitinkamas pareigas</w:t>
            </w:r>
            <w:r>
              <w:rPr>
                <w:bCs/>
                <w:sz w:val="22"/>
                <w:szCs w:val="22"/>
              </w:rPr>
              <w:t xml:space="preserve"> dokumentai</w:t>
            </w:r>
            <w:r w:rsidR="006841D7" w:rsidRPr="0046587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C954A" w14:textId="77777777" w:rsidR="006841D7" w:rsidRPr="00465879" w:rsidRDefault="006841D7" w:rsidP="006203F4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color w:val="000000" w:themeColor="text1"/>
                <w:sz w:val="22"/>
                <w:szCs w:val="22"/>
              </w:rPr>
              <w:t>Projektavimo paslaugų užbaigimą pagrindžiantis dokumentas</w:t>
            </w:r>
          </w:p>
        </w:tc>
      </w:tr>
      <w:tr w:rsidR="006841D7" w:rsidRPr="00465879" w14:paraId="418B6DA4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8DF3F" w14:textId="1961210E" w:rsidR="006841D7" w:rsidRPr="00465879" w:rsidRDefault="00C72604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841D7" w:rsidRPr="0046587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9786F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E2099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58B76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E40DB3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E7214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265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A2D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41D7" w:rsidRPr="00465879" w14:paraId="6F3DFCFB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9F663" w14:textId="77777777" w:rsidR="006841D7" w:rsidRPr="00465879" w:rsidRDefault="006841D7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DE438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91148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8E84C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1749016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88C16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7A4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BA3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41D7" w:rsidRPr="00465879" w14:paraId="7FB803D3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F1143" w14:textId="77777777" w:rsidR="006841D7" w:rsidRPr="00465879" w:rsidRDefault="006841D7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5F65B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8D1AF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0EB22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4958E9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4C027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C61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AF3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41D7" w:rsidRPr="00465879" w14:paraId="39D8E48C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7B70E" w14:textId="3FDEF4E1" w:rsidR="006841D7" w:rsidRPr="00465879" w:rsidRDefault="00697863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6623C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382F3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34E2A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B7A6956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7FE67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07D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AE8" w14:textId="77777777" w:rsidR="006841D7" w:rsidRPr="00465879" w:rsidRDefault="006841D7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97863" w:rsidRPr="00465879" w14:paraId="7DF2A00E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EEC0F" w14:textId="33042693" w:rsidR="00697863" w:rsidRPr="00465879" w:rsidRDefault="00697863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2D597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8C90A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54D8A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7C76DB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89396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E37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CF5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97863" w:rsidRPr="00465879" w14:paraId="52E8455C" w14:textId="77777777" w:rsidTr="00C72604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FCFFB" w14:textId="108AF8A9" w:rsidR="00697863" w:rsidRPr="00465879" w:rsidRDefault="00697863" w:rsidP="006203F4">
            <w:pPr>
              <w:keepNext/>
              <w:keepLines/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65879"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AB5DC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FA56A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9D44E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02BDD4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953D8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99C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533" w14:textId="77777777" w:rsidR="00697863" w:rsidRPr="00465879" w:rsidRDefault="00697863" w:rsidP="006203F4">
            <w:pPr>
              <w:keepNext/>
              <w:keepLines/>
              <w:spacing w:line="256" w:lineRule="auto"/>
              <w:rPr>
                <w:bCs/>
                <w:sz w:val="22"/>
                <w:szCs w:val="22"/>
              </w:rPr>
            </w:pPr>
          </w:p>
        </w:tc>
      </w:tr>
    </w:tbl>
    <w:p w14:paraId="584D6D84" w14:textId="6BD73BA6" w:rsidR="00465879" w:rsidRPr="00465879" w:rsidRDefault="00465879" w:rsidP="0046587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Kartu su šiuo sąrašu pateikiama</w:t>
      </w:r>
      <w:r w:rsidRPr="00465879">
        <w:rPr>
          <w:i/>
          <w:iCs/>
          <w:sz w:val="20"/>
          <w:szCs w:val="20"/>
        </w:rPr>
        <w:t>:</w:t>
      </w:r>
    </w:p>
    <w:p w14:paraId="2D6F4E0D" w14:textId="29B7AD23" w:rsidR="00465879" w:rsidRPr="00465879" w:rsidRDefault="00465879" w:rsidP="00465879">
      <w:pPr>
        <w:rPr>
          <w:i/>
          <w:iCs/>
          <w:sz w:val="20"/>
          <w:szCs w:val="20"/>
        </w:rPr>
      </w:pPr>
      <w:r w:rsidRPr="00465879">
        <w:rPr>
          <w:i/>
          <w:iCs/>
          <w:sz w:val="20"/>
          <w:szCs w:val="20"/>
        </w:rPr>
        <w:t>1) Lietuvos Respublikos ir trečiųjų šalių piliečiams ir kitiems fiziniams asmenims (išskyrus užsienio šalies specialistus) SSVA (iki 2022-04-30 SPSC) ar Lietuvos architektų rūmų išduot</w:t>
      </w:r>
      <w:r>
        <w:rPr>
          <w:i/>
          <w:iCs/>
          <w:sz w:val="20"/>
          <w:szCs w:val="20"/>
        </w:rPr>
        <w:t>i</w:t>
      </w:r>
      <w:r w:rsidRPr="00465879">
        <w:rPr>
          <w:i/>
          <w:iCs/>
          <w:sz w:val="20"/>
          <w:szCs w:val="20"/>
        </w:rPr>
        <w:t xml:space="preserve"> kvalifikacijos atestat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ar užsienio šalies specialistams išduot</w:t>
      </w:r>
      <w:r>
        <w:rPr>
          <w:i/>
          <w:iCs/>
          <w:sz w:val="20"/>
          <w:szCs w:val="20"/>
        </w:rPr>
        <w:t>i</w:t>
      </w:r>
      <w:r w:rsidRPr="00465879">
        <w:rPr>
          <w:i/>
          <w:iCs/>
          <w:sz w:val="20"/>
          <w:szCs w:val="20"/>
        </w:rPr>
        <w:t xml:space="preserve"> teisės pripažinimo dokument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>, arba užsienio šalies specialistams išduot</w:t>
      </w:r>
      <w:r>
        <w:rPr>
          <w:i/>
          <w:iCs/>
          <w:sz w:val="20"/>
          <w:szCs w:val="20"/>
        </w:rPr>
        <w:t>i</w:t>
      </w:r>
      <w:r w:rsidRPr="00465879">
        <w:rPr>
          <w:i/>
          <w:iCs/>
          <w:sz w:val="20"/>
          <w:szCs w:val="20"/>
        </w:rPr>
        <w:t xml:space="preserve"> dokument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>, patvirtinan</w:t>
      </w:r>
      <w:r>
        <w:rPr>
          <w:i/>
          <w:iCs/>
          <w:sz w:val="20"/>
          <w:szCs w:val="20"/>
        </w:rPr>
        <w:t>tys</w:t>
      </w:r>
      <w:r w:rsidRPr="00465879">
        <w:rPr>
          <w:i/>
          <w:iCs/>
          <w:sz w:val="20"/>
          <w:szCs w:val="20"/>
        </w:rPr>
        <w:t xml:space="preserve"> turimą kvalifikaciją kilmės šalyje, arba nuorod</w:t>
      </w:r>
      <w:r>
        <w:rPr>
          <w:i/>
          <w:iCs/>
          <w:sz w:val="20"/>
          <w:szCs w:val="20"/>
        </w:rPr>
        <w:t>o</w:t>
      </w:r>
      <w:r w:rsidRPr="00465879">
        <w:rPr>
          <w:i/>
          <w:iCs/>
          <w:sz w:val="20"/>
          <w:szCs w:val="20"/>
        </w:rPr>
        <w:t>s į nacionalines duomenų bazes bet kurioje valstybėje narėje, prie kurių Perkančioji organizacija turės galimybę tiesiogiai ir neatlygintinai prisijungusi susipažinti su reikalaujamais dokumentais ir (ar) informacija</w:t>
      </w:r>
      <w:r>
        <w:rPr>
          <w:i/>
          <w:iCs/>
          <w:sz w:val="20"/>
          <w:szCs w:val="20"/>
        </w:rPr>
        <w:t xml:space="preserve"> (</w:t>
      </w:r>
      <w:r w:rsidRPr="00465879">
        <w:rPr>
          <w:i/>
          <w:iCs/>
          <w:sz w:val="20"/>
          <w:szCs w:val="20"/>
        </w:rPr>
        <w:t>Perkančioji organizacija nereikalauja pateikti specialistų, kurie yra Lietuvos Respublikos piliečiai, atestatų, jeigu Perkančioji organizacija gali susipažinti su šiais dokumentais ar informacija tiesiogiai ir neatlygintinai prisijungusi prie nacionalinės duomenų bazės</w:t>
      </w:r>
      <w:r>
        <w:rPr>
          <w:i/>
          <w:iCs/>
          <w:sz w:val="20"/>
          <w:szCs w:val="20"/>
        </w:rPr>
        <w:t>);</w:t>
      </w:r>
    </w:p>
    <w:p w14:paraId="29B6E32A" w14:textId="038A9764" w:rsidR="00465879" w:rsidRPr="00465879" w:rsidRDefault="00465879" w:rsidP="0046587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2</w:t>
      </w:r>
      <w:r w:rsidRPr="00465879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</w:t>
      </w:r>
      <w:r w:rsidRPr="00465879">
        <w:rPr>
          <w:i/>
          <w:iCs/>
          <w:sz w:val="20"/>
          <w:szCs w:val="20"/>
        </w:rPr>
        <w:t>specialisto paskyrimo į atitinkamas pareigas įsakym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ar kit</w:t>
      </w:r>
      <w:r>
        <w:rPr>
          <w:i/>
          <w:iCs/>
          <w:sz w:val="20"/>
          <w:szCs w:val="20"/>
        </w:rPr>
        <w:t>i</w:t>
      </w:r>
      <w:r w:rsidRPr="00465879">
        <w:rPr>
          <w:i/>
          <w:iCs/>
          <w:sz w:val="20"/>
          <w:szCs w:val="20"/>
        </w:rPr>
        <w:t xml:space="preserve"> lygiaverči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dokument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(lygiaverčiai dokumentai gali būti: pvz., projekto brėžiniai, aiškinamasis raštas, projekto ekspertizės dokumentai, potvarkiai ar kiti projekto dokumentai, kuriuose matytųsi, kad specialistas buvo vienas iš statinio architektūros projekto dalies rengėjų), įrodan</w:t>
      </w:r>
      <w:r>
        <w:rPr>
          <w:i/>
          <w:iCs/>
          <w:sz w:val="20"/>
          <w:szCs w:val="20"/>
        </w:rPr>
        <w:t>ty</w:t>
      </w:r>
      <w:r w:rsidRPr="00465879">
        <w:rPr>
          <w:i/>
          <w:iCs/>
          <w:sz w:val="20"/>
          <w:szCs w:val="20"/>
        </w:rPr>
        <w:t>s, kad siūlomas specialistas tikrai ėjo nurodytas pareigas pagal projektų sąraše nurodytus projektus;</w:t>
      </w:r>
    </w:p>
    <w:p w14:paraId="252D6911" w14:textId="120D8F83" w:rsidR="00DD2A6E" w:rsidRPr="00465879" w:rsidRDefault="0046587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Pr="00465879">
        <w:rPr>
          <w:i/>
          <w:iCs/>
          <w:sz w:val="20"/>
          <w:szCs w:val="20"/>
        </w:rPr>
        <w:t>) nurodytų projektų (ar projekto architektūros dalies) užbaigimą pagrindžian</w:t>
      </w:r>
      <w:r>
        <w:rPr>
          <w:i/>
          <w:iCs/>
          <w:sz w:val="20"/>
          <w:szCs w:val="20"/>
        </w:rPr>
        <w:t>tys</w:t>
      </w:r>
      <w:r w:rsidRPr="00465879">
        <w:rPr>
          <w:i/>
          <w:iCs/>
          <w:sz w:val="20"/>
          <w:szCs w:val="20"/>
        </w:rPr>
        <w:t xml:space="preserve"> dokument</w:t>
      </w:r>
      <w:r>
        <w:rPr>
          <w:i/>
          <w:iCs/>
          <w:sz w:val="20"/>
          <w:szCs w:val="20"/>
        </w:rPr>
        <w:t>ai</w:t>
      </w:r>
      <w:r w:rsidRPr="00465879">
        <w:rPr>
          <w:i/>
          <w:iCs/>
          <w:sz w:val="20"/>
          <w:szCs w:val="20"/>
        </w:rPr>
        <w:t xml:space="preserve"> (pvz., projekto dalies ar viso projekto ekspertizės aktas su teigiama išvada, statybą leidžiantis dokumentas ar kitas lygiavertis dokumentas).</w:t>
      </w:r>
    </w:p>
    <w:sectPr w:rsidR="00DD2A6E" w:rsidRPr="00465879" w:rsidSect="00465879">
      <w:pgSz w:w="16838" w:h="11906" w:orient="landscape"/>
      <w:pgMar w:top="851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7"/>
    <w:rsid w:val="00050D48"/>
    <w:rsid w:val="00465879"/>
    <w:rsid w:val="006841D7"/>
    <w:rsid w:val="00697863"/>
    <w:rsid w:val="00C72604"/>
    <w:rsid w:val="00D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2A54"/>
  <w15:chartTrackingRefBased/>
  <w15:docId w15:val="{C0AEC55A-1886-40E5-9488-6A29C74C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unhideWhenUsed/>
    <w:qFormat/>
    <w:rsid w:val="006841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Butkuvienė</dc:creator>
  <cp:keywords/>
  <dc:description/>
  <cp:lastModifiedBy>Aurelija Umantaitė</cp:lastModifiedBy>
  <cp:revision>5</cp:revision>
  <dcterms:created xsi:type="dcterms:W3CDTF">2025-07-01T11:53:00Z</dcterms:created>
  <dcterms:modified xsi:type="dcterms:W3CDTF">2025-08-11T10:19:00Z</dcterms:modified>
</cp:coreProperties>
</file>