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1DAB22DC"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6B52DC" w:rsidRPr="006B52DC">
        <w:rPr>
          <w:rFonts w:ascii="Arial" w:eastAsia="Times New Roman" w:hAnsi="Arial" w:cs="Arial"/>
          <w:b/>
          <w:caps/>
          <w:sz w:val="28"/>
          <w:szCs w:val="28"/>
        </w:rPr>
        <w:t>instruktorių paslaug</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teikiam</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Pilietiškumo ir gynybos įgūdžių kursui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4E57A2"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42A98677" w:rsidR="001D3D15" w:rsidRPr="001E3977" w:rsidRDefault="004E57A2">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23</w:t>
            </w:r>
            <w:r w:rsidR="001D3D15" w:rsidRPr="001E3977">
              <w:rPr>
                <w:rFonts w:ascii="Arial" w:hAnsi="Arial" w:cs="Arial"/>
                <w:noProof/>
                <w:webHidden/>
                <w:color w:val="2B579A"/>
                <w:sz w:val="21"/>
                <w:szCs w:val="21"/>
                <w:shd w:val="clear" w:color="auto" w:fill="E6E6E6"/>
              </w:rPr>
              <w:fldChar w:fldCharType="end"/>
            </w:r>
          </w:hyperlink>
        </w:p>
        <w:p w14:paraId="24F09080" w14:textId="1FB93481" w:rsidR="001D3D15" w:rsidRPr="001E3977" w:rsidRDefault="004E57A2"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24</w:t>
            </w:r>
            <w:r w:rsidR="001D3D15" w:rsidRPr="001E3977">
              <w:rPr>
                <w:rFonts w:ascii="Arial" w:hAnsi="Arial" w:cs="Arial"/>
                <w:noProof/>
                <w:webHidden/>
                <w:color w:val="2B579A"/>
                <w:sz w:val="21"/>
                <w:szCs w:val="21"/>
                <w:shd w:val="clear" w:color="auto" w:fill="E6E6E6"/>
              </w:rPr>
              <w:fldChar w:fldCharType="end"/>
            </w:r>
          </w:hyperlink>
        </w:p>
        <w:p w14:paraId="1ED26D83" w14:textId="59A21763"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26</w:t>
          </w:r>
        </w:p>
        <w:p w14:paraId="3BE435CC" w14:textId="27CE8ADD" w:rsidR="001D3D15" w:rsidRPr="001E3977" w:rsidRDefault="004E57A2"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27</w:t>
            </w:r>
            <w:r w:rsidR="001D3D15" w:rsidRPr="001E3977">
              <w:rPr>
                <w:rFonts w:ascii="Arial" w:hAnsi="Arial" w:cs="Arial"/>
                <w:noProof/>
                <w:webHidden/>
                <w:color w:val="2B579A"/>
                <w:sz w:val="21"/>
                <w:szCs w:val="21"/>
                <w:shd w:val="clear" w:color="auto" w:fill="E6E6E6"/>
              </w:rPr>
              <w:fldChar w:fldCharType="end"/>
            </w:r>
          </w:hyperlink>
        </w:p>
        <w:p w14:paraId="3CF0AEE6" w14:textId="7EC3E4C3" w:rsidR="001D3D15" w:rsidRPr="001E3977" w:rsidRDefault="004E57A2">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28</w:t>
            </w:r>
            <w:r w:rsidR="001D3D15" w:rsidRPr="001E3977">
              <w:rPr>
                <w:rFonts w:ascii="Arial" w:hAnsi="Arial" w:cs="Arial"/>
                <w:noProof/>
                <w:webHidden/>
                <w:color w:val="2B579A"/>
                <w:sz w:val="21"/>
                <w:szCs w:val="21"/>
                <w:shd w:val="clear" w:color="auto" w:fill="E6E6E6"/>
              </w:rPr>
              <w:fldChar w:fldCharType="end"/>
            </w:r>
          </w:hyperlink>
        </w:p>
        <w:p w14:paraId="62BAFE50" w14:textId="7B03BB0C"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.......2</w:t>
          </w:r>
          <w:r w:rsidR="00BF1DAD">
            <w:rPr>
              <w:rFonts w:ascii="Arial" w:hAnsi="Arial" w:cs="Arial"/>
              <w:sz w:val="21"/>
              <w:szCs w:val="21"/>
            </w:rPr>
            <w:t>9</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3DAE295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1A1F55" w:rsidRPr="004E57A2">
          <w:rPr>
            <w:rStyle w:val="Hipersaitas"/>
            <w:rFonts w:ascii="Arial" w:hAnsi="Arial" w:cs="Arial"/>
            <w:sz w:val="21"/>
            <w:szCs w:val="21"/>
            <w:highlight w:val="yellow"/>
          </w:rPr>
          <w:t>https://viesiejipirkimai.lt</w:t>
        </w:r>
      </w:hyperlink>
      <w:r w:rsidR="00194D39" w:rsidRPr="004E57A2">
        <w:rPr>
          <w:rFonts w:ascii="Arial" w:eastAsia="Arial" w:hAnsi="Arial" w:cs="Arial"/>
          <w:sz w:val="21"/>
          <w:szCs w:val="21"/>
          <w:highlight w:val="yellow"/>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9AC1C" w:rsidR="00473E5A" w:rsidRDefault="00421F1F" w:rsidP="009677AC">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2A7190" w:rsidRPr="00FB0989">
        <w:rPr>
          <w:rFonts w:ascii="Arial" w:hAnsi="Arial" w:cs="Arial"/>
          <w:sz w:val="21"/>
          <w:szCs w:val="21"/>
        </w:rPr>
        <w:t xml:space="preserve">Pirkimo vykdytojui, vykdant konkretų pirkimą pagal sukurtą </w:t>
      </w:r>
      <w:r w:rsidR="00143AC0" w:rsidRPr="00FB0989">
        <w:rPr>
          <w:rFonts w:ascii="Arial" w:hAnsi="Arial" w:cs="Arial"/>
          <w:sz w:val="21"/>
          <w:szCs w:val="21"/>
        </w:rPr>
        <w:t>DPS</w:t>
      </w:r>
      <w:r w:rsidR="002A7190" w:rsidRPr="00FB0989">
        <w:rPr>
          <w:rFonts w:ascii="Arial" w:hAnsi="Arial" w:cs="Arial"/>
          <w:sz w:val="21"/>
          <w:szCs w:val="21"/>
        </w:rPr>
        <w:t>, bus</w:t>
      </w:r>
      <w:r w:rsidR="00143AC0" w:rsidRPr="00FB0989">
        <w:rPr>
          <w:rFonts w:ascii="Arial" w:hAnsi="Arial" w:cs="Arial"/>
          <w:sz w:val="21"/>
          <w:szCs w:val="21"/>
        </w:rPr>
        <w:t xml:space="preserve"> taikomi aplinkos apsaugos kriterijai</w:t>
      </w:r>
      <w:r w:rsidR="001F39BF" w:rsidRPr="00FB0989">
        <w:rPr>
          <w:rFonts w:ascii="Arial" w:hAnsi="Arial" w:cs="Arial"/>
          <w:sz w:val="21"/>
          <w:szCs w:val="21"/>
        </w:rPr>
        <w:t>,</w:t>
      </w:r>
      <w:r w:rsidR="011C9B27" w:rsidRPr="00FB0989">
        <w:rPr>
          <w:rFonts w:ascii="Arial" w:hAnsi="Arial" w:cs="Arial"/>
          <w:sz w:val="21"/>
          <w:szCs w:val="21"/>
        </w:rPr>
        <w:t xml:space="preserve"> </w:t>
      </w:r>
      <w:r w:rsidR="006F60DB" w:rsidRPr="00FB0989">
        <w:rPr>
          <w:rFonts w:ascii="Arial" w:hAnsi="Arial" w:cs="Arial"/>
          <w:sz w:val="21"/>
          <w:szCs w:val="21"/>
        </w:rPr>
        <w:t xml:space="preserve">nustatyti </w:t>
      </w:r>
      <w:r w:rsidR="011C9B27" w:rsidRPr="00FB0989">
        <w:rPr>
          <w:rFonts w:ascii="Arial" w:hAnsi="Arial" w:cs="Arial"/>
          <w:sz w:val="21"/>
          <w:szCs w:val="21"/>
        </w:rPr>
        <w:t>vadovaujantis Lietuvos Respublikos aplinkos ministro 2011 m. birželio 28 d. įsakymo Nr. D1-508 „</w:t>
      </w:r>
      <w:hyperlink r:id="rId23" w:history="1">
        <w:r w:rsidR="011C9B27" w:rsidRPr="00FB0989">
          <w:rPr>
            <w:rStyle w:val="Hipersaitas"/>
            <w:rFonts w:ascii="Arial" w:hAnsi="Arial" w:cs="Arial"/>
            <w:sz w:val="21"/>
            <w:szCs w:val="21"/>
          </w:rPr>
          <w:t>Dėl Aplinkos apsaugos kriterijų taikymo, vykdant žaliuosius pirkimus, tvarkos aprašo patvirtinimo</w:t>
        </w:r>
      </w:hyperlink>
      <w:r w:rsidR="011C9B27" w:rsidRPr="00FB0989">
        <w:rPr>
          <w:rFonts w:ascii="Arial" w:hAnsi="Arial" w:cs="Arial"/>
          <w:sz w:val="21"/>
          <w:szCs w:val="21"/>
        </w:rPr>
        <w:t xml:space="preserve">“ </w:t>
      </w:r>
      <w:r w:rsidR="007C74E4" w:rsidRPr="00FB0989">
        <w:rPr>
          <w:rFonts w:ascii="Arial" w:hAnsi="Arial" w:cs="Arial"/>
          <w:sz w:val="21"/>
          <w:szCs w:val="21"/>
        </w:rPr>
        <w:t xml:space="preserve">(toliau – Tvarkos aprašas) </w:t>
      </w:r>
      <w:r w:rsidR="009677AC" w:rsidRPr="008238E4">
        <w:rPr>
          <w:rFonts w:ascii="Arial" w:hAnsi="Arial" w:cs="Arial"/>
          <w:sz w:val="21"/>
          <w:szCs w:val="21"/>
        </w:rPr>
        <w:t>4.4.3</w:t>
      </w:r>
      <w:r w:rsidR="011C9B27" w:rsidRPr="00FB0989">
        <w:rPr>
          <w:rFonts w:ascii="Arial" w:hAnsi="Arial" w:cs="Arial"/>
          <w:i/>
          <w:iCs/>
          <w:color w:val="00B050"/>
          <w:sz w:val="21"/>
          <w:szCs w:val="21"/>
        </w:rPr>
        <w:t xml:space="preserve"> </w:t>
      </w:r>
      <w:r w:rsidR="011C9B27" w:rsidRPr="00FB0989">
        <w:rPr>
          <w:rFonts w:ascii="Arial" w:hAnsi="Arial" w:cs="Arial"/>
          <w:sz w:val="21"/>
          <w:szCs w:val="21"/>
        </w:rPr>
        <w:t xml:space="preserve"> punktu (-</w:t>
      </w:r>
      <w:proofErr w:type="spellStart"/>
      <w:r w:rsidR="011C9B27" w:rsidRPr="00FB0989">
        <w:rPr>
          <w:rFonts w:ascii="Arial" w:hAnsi="Arial" w:cs="Arial"/>
          <w:sz w:val="21"/>
          <w:szCs w:val="21"/>
        </w:rPr>
        <w:t>ais</w:t>
      </w:r>
      <w:proofErr w:type="spellEnd"/>
      <w:r w:rsidR="011C9B27" w:rsidRPr="00FB0989">
        <w:rPr>
          <w:rFonts w:ascii="Arial" w:hAnsi="Arial" w:cs="Arial"/>
          <w:sz w:val="21"/>
          <w:szCs w:val="21"/>
        </w:rPr>
        <w:t>)</w:t>
      </w:r>
      <w:r w:rsidR="00A53638" w:rsidRPr="00A4776A">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41679B1"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1139A7">
        <w:rPr>
          <w:rFonts w:ascii="Arial" w:eastAsia="Arial" w:hAnsi="Arial" w:cs="Arial"/>
          <w:sz w:val="21"/>
          <w:szCs w:val="21"/>
        </w:rPr>
        <w:t>Pirkimo vykdytojas</w:t>
      </w:r>
      <w:r w:rsidR="00194D39" w:rsidRPr="001139A7">
        <w:rPr>
          <w:rFonts w:ascii="Arial" w:eastAsia="Arial" w:hAnsi="Arial" w:cs="Arial"/>
          <w:sz w:val="21"/>
          <w:szCs w:val="21"/>
        </w:rPr>
        <w:t xml:space="preserve"> numato įsigyti </w:t>
      </w:r>
      <w:r w:rsidR="00F24E7B" w:rsidRPr="001139A7">
        <w:rPr>
          <w:rFonts w:ascii="Arial" w:eastAsia="Times New Roman" w:hAnsi="Arial" w:cs="Arial"/>
          <w:bCs/>
          <w:sz w:val="21"/>
          <w:szCs w:val="21"/>
        </w:rPr>
        <w:t>instruktorių paslaugas teikiam</w:t>
      </w:r>
      <w:r w:rsidR="00A75079">
        <w:rPr>
          <w:rFonts w:ascii="Arial" w:eastAsia="Times New Roman" w:hAnsi="Arial" w:cs="Arial"/>
          <w:bCs/>
          <w:sz w:val="21"/>
          <w:szCs w:val="21"/>
        </w:rPr>
        <w:t>a</w:t>
      </w:r>
      <w:r w:rsidR="00340C49" w:rsidRPr="001139A7">
        <w:rPr>
          <w:rFonts w:ascii="Arial" w:eastAsia="Times New Roman" w:hAnsi="Arial" w:cs="Arial"/>
          <w:bCs/>
          <w:sz w:val="21"/>
          <w:szCs w:val="21"/>
        </w:rPr>
        <w:t>s</w:t>
      </w:r>
      <w:r w:rsidR="00F24E7B" w:rsidRPr="001139A7">
        <w:rPr>
          <w:rFonts w:ascii="Arial" w:eastAsia="Times New Roman" w:hAnsi="Arial" w:cs="Arial"/>
          <w:bCs/>
          <w:sz w:val="21"/>
          <w:szCs w:val="21"/>
        </w:rPr>
        <w:t xml:space="preserve"> Pilietiškumo ir gynybos įgūdžių kursui pagal pateiktą </w:t>
      </w:r>
      <w:r w:rsidR="00F43A1E" w:rsidRPr="001139A7">
        <w:rPr>
          <w:rFonts w:ascii="Arial" w:eastAsia="Times New Roman" w:hAnsi="Arial" w:cs="Arial"/>
          <w:bCs/>
          <w:sz w:val="21"/>
          <w:szCs w:val="21"/>
        </w:rPr>
        <w:t>perkančiosios organizacijos</w:t>
      </w:r>
      <w:r w:rsidR="00F24E7B" w:rsidRPr="001139A7">
        <w:rPr>
          <w:rFonts w:ascii="Arial" w:eastAsia="Times New Roman" w:hAnsi="Arial" w:cs="Arial"/>
          <w:bCs/>
          <w:sz w:val="21"/>
          <w:szCs w:val="21"/>
        </w:rPr>
        <w:t xml:space="preserve"> programą</w:t>
      </w:r>
      <w:r w:rsidR="009971D0" w:rsidRPr="001139A7">
        <w:rPr>
          <w:rFonts w:ascii="Arial" w:eastAsia="Times New Roman" w:hAnsi="Arial" w:cs="Arial"/>
          <w:bCs/>
          <w:sz w:val="21"/>
          <w:szCs w:val="21"/>
        </w:rPr>
        <w:t xml:space="preserve"> (toliau – Paslaugos)</w:t>
      </w:r>
      <w:r w:rsidR="00EA2630" w:rsidRPr="001139A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1A7FB85F"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4B77EB" w:rsidRPr="002F5FAD">
        <w:rPr>
          <w:rFonts w:ascii="Arial" w:eastAsia="Arial" w:hAnsi="Arial" w:cs="Arial"/>
          <w:b/>
          <w:bCs/>
          <w:sz w:val="21"/>
          <w:szCs w:val="21"/>
        </w:rPr>
        <w:t>3 (tris)</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5ACA82E9"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43F88" w:rsidRPr="002F5FAD">
        <w:rPr>
          <w:rFonts w:ascii="Arial" w:hAnsi="Arial" w:cs="Arial"/>
          <w:b/>
          <w:bCs/>
          <w:sz w:val="21"/>
          <w:szCs w:val="21"/>
        </w:rPr>
        <w:t>476 310,00</w:t>
      </w:r>
      <w:r w:rsidR="00F43F88" w:rsidRPr="001139A7">
        <w:rPr>
          <w:rFonts w:ascii="Arial" w:hAnsi="Arial" w:cs="Arial"/>
          <w:sz w:val="21"/>
          <w:szCs w:val="21"/>
        </w:rPr>
        <w:t xml:space="preserve"> </w:t>
      </w:r>
      <w:r w:rsidR="008E1D12" w:rsidRPr="001139A7">
        <w:rPr>
          <w:rFonts w:ascii="Arial" w:hAnsi="Arial" w:cs="Arial"/>
          <w:sz w:val="21"/>
          <w:szCs w:val="21"/>
        </w:rPr>
        <w:t xml:space="preserve">(keturi šimtai septyniasdešimt šeši tūkstančiai trys šimtai dešimt)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w:t>
      </w:r>
      <w:r w:rsidR="00194D39" w:rsidRPr="007B2847">
        <w:rPr>
          <w:rFonts w:ascii="Arial" w:eastAsia="Arial" w:hAnsi="Arial" w:cs="Arial"/>
          <w:sz w:val="21"/>
          <w:szCs w:val="21"/>
        </w:rPr>
        <w:lastRenderedPageBreak/>
        <w:t xml:space="preserve">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lastRenderedPageBreak/>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lastRenderedPageBreak/>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lastRenderedPageBreak/>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w:t>
      </w:r>
      <w:r w:rsidRPr="00DD3EF3">
        <w:rPr>
          <w:rFonts w:ascii="Arial" w:hAnsi="Arial" w:cs="Arial"/>
          <w:color w:val="auto"/>
          <w:spacing w:val="2"/>
          <w:shd w:val="clear" w:color="auto" w:fill="FFFFFF"/>
          <w:lang w:val="lt-LT"/>
        </w:rPr>
        <w:lastRenderedPageBreak/>
        <w:t xml:space="preserve">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lastRenderedPageBreak/>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lastRenderedPageBreak/>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lastRenderedPageBreak/>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w:t>
            </w:r>
            <w:r w:rsidRPr="007E18C9">
              <w:rPr>
                <w:rFonts w:ascii="Arial" w:hAnsi="Arial" w:cs="Arial"/>
                <w:lang w:eastAsia="en-US"/>
              </w:rPr>
              <w:lastRenderedPageBreak/>
              <w:t xml:space="preserve">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7E18C9">
              <w:rPr>
                <w:rFonts w:ascii="Arial" w:hAnsi="Arial" w:cs="Arial"/>
                <w:bCs/>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lastRenderedPageBreak/>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t xml:space="preserve">2.1) Jeigu tiekėjas yra juridinis asmuo, registruotas Lietuvos Respublikoje, iš jo nereikalaujama pateikti jokių šį reikalavimą įrodančių dokumentų. Perkančioji </w:t>
            </w:r>
            <w:r w:rsidRPr="002F5FAD">
              <w:rPr>
                <w:rFonts w:ascii="Arial" w:hAnsi="Arial" w:cs="Arial"/>
                <w:bCs/>
              </w:rPr>
              <w:lastRenderedPageBreak/>
              <w:t xml:space="preserve">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94401">
              <w:rPr>
                <w:rFonts w:ascii="Arial" w:hAnsi="Arial" w:cs="Arial"/>
              </w:rPr>
              <w:lastRenderedPageBreak/>
              <w:t xml:space="preserve">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lastRenderedPageBreak/>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w:t>
            </w:r>
            <w:r w:rsidRPr="00F11ED7">
              <w:rPr>
                <w:rFonts w:ascii="Arial" w:hAnsi="Arial" w:cs="Arial"/>
                <w:sz w:val="21"/>
                <w:szCs w:val="21"/>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lastRenderedPageBreak/>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lastRenderedPageBreak/>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 xml:space="preserve">pirkimo </w:t>
            </w:r>
            <w:r w:rsidRPr="005B32EF">
              <w:rPr>
                <w:rFonts w:ascii="Arial" w:hAnsi="Arial" w:cs="Arial"/>
              </w:rPr>
              <w:lastRenderedPageBreak/>
              <w:t>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4E57A2"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4E57A2"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4E57A2"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lastRenderedPageBreak/>
              <w:t>paskelbtą informaciją, taip pat į šiame informaciniame pranešime pateiktą informaciją:</w:t>
            </w:r>
          </w:p>
          <w:p w14:paraId="77E55B90" w14:textId="77777777" w:rsidR="005B32EF" w:rsidRPr="005B32EF" w:rsidRDefault="004E57A2"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4E57A2"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4E57A2"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3C2B55A3" w14:textId="77777777" w:rsidR="00E54DED" w:rsidRPr="00E04D89" w:rsidRDefault="008F38F1" w:rsidP="00B43DB0">
            <w:pPr>
              <w:spacing w:line="256" w:lineRule="auto"/>
              <w:jc w:val="both"/>
              <w:rPr>
                <w:rFonts w:ascii="Arial" w:hAnsi="Arial" w:cs="Arial"/>
                <w:sz w:val="21"/>
                <w:szCs w:val="21"/>
              </w:rPr>
            </w:pPr>
            <w:r w:rsidRPr="00E04D89">
              <w:rPr>
                <w:rFonts w:ascii="Arial" w:hAnsi="Arial" w:cs="Arial"/>
                <w:bCs/>
                <w:sz w:val="21"/>
                <w:szCs w:val="21"/>
              </w:rPr>
              <w:t>Atitiktį</w:t>
            </w:r>
            <w:r w:rsidR="00FE2B3A" w:rsidRPr="00E04D89">
              <w:rPr>
                <w:rFonts w:ascii="Arial" w:hAnsi="Arial" w:cs="Arial"/>
                <w:bCs/>
                <w:sz w:val="21"/>
                <w:szCs w:val="21"/>
              </w:rPr>
              <w:t xml:space="preserve"> šiam reikalavimui patvirtinantis dokumentas: </w:t>
            </w:r>
            <w:r w:rsidR="00FE2B3A" w:rsidRPr="00E04D89">
              <w:rPr>
                <w:rFonts w:ascii="Arial" w:hAnsi="Arial" w:cs="Arial"/>
                <w:sz w:val="21"/>
                <w:szCs w:val="21"/>
              </w:rPr>
              <w:t>Informatikos ir ryšių departamento išduota pažyma iš Įtariamųjų, kaltinamųjų ir nuteistųjų registro apie teistumo nebuvimą.</w:t>
            </w:r>
          </w:p>
          <w:p w14:paraId="4A9AA37D" w14:textId="77777777" w:rsidR="00037893" w:rsidRPr="00E04D89" w:rsidRDefault="00037893" w:rsidP="00B43DB0">
            <w:pPr>
              <w:spacing w:line="256" w:lineRule="auto"/>
              <w:jc w:val="both"/>
              <w:rPr>
                <w:rFonts w:ascii="Arial" w:hAnsi="Arial" w:cs="Arial"/>
                <w:sz w:val="21"/>
                <w:szCs w:val="21"/>
              </w:rPr>
            </w:pPr>
          </w:p>
          <w:p w14:paraId="00D9380E" w14:textId="277614D6" w:rsidR="00FE2B3A" w:rsidRPr="00E04D89" w:rsidRDefault="00FE2B3A" w:rsidP="00B43DB0">
            <w:pPr>
              <w:spacing w:line="256" w:lineRule="auto"/>
              <w:jc w:val="both"/>
              <w:rPr>
                <w:rFonts w:ascii="Arial" w:hAnsi="Arial" w:cs="Arial"/>
                <w:i/>
                <w:iCs/>
                <w:sz w:val="21"/>
                <w:szCs w:val="21"/>
              </w:rPr>
            </w:pPr>
            <w:r w:rsidRPr="00E04D89">
              <w:rPr>
                <w:rFonts w:ascii="Arial" w:hAnsi="Arial" w:cs="Arial"/>
                <w:i/>
                <w:iCs/>
                <w:sz w:val="21"/>
                <w:szCs w:val="21"/>
              </w:rPr>
              <w:t xml:space="preserve">Nurodytas dokumentas turi būti išduotas </w:t>
            </w:r>
            <w:r w:rsidR="00D66F07" w:rsidRPr="00E04D89">
              <w:rPr>
                <w:rFonts w:ascii="Arial" w:hAnsi="Arial" w:cs="Arial"/>
                <w:i/>
                <w:iCs/>
                <w:sz w:val="21"/>
                <w:szCs w:val="21"/>
              </w:rPr>
              <w:t xml:space="preserve">ne anksčiau nei </w:t>
            </w:r>
            <w:r w:rsidR="00D66F07" w:rsidRPr="0095178B">
              <w:rPr>
                <w:rFonts w:ascii="Arial" w:hAnsi="Arial" w:cs="Arial"/>
                <w:i/>
                <w:iCs/>
                <w:sz w:val="21"/>
                <w:szCs w:val="21"/>
              </w:rPr>
              <w:t>240</w:t>
            </w:r>
            <w:r w:rsidR="00D66F07" w:rsidRPr="00E04D89">
              <w:rPr>
                <w:rFonts w:ascii="Arial" w:hAnsi="Arial" w:cs="Arial"/>
                <w:i/>
                <w:iCs/>
                <w:sz w:val="21"/>
                <w:szCs w:val="21"/>
              </w:rPr>
              <w:t xml:space="preserve"> dienų iki </w:t>
            </w:r>
            <w:r w:rsidR="0095178B">
              <w:rPr>
                <w:rFonts w:ascii="Arial" w:hAnsi="Arial" w:cs="Arial"/>
                <w:i/>
                <w:iCs/>
                <w:sz w:val="21"/>
                <w:szCs w:val="21"/>
              </w:rPr>
              <w:t>paraiškos</w:t>
            </w:r>
            <w:r w:rsidR="00D66F07" w:rsidRPr="00E04D89">
              <w:rPr>
                <w:rFonts w:ascii="Arial" w:hAnsi="Arial" w:cs="Arial"/>
                <w:i/>
                <w:iCs/>
                <w:sz w:val="21"/>
                <w:szCs w:val="21"/>
              </w:rPr>
              <w:t xml:space="preserve"> pateikimo dienos</w:t>
            </w:r>
          </w:p>
          <w:p w14:paraId="732DF44B" w14:textId="77777777" w:rsidR="00037893" w:rsidRPr="00E04D89" w:rsidRDefault="00037893" w:rsidP="00B43DB0">
            <w:pPr>
              <w:spacing w:line="256" w:lineRule="auto"/>
              <w:jc w:val="both"/>
              <w:rPr>
                <w:rFonts w:ascii="Arial" w:hAnsi="Arial" w:cs="Arial"/>
                <w:sz w:val="21"/>
                <w:szCs w:val="21"/>
              </w:rPr>
            </w:pPr>
          </w:p>
          <w:p w14:paraId="08BF5304" w14:textId="1CE84303" w:rsidR="00037893" w:rsidRPr="00E04D89" w:rsidRDefault="00037893" w:rsidP="00037893">
            <w:pPr>
              <w:spacing w:line="256" w:lineRule="auto"/>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03DE9891" w:rsidR="00C61A56" w:rsidRPr="00263B42" w:rsidRDefault="00663983" w:rsidP="00C61A56">
            <w:pPr>
              <w:spacing w:line="252" w:lineRule="auto"/>
              <w:jc w:val="both"/>
              <w:rPr>
                <w:rFonts w:ascii="Arial" w:hAnsi="Arial" w:cs="Arial"/>
                <w:color w:val="000000"/>
                <w:sz w:val="21"/>
                <w:szCs w:val="21"/>
                <w:shd w:val="clear" w:color="auto" w:fill="FFFFFF"/>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darbo </w:t>
            </w:r>
            <w:r w:rsidR="00DF6E68" w:rsidRPr="00263B42">
              <w:rPr>
                <w:rFonts w:ascii="Arial" w:hAnsi="Arial" w:cs="Arial"/>
                <w:sz w:val="21"/>
                <w:szCs w:val="21"/>
              </w:rPr>
              <w:t xml:space="preserve">Pilietiškumo ir </w:t>
            </w:r>
            <w:r w:rsidR="00DF6E68" w:rsidRPr="00263B42">
              <w:rPr>
                <w:rFonts w:ascii="Arial" w:hAnsi="Arial" w:cs="Arial"/>
                <w:sz w:val="21"/>
                <w:szCs w:val="21"/>
              </w:rPr>
              <w:lastRenderedPageBreak/>
              <w:t>gynybos įgūdžių kursui</w:t>
            </w:r>
            <w:r w:rsidR="00C61A56" w:rsidRPr="00263B42">
              <w:rPr>
                <w:rFonts w:ascii="Arial" w:hAnsi="Arial" w:cs="Arial"/>
                <w:color w:val="000000"/>
                <w:sz w:val="21"/>
                <w:szCs w:val="21"/>
              </w:rPr>
              <w:t xml:space="preserve"> instruktoriumi pradžios.</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79E0281C" w14:textId="4CF22D95" w:rsidR="00636AE6" w:rsidRPr="00263B42" w:rsidRDefault="00FA06D9" w:rsidP="00C61A56">
            <w:pPr>
              <w:spacing w:line="252" w:lineRule="auto"/>
              <w:jc w:val="both"/>
              <w:rPr>
                <w:rFonts w:ascii="Arial" w:hAnsi="Arial" w:cs="Arial"/>
                <w:sz w:val="21"/>
                <w:szCs w:val="21"/>
                <w:shd w:val="clear" w:color="auto" w:fill="FFFFFF"/>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74AB77A9" w14:textId="77777777" w:rsidR="004044E8" w:rsidRPr="00263B42" w:rsidRDefault="004044E8" w:rsidP="00C61A56">
            <w:pPr>
              <w:autoSpaceDE w:val="0"/>
              <w:autoSpaceDN w:val="0"/>
              <w:adjustRightInd w:val="0"/>
              <w:jc w:val="both"/>
              <w:rPr>
                <w:rFonts w:ascii="Arial" w:hAnsi="Arial" w:cs="Arial"/>
                <w:sz w:val="21"/>
                <w:szCs w:val="21"/>
              </w:rPr>
            </w:pPr>
          </w:p>
          <w:p w14:paraId="3CDCFBDC" w14:textId="77777777" w:rsidR="004044E8" w:rsidRPr="00263B42" w:rsidRDefault="004044E8" w:rsidP="00C61A56">
            <w:pPr>
              <w:autoSpaceDE w:val="0"/>
              <w:autoSpaceDN w:val="0"/>
              <w:adjustRightInd w:val="0"/>
              <w:jc w:val="both"/>
              <w:rPr>
                <w:rFonts w:ascii="Arial" w:hAnsi="Arial" w:cs="Arial"/>
                <w:sz w:val="21"/>
                <w:szCs w:val="21"/>
              </w:rPr>
            </w:pP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3496943"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„I</w:t>
      </w:r>
      <w:r w:rsidR="005C48CD" w:rsidRPr="00CD4355">
        <w:rPr>
          <w:rFonts w:ascii="Arial" w:eastAsia="Times New Roman" w:hAnsi="Arial" w:cs="Arial"/>
          <w:b/>
          <w:sz w:val="21"/>
          <w:szCs w:val="21"/>
        </w:rPr>
        <w:t>nstruktorių paslaug</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teikiam</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Pilietiškumo ir gynybos įgūdžių kursui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5FEF6E62" w14:textId="77777777" w:rsidR="00C61A87" w:rsidRPr="00FA746A" w:rsidRDefault="00C61A87" w:rsidP="00C61A87">
      <w:pPr>
        <w:pStyle w:val="Paantrat"/>
        <w:jc w:val="center"/>
        <w:rPr>
          <w:rFonts w:cstheme="minorHAnsi"/>
        </w:rPr>
      </w:pPr>
      <w:r w:rsidRPr="00FA746A">
        <w:rPr>
          <w:rFonts w:cstheme="minorHAnsi"/>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61A87" w:rsidRPr="00C61A87" w14:paraId="7FC691C8" w14:textId="77777777" w:rsidTr="00AC633A">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7F6A88F4"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3514F34D"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Prekių, paslaugų ir darbų pavadinimas ir apibūdinimas</w:t>
            </w:r>
          </w:p>
        </w:tc>
      </w:tr>
      <w:tr w:rsidR="00C61A87" w:rsidRPr="00C61A87" w14:paraId="7C695535" w14:textId="77777777" w:rsidTr="00AC633A">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7FD3AA6D"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1.</w:t>
            </w:r>
          </w:p>
        </w:tc>
        <w:tc>
          <w:tcPr>
            <w:tcW w:w="4561" w:type="pct"/>
            <w:tcBorders>
              <w:top w:val="single" w:sz="4" w:space="0" w:color="000000"/>
              <w:left w:val="single" w:sz="4" w:space="0" w:color="000000"/>
              <w:bottom w:val="single" w:sz="4" w:space="0" w:color="000000"/>
              <w:right w:val="single" w:sz="4" w:space="0" w:color="000000"/>
            </w:tcBorders>
            <w:hideMark/>
          </w:tcPr>
          <w:p w14:paraId="763E12B4"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Pirkimo objektas:</w:t>
            </w:r>
          </w:p>
          <w:p w14:paraId="46606E03" w14:textId="6D809E0B"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Instruktoriaus paslauga Pilietiškumo ir gynybos įgūdžių kursui (toliau – PGĮK arba kursas</w:t>
            </w:r>
            <w:r w:rsidR="00D8176E">
              <w:rPr>
                <w:rFonts w:ascii="Arial" w:hAnsi="Arial" w:cs="Arial"/>
                <w:sz w:val="21"/>
                <w:szCs w:val="21"/>
              </w:rPr>
              <w:t>, arba paslauga</w:t>
            </w:r>
            <w:r w:rsidRPr="00C61A87">
              <w:rPr>
                <w:rFonts w:ascii="Arial" w:hAnsi="Arial" w:cs="Arial"/>
                <w:sz w:val="21"/>
                <w:szCs w:val="21"/>
              </w:rPr>
              <w:t xml:space="preserve">) pagal pateiktą Lietuvos šaulių sąjungos (toliau – LŠS) programą vesti. </w:t>
            </w:r>
          </w:p>
        </w:tc>
      </w:tr>
      <w:tr w:rsidR="00C61A87" w:rsidRPr="00C61A87" w14:paraId="332B0571" w14:textId="77777777" w:rsidTr="00CA02D6">
        <w:trPr>
          <w:trHeight w:val="1401"/>
          <w:jc w:val="center"/>
        </w:trPr>
        <w:tc>
          <w:tcPr>
            <w:tcW w:w="439" w:type="pct"/>
            <w:tcBorders>
              <w:top w:val="single" w:sz="4" w:space="0" w:color="000000"/>
              <w:left w:val="single" w:sz="4" w:space="0" w:color="000000"/>
              <w:bottom w:val="single" w:sz="4" w:space="0" w:color="000000"/>
              <w:right w:val="single" w:sz="4" w:space="0" w:color="000000"/>
            </w:tcBorders>
          </w:tcPr>
          <w:p w14:paraId="6FF6D693"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2.</w:t>
            </w:r>
          </w:p>
        </w:tc>
        <w:tc>
          <w:tcPr>
            <w:tcW w:w="4561" w:type="pct"/>
            <w:tcBorders>
              <w:top w:val="single" w:sz="4" w:space="0" w:color="000000"/>
              <w:left w:val="single" w:sz="4" w:space="0" w:color="000000"/>
              <w:bottom w:val="single" w:sz="4" w:space="0" w:color="000000"/>
              <w:right w:val="single" w:sz="4" w:space="0" w:color="000000"/>
            </w:tcBorders>
          </w:tcPr>
          <w:p w14:paraId="6B92BD36"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Techniniai reikalavimai paslaugos teikimui:</w:t>
            </w:r>
          </w:p>
          <w:p w14:paraId="7771AB89"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2.1. Vienu metu PGĮK vedamas vienai 9 – </w:t>
            </w:r>
            <w:proofErr w:type="spellStart"/>
            <w:r w:rsidRPr="00C61A87">
              <w:rPr>
                <w:rFonts w:ascii="Arial" w:hAnsi="Arial" w:cs="Arial"/>
                <w:sz w:val="21"/>
                <w:szCs w:val="21"/>
              </w:rPr>
              <w:t>okų</w:t>
            </w:r>
            <w:proofErr w:type="spellEnd"/>
            <w:r w:rsidRPr="00C61A87">
              <w:rPr>
                <w:rFonts w:ascii="Arial" w:hAnsi="Arial" w:cs="Arial"/>
                <w:sz w:val="21"/>
                <w:szCs w:val="21"/>
              </w:rPr>
              <w:t xml:space="preserve"> klasei.</w:t>
            </w:r>
          </w:p>
          <w:p w14:paraId="5ECEAEC3"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 xml:space="preserve">2.2. Kursas vedamas nustatytu moksleivių pamokų tvarkaraščiuose laiku. </w:t>
            </w:r>
          </w:p>
          <w:p w14:paraId="3A1362C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2.3. 1 (vieno) kurso apimtis - 21 valanda.</w:t>
            </w:r>
          </w:p>
          <w:p w14:paraId="14C05FE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2.4. Kursas turi būti išdėstytas per 3 darbo dienas po 7 val. per dieną.</w:t>
            </w:r>
          </w:p>
        </w:tc>
      </w:tr>
      <w:tr w:rsidR="00C61A87" w:rsidRPr="00C61A87" w14:paraId="0A3B8DDB" w14:textId="77777777" w:rsidTr="00C61A87">
        <w:trPr>
          <w:trHeight w:val="3649"/>
          <w:jc w:val="center"/>
        </w:trPr>
        <w:tc>
          <w:tcPr>
            <w:tcW w:w="439" w:type="pct"/>
            <w:tcBorders>
              <w:top w:val="single" w:sz="4" w:space="0" w:color="000000"/>
              <w:left w:val="single" w:sz="4" w:space="0" w:color="000000"/>
              <w:bottom w:val="single" w:sz="4" w:space="0" w:color="000000"/>
              <w:right w:val="single" w:sz="4" w:space="0" w:color="000000"/>
            </w:tcBorders>
          </w:tcPr>
          <w:p w14:paraId="147C9D90"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0BB56B2B"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Kiti reikalavimai:</w:t>
            </w:r>
          </w:p>
          <w:p w14:paraId="49DCF988" w14:textId="77777777" w:rsidR="00C61A87" w:rsidRPr="00C61A87" w:rsidRDefault="00C61A87" w:rsidP="00AC633A">
            <w:pPr>
              <w:spacing w:line="256" w:lineRule="auto"/>
              <w:jc w:val="both"/>
              <w:rPr>
                <w:rFonts w:ascii="Arial" w:hAnsi="Arial" w:cs="Arial"/>
                <w:color w:val="000000"/>
                <w:sz w:val="21"/>
                <w:szCs w:val="21"/>
              </w:rPr>
            </w:pPr>
            <w:r w:rsidRPr="00C61A87">
              <w:rPr>
                <w:rFonts w:ascii="Arial" w:hAnsi="Arial" w:cs="Arial"/>
                <w:sz w:val="21"/>
                <w:szCs w:val="21"/>
              </w:rPr>
              <w:t xml:space="preserve">3.1. </w:t>
            </w:r>
            <w:r w:rsidRPr="00C61A87">
              <w:rPr>
                <w:rFonts w:ascii="Arial" w:hAnsi="Arial" w:cs="Arial"/>
                <w:color w:val="000000"/>
                <w:sz w:val="21"/>
                <w:szCs w:val="21"/>
              </w:rPr>
              <w:t>Kursas turi būti vedamas mokyklos teritorijoje, išskyrus įgyvendinant mokomojo dalyko „Žygis“ praktinius veiksmus.</w:t>
            </w:r>
          </w:p>
          <w:p w14:paraId="3D5DB6FD"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3.2. Instruktorius privalo išmanyti vidaus ir lauko saugumo taisykles, būtinas saugiam kurso temų įgyvendinimui, jų laikytis, supažindinti su taisyklėmis kitus kurso dalyvius ir užtikrinti savarankišką jų laikymąsi.</w:t>
            </w:r>
          </w:p>
          <w:p w14:paraId="4F41E6EB"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sz w:val="21"/>
                <w:szCs w:val="21"/>
              </w:rPr>
              <w:t xml:space="preserve">3.3. Kurso metu instruktorius privalo įvykdyti </w:t>
            </w:r>
            <w:r w:rsidRPr="00C61A87">
              <w:rPr>
                <w:rFonts w:ascii="Arial" w:hAnsi="Arial" w:cs="Arial"/>
                <w:color w:val="000000"/>
                <w:sz w:val="21"/>
                <w:szCs w:val="21"/>
              </w:rPr>
              <w:t>Pilietiškumo ir gynybos programoje numatytų temų teorinį ir praktinį įgyvendinimą šiems mokymo dalykams:</w:t>
            </w:r>
          </w:p>
          <w:p w14:paraId="2E44AB80"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3.3.1. Pilietiškumas;</w:t>
            </w:r>
          </w:p>
          <w:p w14:paraId="1B741715"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3.3.2. Išgyvenimo pagrindai;</w:t>
            </w:r>
          </w:p>
          <w:p w14:paraId="4FA6425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3.3.3. Šaudyba ir ginkluotė;</w:t>
            </w:r>
          </w:p>
          <w:p w14:paraId="384BE8E9"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3.3.4. Bendroji sauga;</w:t>
            </w:r>
          </w:p>
          <w:p w14:paraId="5332FC4C"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3.3.5. Pirmoji medicinos pagalba;</w:t>
            </w:r>
          </w:p>
          <w:p w14:paraId="6605DEA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3.3.6. Žygis.</w:t>
            </w:r>
          </w:p>
        </w:tc>
      </w:tr>
    </w:tbl>
    <w:p w14:paraId="29BDAE3A" w14:textId="77777777" w:rsidR="00C61A87" w:rsidRPr="00C61A87" w:rsidRDefault="00C61A87" w:rsidP="00C61A87">
      <w:pPr>
        <w:rPr>
          <w:rFonts w:ascii="Arial" w:hAnsi="Arial" w:cs="Arial"/>
          <w:sz w:val="21"/>
          <w:szCs w:val="21"/>
        </w:rPr>
      </w:pPr>
    </w:p>
    <w:p w14:paraId="4C334567" w14:textId="2EA00517" w:rsidR="00AF1C9F" w:rsidRPr="008B56E7" w:rsidRDefault="00635065" w:rsidP="00F16FB5">
      <w:pPr>
        <w:jc w:val="both"/>
        <w:rPr>
          <w:rFonts w:ascii="Arial" w:hAnsi="Arial" w:cs="Arial"/>
          <w:sz w:val="21"/>
          <w:szCs w:val="21"/>
        </w:rPr>
      </w:pPr>
      <w:r w:rsidRPr="008B56E7">
        <w:rPr>
          <w:rFonts w:ascii="Arial" w:hAnsi="Arial" w:cs="Arial"/>
          <w:sz w:val="21"/>
          <w:szCs w:val="21"/>
        </w:rPr>
        <w:t>Pirkimo sutarties PGĮK vedimui galiojimo terminas</w:t>
      </w:r>
      <w:r w:rsidR="00AC2467" w:rsidRPr="008B56E7">
        <w:rPr>
          <w:rFonts w:ascii="Arial" w:hAnsi="Arial" w:cs="Arial"/>
          <w:sz w:val="21"/>
          <w:szCs w:val="21"/>
        </w:rPr>
        <w:t xml:space="preserve"> 12 mėnesių</w:t>
      </w:r>
      <w:r w:rsidRPr="008B56E7">
        <w:rPr>
          <w:rFonts w:ascii="Arial" w:hAnsi="Arial" w:cs="Arial"/>
          <w:sz w:val="21"/>
          <w:szCs w:val="21"/>
        </w:rPr>
        <w:t>, nuo</w:t>
      </w:r>
      <w:r w:rsidR="00F16FB5" w:rsidRPr="008B56E7">
        <w:rPr>
          <w:rFonts w:ascii="Arial" w:hAnsi="Arial" w:cs="Arial"/>
          <w:sz w:val="21"/>
          <w:szCs w:val="21"/>
        </w:rPr>
        <w:t xml:space="preserve"> pirkimo</w:t>
      </w:r>
      <w:r w:rsidR="0092127F" w:rsidRPr="008B56E7">
        <w:rPr>
          <w:rFonts w:ascii="Arial" w:hAnsi="Arial" w:cs="Arial"/>
          <w:sz w:val="21"/>
          <w:szCs w:val="21"/>
        </w:rPr>
        <w:t xml:space="preserve"> sutarties</w:t>
      </w:r>
      <w:r w:rsidRPr="008B56E7">
        <w:rPr>
          <w:rFonts w:ascii="Arial" w:hAnsi="Arial" w:cs="Arial"/>
          <w:sz w:val="21"/>
          <w:szCs w:val="21"/>
        </w:rPr>
        <w:t xml:space="preserve"> </w:t>
      </w:r>
      <w:r w:rsidR="00A246DB" w:rsidRPr="008B56E7">
        <w:rPr>
          <w:rFonts w:ascii="Arial" w:hAnsi="Arial" w:cs="Arial"/>
          <w:sz w:val="21"/>
          <w:szCs w:val="21"/>
        </w:rPr>
        <w:t>įsigaliojimo dienos</w:t>
      </w:r>
      <w:r w:rsidR="00044C56" w:rsidRPr="008B56E7">
        <w:rPr>
          <w:rFonts w:ascii="Arial" w:hAnsi="Arial" w:cs="Arial"/>
          <w:sz w:val="21"/>
          <w:szCs w:val="21"/>
        </w:rPr>
        <w:t>, kuris šalių sutarimu gali būti pratęstas 2 kartus po</w:t>
      </w:r>
      <w:r w:rsidR="00803C3C" w:rsidRPr="008B56E7">
        <w:rPr>
          <w:rFonts w:ascii="Arial" w:hAnsi="Arial" w:cs="Arial"/>
          <w:sz w:val="21"/>
          <w:szCs w:val="21"/>
        </w:rPr>
        <w:t xml:space="preserve"> 12 mėnesių, tačiau bendras sutarties galiojimo terminas negali būti ilgesnis kaip 36 mėnesiai.</w:t>
      </w:r>
      <w:r w:rsidR="00A246DB" w:rsidRPr="008B56E7">
        <w:rPr>
          <w:rFonts w:ascii="Arial" w:hAnsi="Arial" w:cs="Arial"/>
          <w:sz w:val="21"/>
          <w:szCs w:val="21"/>
        </w:rPr>
        <w:t xml:space="preserve"> </w:t>
      </w:r>
    </w:p>
    <w:p w14:paraId="20794AB0" w14:textId="759A251F" w:rsidR="00BF3C6D" w:rsidRPr="008B56E7" w:rsidRDefault="00741C55" w:rsidP="00F16FB5">
      <w:pPr>
        <w:jc w:val="both"/>
        <w:rPr>
          <w:rFonts w:ascii="Arial" w:hAnsi="Arial" w:cs="Arial"/>
          <w:sz w:val="21"/>
          <w:szCs w:val="21"/>
        </w:rPr>
      </w:pPr>
      <w:r w:rsidRPr="008B56E7">
        <w:rPr>
          <w:rFonts w:ascii="Arial" w:hAnsi="Arial" w:cs="Arial"/>
          <w:sz w:val="21"/>
          <w:szCs w:val="21"/>
        </w:rPr>
        <w:t xml:space="preserve">Pirkimo vykdytojas </w:t>
      </w:r>
      <w:r w:rsidR="00680DD9" w:rsidRPr="008B56E7">
        <w:rPr>
          <w:rFonts w:ascii="Arial" w:hAnsi="Arial" w:cs="Arial"/>
          <w:sz w:val="21"/>
          <w:szCs w:val="21"/>
        </w:rPr>
        <w:t>pirkimo sutartie vykdym</w:t>
      </w:r>
      <w:r w:rsidR="00922502" w:rsidRPr="008B56E7">
        <w:rPr>
          <w:rFonts w:ascii="Arial" w:hAnsi="Arial" w:cs="Arial"/>
          <w:sz w:val="21"/>
          <w:szCs w:val="21"/>
        </w:rPr>
        <w:t>o laikotarpiui numato pagrindinę su</w:t>
      </w:r>
      <w:r w:rsidR="00BF3C6D" w:rsidRPr="008B56E7">
        <w:rPr>
          <w:rFonts w:ascii="Arial" w:hAnsi="Arial" w:cs="Arial"/>
          <w:sz w:val="21"/>
          <w:szCs w:val="21"/>
        </w:rPr>
        <w:t>tarties vertę</w:t>
      </w:r>
      <w:r w:rsidR="00680DD9" w:rsidRPr="008B56E7">
        <w:rPr>
          <w:rFonts w:ascii="Arial" w:hAnsi="Arial" w:cs="Arial"/>
          <w:sz w:val="21"/>
          <w:szCs w:val="21"/>
        </w:rPr>
        <w:t xml:space="preserve"> __________ Eur be PVM</w:t>
      </w:r>
      <w:r w:rsidR="00BF3C6D" w:rsidRPr="008B56E7">
        <w:rPr>
          <w:rFonts w:ascii="Arial" w:hAnsi="Arial" w:cs="Arial"/>
          <w:sz w:val="21"/>
          <w:szCs w:val="21"/>
        </w:rPr>
        <w:t>, kuri laikoma maksimalia pirkimo sutarties verte.</w:t>
      </w:r>
    </w:p>
    <w:p w14:paraId="06AD0475" w14:textId="358F1BC9" w:rsidR="00F16FB5" w:rsidRPr="008B56E7" w:rsidRDefault="00F16FB5" w:rsidP="00F16FB5">
      <w:pPr>
        <w:jc w:val="both"/>
        <w:rPr>
          <w:rFonts w:ascii="Arial" w:hAnsi="Arial" w:cs="Arial"/>
          <w:sz w:val="21"/>
          <w:szCs w:val="21"/>
        </w:rPr>
      </w:pPr>
      <w:r w:rsidRPr="008B56E7">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8B56E7">
        <w:rPr>
          <w:rFonts w:ascii="Arial" w:hAnsi="Arial" w:cs="Arial"/>
          <w:sz w:val="21"/>
          <w:szCs w:val="21"/>
        </w:rPr>
        <w:t xml:space="preserve">Pirkimo sutarties terminas </w:t>
      </w:r>
      <w:r w:rsidR="0092127F" w:rsidRPr="008B56E7">
        <w:rPr>
          <w:rFonts w:ascii="Arial" w:hAnsi="Arial" w:cs="Arial"/>
          <w:sz w:val="21"/>
          <w:szCs w:val="21"/>
        </w:rPr>
        <w:t xml:space="preserve">baigsis </w:t>
      </w:r>
      <w:r w:rsidRPr="008B56E7">
        <w:rPr>
          <w:rFonts w:ascii="Arial" w:hAnsi="Arial" w:cs="Arial"/>
          <w:noProof/>
          <w:sz w:val="21"/>
          <w:szCs w:val="21"/>
        </w:rPr>
        <w:t xml:space="preserve">praėjus 12 mėnesių nuo </w:t>
      </w:r>
      <w:r w:rsidR="0092127F" w:rsidRPr="008B56E7">
        <w:rPr>
          <w:rFonts w:ascii="Arial" w:hAnsi="Arial" w:cs="Arial"/>
          <w:noProof/>
          <w:sz w:val="21"/>
          <w:szCs w:val="21"/>
        </w:rPr>
        <w:t xml:space="preserve">pirkimo </w:t>
      </w:r>
      <w:r w:rsidRPr="008B56E7">
        <w:rPr>
          <w:rFonts w:ascii="Arial" w:hAnsi="Arial" w:cs="Arial"/>
          <w:noProof/>
          <w:sz w:val="21"/>
          <w:szCs w:val="21"/>
        </w:rPr>
        <w:t>sutarties įsigaliojimo dienos</w:t>
      </w:r>
      <w:r w:rsidR="00D57ED7" w:rsidRPr="008B56E7">
        <w:rPr>
          <w:rFonts w:ascii="Arial" w:hAnsi="Arial" w:cs="Arial"/>
          <w:noProof/>
          <w:sz w:val="21"/>
          <w:szCs w:val="21"/>
        </w:rPr>
        <w:t xml:space="preserve"> arba </w:t>
      </w:r>
      <w:r w:rsidR="002B4B2C" w:rsidRPr="008B56E7">
        <w:rPr>
          <w:rFonts w:ascii="Arial" w:hAnsi="Arial" w:cs="Arial"/>
          <w:noProof/>
          <w:sz w:val="21"/>
          <w:szCs w:val="21"/>
        </w:rPr>
        <w:t>sutarties pratęsimo atveju, atitinkamai praėjus 24 mėnesiams pirmo pratęsimo atveju arba 36 mėnesiams antro pratęsimo atveju</w:t>
      </w:r>
      <w:r w:rsidRPr="008B56E7">
        <w:rPr>
          <w:rFonts w:ascii="Arial" w:hAnsi="Arial" w:cs="Arial"/>
          <w:noProof/>
          <w:sz w:val="21"/>
          <w:szCs w:val="21"/>
        </w:rPr>
        <w:t xml:space="preserve">, arba kai pirkimo vykdytojo užsakytų ir nupirktų paslaugų vertė pasieks </w:t>
      </w:r>
      <w:r w:rsidR="00F16FB5" w:rsidRPr="008B56E7">
        <w:rPr>
          <w:rFonts w:ascii="Arial" w:hAnsi="Arial" w:cs="Arial"/>
          <w:noProof/>
          <w:sz w:val="21"/>
          <w:szCs w:val="21"/>
        </w:rPr>
        <w:t>maksimalią sutaries vertę</w:t>
      </w:r>
      <w:r w:rsidRPr="008B56E7">
        <w:rPr>
          <w:rFonts w:ascii="Arial" w:hAnsi="Arial" w:cs="Arial"/>
          <w:noProof/>
          <w:sz w:val="21"/>
          <w:szCs w:val="21"/>
        </w:rPr>
        <w:t xml:space="preserve">, kurią </w:t>
      </w:r>
      <w:r w:rsidR="00F16FB5" w:rsidRPr="008B56E7">
        <w:rPr>
          <w:rFonts w:ascii="Arial" w:hAnsi="Arial" w:cs="Arial"/>
          <w:noProof/>
          <w:sz w:val="21"/>
          <w:szCs w:val="21"/>
        </w:rPr>
        <w:t>pirkimo vykdytojas</w:t>
      </w:r>
      <w:r w:rsidRPr="008B56E7">
        <w:rPr>
          <w:rFonts w:ascii="Arial" w:hAnsi="Arial" w:cs="Arial"/>
          <w:noProof/>
          <w:sz w:val="21"/>
          <w:szCs w:val="21"/>
        </w:rPr>
        <w:t xml:space="preserve"> skirs paslaugų pirkimui </w:t>
      </w:r>
      <w:r w:rsidR="0092127F" w:rsidRPr="008B56E7">
        <w:rPr>
          <w:rFonts w:ascii="Arial" w:hAnsi="Arial" w:cs="Arial"/>
          <w:noProof/>
          <w:sz w:val="21"/>
          <w:szCs w:val="21"/>
        </w:rPr>
        <w:t xml:space="preserve">pirkimo </w:t>
      </w:r>
      <w:r w:rsidRPr="008B56E7">
        <w:rPr>
          <w:rFonts w:ascii="Arial" w:hAnsi="Arial" w:cs="Arial"/>
          <w:noProof/>
          <w:sz w:val="21"/>
          <w:szCs w:val="21"/>
        </w:rPr>
        <w:t xml:space="preserve">sutarties galiojimo laikotarpiu ir kurios </w:t>
      </w:r>
      <w:r w:rsidR="00F16FB5" w:rsidRPr="008B56E7">
        <w:rPr>
          <w:rFonts w:ascii="Arial" w:hAnsi="Arial" w:cs="Arial"/>
          <w:noProof/>
          <w:sz w:val="21"/>
          <w:szCs w:val="21"/>
        </w:rPr>
        <w:t>pirkimo vykdytojas</w:t>
      </w:r>
      <w:r w:rsidRPr="008B56E7">
        <w:rPr>
          <w:rFonts w:ascii="Arial" w:hAnsi="Arial" w:cs="Arial"/>
          <w:noProof/>
          <w:sz w:val="21"/>
          <w:szCs w:val="21"/>
        </w:rPr>
        <w:t>, vykdydama</w:t>
      </w:r>
      <w:r w:rsidR="00F16FB5" w:rsidRPr="008B56E7">
        <w:rPr>
          <w:rFonts w:ascii="Arial" w:hAnsi="Arial" w:cs="Arial"/>
          <w:noProof/>
          <w:sz w:val="21"/>
          <w:szCs w:val="21"/>
        </w:rPr>
        <w:t>s</w:t>
      </w:r>
      <w:r w:rsidRPr="008B56E7">
        <w:rPr>
          <w:rFonts w:ascii="Arial" w:hAnsi="Arial" w:cs="Arial"/>
          <w:noProof/>
          <w:sz w:val="21"/>
          <w:szCs w:val="21"/>
        </w:rPr>
        <w:t xml:space="preserve"> </w:t>
      </w:r>
      <w:r w:rsidR="0092127F" w:rsidRPr="008B56E7">
        <w:rPr>
          <w:rFonts w:ascii="Arial" w:hAnsi="Arial" w:cs="Arial"/>
          <w:noProof/>
          <w:sz w:val="21"/>
          <w:szCs w:val="21"/>
        </w:rPr>
        <w:t xml:space="preserve">pirkimo </w:t>
      </w:r>
      <w:r w:rsidRPr="008B56E7">
        <w:rPr>
          <w:rFonts w:ascii="Arial" w:hAnsi="Arial" w:cs="Arial"/>
          <w:noProof/>
          <w:sz w:val="21"/>
          <w:szCs w:val="21"/>
        </w:rPr>
        <w:t>sutartį, negalės viršyti, priklausomai nuo to, kuri sąlyga atsiranda anksčiau</w:t>
      </w:r>
      <w:r w:rsidR="00F16FB5" w:rsidRPr="008B56E7">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7595" w14:textId="77777777" w:rsidR="00C77637" w:rsidRDefault="00C77637">
      <w:r>
        <w:separator/>
      </w:r>
    </w:p>
  </w:endnote>
  <w:endnote w:type="continuationSeparator" w:id="0">
    <w:p w14:paraId="4D61D89F" w14:textId="77777777" w:rsidR="00C77637" w:rsidRDefault="00C77637">
      <w:r>
        <w:continuationSeparator/>
      </w:r>
    </w:p>
  </w:endnote>
  <w:endnote w:type="continuationNotice" w:id="1">
    <w:p w14:paraId="0D9ACBB3" w14:textId="77777777" w:rsidR="00C77637" w:rsidRDefault="00C7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1F6A" w14:textId="77777777" w:rsidR="00C77637" w:rsidRDefault="00C77637">
      <w:r>
        <w:separator/>
      </w:r>
    </w:p>
  </w:footnote>
  <w:footnote w:type="continuationSeparator" w:id="0">
    <w:p w14:paraId="6E299B7C" w14:textId="77777777" w:rsidR="00C77637" w:rsidRDefault="00C77637">
      <w:r>
        <w:continuationSeparator/>
      </w:r>
    </w:p>
  </w:footnote>
  <w:footnote w:type="continuationNotice" w:id="1">
    <w:p w14:paraId="7EB654CA" w14:textId="77777777" w:rsidR="00C77637" w:rsidRDefault="00C77637"/>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7212"/>
    <w:rsid w:val="0008723D"/>
    <w:rsid w:val="00087689"/>
    <w:rsid w:val="00090E19"/>
    <w:rsid w:val="00091173"/>
    <w:rsid w:val="000916B4"/>
    <w:rsid w:val="00091DD8"/>
    <w:rsid w:val="00091E46"/>
    <w:rsid w:val="000925EF"/>
    <w:rsid w:val="0009283F"/>
    <w:rsid w:val="00092FD1"/>
    <w:rsid w:val="000935D1"/>
    <w:rsid w:val="00093EC5"/>
    <w:rsid w:val="000948DE"/>
    <w:rsid w:val="0009539B"/>
    <w:rsid w:val="000955B1"/>
    <w:rsid w:val="000967DE"/>
    <w:rsid w:val="00096DA0"/>
    <w:rsid w:val="000A01E5"/>
    <w:rsid w:val="000A01FB"/>
    <w:rsid w:val="000A0494"/>
    <w:rsid w:val="000A06EB"/>
    <w:rsid w:val="000A0812"/>
    <w:rsid w:val="000A160C"/>
    <w:rsid w:val="000A2BED"/>
    <w:rsid w:val="000A2F77"/>
    <w:rsid w:val="000A3564"/>
    <w:rsid w:val="000A43A1"/>
    <w:rsid w:val="000A6218"/>
    <w:rsid w:val="000A62D1"/>
    <w:rsid w:val="000A6C85"/>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CD7"/>
    <w:rsid w:val="000E547F"/>
    <w:rsid w:val="000E5552"/>
    <w:rsid w:val="000E6023"/>
    <w:rsid w:val="000E6349"/>
    <w:rsid w:val="000E674A"/>
    <w:rsid w:val="000E6A49"/>
    <w:rsid w:val="000E723C"/>
    <w:rsid w:val="000E7846"/>
    <w:rsid w:val="000F16F7"/>
    <w:rsid w:val="000F2221"/>
    <w:rsid w:val="000F2D8B"/>
    <w:rsid w:val="000F3215"/>
    <w:rsid w:val="000F41A4"/>
    <w:rsid w:val="000F5973"/>
    <w:rsid w:val="000F6F84"/>
    <w:rsid w:val="000F7301"/>
    <w:rsid w:val="000F7B71"/>
    <w:rsid w:val="000F7B83"/>
    <w:rsid w:val="00100164"/>
    <w:rsid w:val="001001C9"/>
    <w:rsid w:val="00100586"/>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1F55"/>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6327"/>
    <w:rsid w:val="001E76F7"/>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7203"/>
    <w:rsid w:val="002678F4"/>
    <w:rsid w:val="00267927"/>
    <w:rsid w:val="00267FE5"/>
    <w:rsid w:val="0027054A"/>
    <w:rsid w:val="00270D04"/>
    <w:rsid w:val="0027233C"/>
    <w:rsid w:val="002727BF"/>
    <w:rsid w:val="00273BD9"/>
    <w:rsid w:val="00273D6C"/>
    <w:rsid w:val="002749AF"/>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57A2"/>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70F"/>
    <w:rsid w:val="00875B54"/>
    <w:rsid w:val="00875EF9"/>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46A"/>
    <w:rsid w:val="00A80E67"/>
    <w:rsid w:val="00A80F4B"/>
    <w:rsid w:val="00A8159F"/>
    <w:rsid w:val="00A81E5D"/>
    <w:rsid w:val="00A82526"/>
    <w:rsid w:val="00A836B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60A9"/>
    <w:rsid w:val="00BB0783"/>
    <w:rsid w:val="00BB1245"/>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0BBB"/>
    <w:rsid w:val="00C61A56"/>
    <w:rsid w:val="00C61A87"/>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A00E8"/>
    <w:rsid w:val="00DA185B"/>
    <w:rsid w:val="00DA1BC9"/>
    <w:rsid w:val="00DA1F3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67E6"/>
    <w:rsid w:val="00E4681D"/>
    <w:rsid w:val="00E47CF5"/>
    <w:rsid w:val="00E47E6D"/>
    <w:rsid w:val="00E50DA7"/>
    <w:rsid w:val="00E517DD"/>
    <w:rsid w:val="00E519D0"/>
    <w:rsid w:val="00E53440"/>
    <w:rsid w:val="00E53D1F"/>
    <w:rsid w:val="00E548B6"/>
    <w:rsid w:val="00E54DED"/>
    <w:rsid w:val="00E54E6B"/>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1EC0"/>
    <w:rsid w:val="00F72B36"/>
    <w:rsid w:val="00F73215"/>
    <w:rsid w:val="00F73B7D"/>
    <w:rsid w:val="00F75D63"/>
    <w:rsid w:val="00F80091"/>
    <w:rsid w:val="00F8111E"/>
    <w:rsid w:val="00F821E5"/>
    <w:rsid w:val="00F82390"/>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7173"/>
    <w:rsid w:val="00FA7B6A"/>
    <w:rsid w:val="00FB02CA"/>
    <w:rsid w:val="00FB08DF"/>
    <w:rsid w:val="00FB0989"/>
    <w:rsid w:val="00FB0E3F"/>
    <w:rsid w:val="00FB2CCC"/>
    <w:rsid w:val="00FB415B"/>
    <w:rsid w:val="00FB4A3E"/>
    <w:rsid w:val="00FC12AE"/>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954CF"/>
    <w:rsid w:val="001A4681"/>
    <w:rsid w:val="001B668A"/>
    <w:rsid w:val="001D0206"/>
    <w:rsid w:val="00230AF7"/>
    <w:rsid w:val="00263110"/>
    <w:rsid w:val="00273895"/>
    <w:rsid w:val="00302640"/>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C4EC5"/>
    <w:rsid w:val="00AF40EC"/>
    <w:rsid w:val="00B5227B"/>
    <w:rsid w:val="00B659BA"/>
    <w:rsid w:val="00BD4C11"/>
    <w:rsid w:val="00C01A7E"/>
    <w:rsid w:val="00C84C8F"/>
    <w:rsid w:val="00D91056"/>
    <w:rsid w:val="00DB065E"/>
    <w:rsid w:val="00DF5FF5"/>
    <w:rsid w:val="00E54D39"/>
    <w:rsid w:val="00ED6540"/>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47922</Words>
  <Characters>27316</Characters>
  <Application>Microsoft Office Word</Application>
  <DocSecurity>0</DocSecurity>
  <Lines>227</Lines>
  <Paragraphs>150</Paragraphs>
  <ScaleCrop>false</ScaleCrop>
  <Company/>
  <LinksUpToDate>false</LinksUpToDate>
  <CharactersWithSpaces>75088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3</cp:revision>
  <cp:lastPrinted>2024-10-10T11:08:00Z</cp:lastPrinted>
  <dcterms:created xsi:type="dcterms:W3CDTF">2024-11-27T12:23:00Z</dcterms:created>
  <dcterms:modified xsi:type="dcterms:W3CDTF">2024-11-27T12:23:00Z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