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3656" w14:textId="77777777" w:rsidR="00B10B77" w:rsidRPr="00250AAA" w:rsidRDefault="00F57861" w:rsidP="00F57861">
      <w:pPr>
        <w:jc w:val="right"/>
        <w:rPr>
          <w:rFonts w:ascii="Times New Roman" w:hAnsi="Times New Roman" w:cs="Times New Roman"/>
          <w:sz w:val="24"/>
          <w:szCs w:val="24"/>
        </w:rPr>
      </w:pPr>
      <w:r w:rsidRPr="00250AAA">
        <w:rPr>
          <w:rFonts w:ascii="Times New Roman" w:hAnsi="Times New Roman" w:cs="Times New Roman"/>
          <w:sz w:val="24"/>
          <w:szCs w:val="24"/>
        </w:rPr>
        <w:t>Pirkimo sąlygų 5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250AAA" w14:paraId="0D139A7B" w14:textId="77777777" w:rsidTr="00F57861">
        <w:tc>
          <w:tcPr>
            <w:tcW w:w="9638" w:type="dxa"/>
            <w:tcBorders>
              <w:bottom w:val="single" w:sz="4" w:space="0" w:color="auto"/>
            </w:tcBorders>
          </w:tcPr>
          <w:p w14:paraId="3A954F65" w14:textId="77777777" w:rsidR="00F57861" w:rsidRPr="00250AAA" w:rsidRDefault="00F57861" w:rsidP="007F5208">
            <w:pPr>
              <w:keepNext/>
              <w:keepLines/>
              <w:suppressLineNumbers/>
              <w:suppressAutoHyphens/>
              <w:spacing w:before="120" w:after="120"/>
              <w:jc w:val="center"/>
              <w:rPr>
                <w:sz w:val="24"/>
                <w:szCs w:val="24"/>
              </w:rPr>
            </w:pPr>
          </w:p>
        </w:tc>
      </w:tr>
      <w:tr w:rsidR="00F57861" w:rsidRPr="00250AAA" w14:paraId="360E8B61" w14:textId="77777777" w:rsidTr="00F57861">
        <w:tc>
          <w:tcPr>
            <w:tcW w:w="9638" w:type="dxa"/>
            <w:tcBorders>
              <w:top w:val="single" w:sz="4" w:space="0" w:color="auto"/>
            </w:tcBorders>
          </w:tcPr>
          <w:p w14:paraId="441A0A6B" w14:textId="77777777" w:rsidR="00F57861" w:rsidRPr="00250AAA" w:rsidRDefault="00F57861" w:rsidP="007F5208">
            <w:pPr>
              <w:keepNext/>
              <w:keepLines/>
              <w:suppressLineNumbers/>
              <w:suppressAutoHyphens/>
              <w:spacing w:before="120" w:after="120"/>
              <w:jc w:val="center"/>
              <w:rPr>
                <w:sz w:val="24"/>
                <w:szCs w:val="24"/>
              </w:rPr>
            </w:pPr>
            <w:r w:rsidRPr="00250AAA">
              <w:rPr>
                <w:sz w:val="24"/>
                <w:szCs w:val="24"/>
              </w:rPr>
              <w:t>(Tiekėjo pavadinimas)</w:t>
            </w:r>
          </w:p>
        </w:tc>
      </w:tr>
      <w:tr w:rsidR="00F57861" w:rsidRPr="00250AAA" w14:paraId="6779EE0A" w14:textId="77777777" w:rsidTr="00F57861">
        <w:tc>
          <w:tcPr>
            <w:tcW w:w="9638" w:type="dxa"/>
            <w:tcBorders>
              <w:bottom w:val="single" w:sz="4" w:space="0" w:color="auto"/>
            </w:tcBorders>
          </w:tcPr>
          <w:p w14:paraId="6705E047" w14:textId="77777777" w:rsidR="00F57861" w:rsidRPr="00250AAA" w:rsidRDefault="00F57861" w:rsidP="007F5208">
            <w:pPr>
              <w:keepNext/>
              <w:keepLines/>
              <w:suppressLineNumbers/>
              <w:suppressAutoHyphens/>
              <w:jc w:val="center"/>
              <w:rPr>
                <w:sz w:val="24"/>
                <w:szCs w:val="24"/>
              </w:rPr>
            </w:pPr>
          </w:p>
        </w:tc>
      </w:tr>
      <w:tr w:rsidR="00F57861" w:rsidRPr="00250AAA" w14:paraId="693EC11F" w14:textId="77777777" w:rsidTr="00F57861">
        <w:tc>
          <w:tcPr>
            <w:tcW w:w="9638" w:type="dxa"/>
            <w:tcBorders>
              <w:top w:val="single" w:sz="4" w:space="0" w:color="auto"/>
            </w:tcBorders>
          </w:tcPr>
          <w:p w14:paraId="4BADE533" w14:textId="77777777" w:rsidR="00F57861" w:rsidRPr="00250AAA" w:rsidRDefault="00F57861" w:rsidP="007F5208">
            <w:pPr>
              <w:keepNext/>
              <w:keepLines/>
              <w:suppressLineNumbers/>
              <w:suppressAutoHyphens/>
              <w:jc w:val="center"/>
              <w:rPr>
                <w:sz w:val="24"/>
                <w:szCs w:val="24"/>
              </w:rPr>
            </w:pPr>
            <w:r w:rsidRPr="00250AA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783BC2C"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3D6ABC5"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5D88587E" w14:textId="77777777" w:rsidR="00F57861" w:rsidRPr="00250AAA"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250AAA">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250AAA" w14:paraId="6BBD47DA" w14:textId="77777777" w:rsidTr="007F5208">
        <w:tc>
          <w:tcPr>
            <w:tcW w:w="2835" w:type="dxa"/>
            <w:tcBorders>
              <w:bottom w:val="single" w:sz="4" w:space="0" w:color="auto"/>
            </w:tcBorders>
          </w:tcPr>
          <w:p w14:paraId="52B7AEE4"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0EB5A90C" w14:textId="77777777" w:rsidTr="007F5208">
        <w:tc>
          <w:tcPr>
            <w:tcW w:w="2835" w:type="dxa"/>
            <w:tcBorders>
              <w:top w:val="single" w:sz="4" w:space="0" w:color="auto"/>
            </w:tcBorders>
          </w:tcPr>
          <w:p w14:paraId="577A6D08"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(Data)</w:t>
            </w:r>
          </w:p>
        </w:tc>
      </w:tr>
      <w:tr w:rsidR="00F57861" w:rsidRPr="00250AAA" w14:paraId="566CE607" w14:textId="77777777" w:rsidTr="007F5208">
        <w:tc>
          <w:tcPr>
            <w:tcW w:w="2835" w:type="dxa"/>
            <w:tcBorders>
              <w:bottom w:val="single" w:sz="4" w:space="0" w:color="auto"/>
            </w:tcBorders>
          </w:tcPr>
          <w:p w14:paraId="6A22DC5E"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5B557CDE" w14:textId="77777777" w:rsidTr="007F5208">
        <w:tc>
          <w:tcPr>
            <w:tcW w:w="2835" w:type="dxa"/>
            <w:tcBorders>
              <w:top w:val="single" w:sz="4" w:space="0" w:color="auto"/>
            </w:tcBorders>
          </w:tcPr>
          <w:p w14:paraId="2AC17941"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(Sudarymo vieta)</w:t>
            </w:r>
          </w:p>
        </w:tc>
      </w:tr>
    </w:tbl>
    <w:p w14:paraId="79A42AB6" w14:textId="77777777" w:rsidR="00F57861" w:rsidRPr="00250AAA"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250AAA" w14:paraId="62828885" w14:textId="77777777" w:rsidTr="004E3C47">
        <w:tc>
          <w:tcPr>
            <w:tcW w:w="847" w:type="dxa"/>
          </w:tcPr>
          <w:p w14:paraId="2A076EB2"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Aš,</w:t>
            </w:r>
          </w:p>
        </w:tc>
        <w:tc>
          <w:tcPr>
            <w:tcW w:w="8791" w:type="dxa"/>
            <w:gridSpan w:val="4"/>
            <w:tcBorders>
              <w:bottom w:val="single" w:sz="4" w:space="0" w:color="auto"/>
            </w:tcBorders>
          </w:tcPr>
          <w:p w14:paraId="7A2E6FC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630D64A" w14:textId="77777777" w:rsidTr="004E3C47">
        <w:tc>
          <w:tcPr>
            <w:tcW w:w="847" w:type="dxa"/>
          </w:tcPr>
          <w:p w14:paraId="44BC39BF" w14:textId="77777777" w:rsidR="00F57861" w:rsidRPr="00250AAA" w:rsidRDefault="00F57861" w:rsidP="007F5208">
            <w:pPr>
              <w:keepNext/>
              <w:keepLines/>
              <w:suppressLineNumbers/>
              <w:suppressAutoHyphens/>
              <w:jc w:val="center"/>
              <w:rPr>
                <w:bCs/>
                <w:color w:val="000000"/>
                <w:sz w:val="24"/>
                <w:szCs w:val="24"/>
              </w:rPr>
            </w:pPr>
          </w:p>
        </w:tc>
        <w:tc>
          <w:tcPr>
            <w:tcW w:w="8791" w:type="dxa"/>
            <w:gridSpan w:val="4"/>
            <w:tcBorders>
              <w:top w:val="single" w:sz="4" w:space="0" w:color="auto"/>
            </w:tcBorders>
          </w:tcPr>
          <w:p w14:paraId="04002FA7"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(Tiekėjo vadovo ar jo įgalioto asmens pareigų pavadinimas, vardas ir pavardė)</w:t>
            </w:r>
          </w:p>
        </w:tc>
      </w:tr>
      <w:tr w:rsidR="00F57861" w:rsidRPr="00250AAA" w14:paraId="49435E0F" w14:textId="77777777" w:rsidTr="004E3C47">
        <w:tc>
          <w:tcPr>
            <w:tcW w:w="6096" w:type="dxa"/>
            <w:gridSpan w:val="3"/>
          </w:tcPr>
          <w:p w14:paraId="6A998655"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tvirtinu, kad mano vadovaujamas (-a) (atstovaujamas (-a))</w:t>
            </w:r>
          </w:p>
        </w:tc>
        <w:tc>
          <w:tcPr>
            <w:tcW w:w="3542" w:type="dxa"/>
            <w:gridSpan w:val="2"/>
            <w:tcBorders>
              <w:bottom w:val="single" w:sz="4" w:space="0" w:color="auto"/>
            </w:tcBorders>
          </w:tcPr>
          <w:p w14:paraId="1EC36696"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3561B3B4" w14:textId="77777777" w:rsidTr="004E3C47">
        <w:tc>
          <w:tcPr>
            <w:tcW w:w="6096" w:type="dxa"/>
            <w:gridSpan w:val="3"/>
          </w:tcPr>
          <w:p w14:paraId="387C4FEC"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 xml:space="preserve">                                                                                </w:t>
            </w:r>
          </w:p>
        </w:tc>
        <w:tc>
          <w:tcPr>
            <w:tcW w:w="3542" w:type="dxa"/>
            <w:gridSpan w:val="2"/>
            <w:tcBorders>
              <w:top w:val="single" w:sz="4" w:space="0" w:color="auto"/>
            </w:tcBorders>
          </w:tcPr>
          <w:p w14:paraId="1412EED9"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(Tiekėjo pavadinimas)</w:t>
            </w:r>
          </w:p>
        </w:tc>
      </w:tr>
      <w:tr w:rsidR="00F57861" w:rsidRPr="00250AAA" w14:paraId="38D20726" w14:textId="77777777" w:rsidTr="004E3C47">
        <w:tc>
          <w:tcPr>
            <w:tcW w:w="1951" w:type="dxa"/>
            <w:gridSpan w:val="2"/>
          </w:tcPr>
          <w:p w14:paraId="0037D510"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dalyvaujantis (-i)</w:t>
            </w:r>
          </w:p>
        </w:tc>
        <w:tc>
          <w:tcPr>
            <w:tcW w:w="4913" w:type="dxa"/>
            <w:gridSpan w:val="2"/>
            <w:tcBorders>
              <w:bottom w:val="single" w:sz="4" w:space="0" w:color="auto"/>
            </w:tcBorders>
          </w:tcPr>
          <w:p w14:paraId="78F58407" w14:textId="77777777" w:rsidR="00F57861" w:rsidRPr="00250AAA" w:rsidRDefault="00F57861" w:rsidP="007F5208">
            <w:pPr>
              <w:keepNext/>
              <w:keepLines/>
              <w:suppressLineNumbers/>
              <w:suppressAutoHyphens/>
              <w:jc w:val="center"/>
              <w:rPr>
                <w:bCs/>
                <w:color w:val="000000"/>
                <w:sz w:val="24"/>
                <w:szCs w:val="24"/>
              </w:rPr>
            </w:pPr>
          </w:p>
        </w:tc>
        <w:tc>
          <w:tcPr>
            <w:tcW w:w="2774" w:type="dxa"/>
          </w:tcPr>
          <w:p w14:paraId="7DD6E9BE"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atliekamame</w:t>
            </w:r>
          </w:p>
        </w:tc>
      </w:tr>
      <w:tr w:rsidR="00F57861" w:rsidRPr="00250AAA" w14:paraId="6C174457" w14:textId="77777777" w:rsidTr="004E3C47">
        <w:tc>
          <w:tcPr>
            <w:tcW w:w="1951" w:type="dxa"/>
            <w:gridSpan w:val="2"/>
          </w:tcPr>
          <w:p w14:paraId="6C6910A6"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top w:val="single" w:sz="4" w:space="0" w:color="auto"/>
            </w:tcBorders>
          </w:tcPr>
          <w:p w14:paraId="15B093F6"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(Perkančiosios organizacijos pavadinimas)</w:t>
            </w:r>
          </w:p>
        </w:tc>
        <w:tc>
          <w:tcPr>
            <w:tcW w:w="2774" w:type="dxa"/>
          </w:tcPr>
          <w:p w14:paraId="32290E5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7638D9CB" w14:textId="77777777" w:rsidTr="004E3C47">
        <w:tc>
          <w:tcPr>
            <w:tcW w:w="1951" w:type="dxa"/>
            <w:gridSpan w:val="2"/>
            <w:tcBorders>
              <w:bottom w:val="single" w:sz="4" w:space="0" w:color="auto"/>
            </w:tcBorders>
          </w:tcPr>
          <w:p w14:paraId="53A5B4AA"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710CFBA"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7AFDD09C"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1CD91E4" w14:textId="77777777" w:rsidTr="004E3C47">
        <w:tc>
          <w:tcPr>
            <w:tcW w:w="1951" w:type="dxa"/>
            <w:gridSpan w:val="2"/>
            <w:tcBorders>
              <w:bottom w:val="single" w:sz="4" w:space="0" w:color="auto"/>
            </w:tcBorders>
          </w:tcPr>
          <w:p w14:paraId="7E083AF3"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CCA865F"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2091BB5D"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6FBD778D" w14:textId="77777777" w:rsidTr="004E3C47">
        <w:tc>
          <w:tcPr>
            <w:tcW w:w="1951" w:type="dxa"/>
            <w:gridSpan w:val="2"/>
            <w:tcBorders>
              <w:bottom w:val="single" w:sz="4" w:space="0" w:color="auto"/>
            </w:tcBorders>
          </w:tcPr>
          <w:p w14:paraId="166286A9"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5CD4C906"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6A30DDE5" w14:textId="77777777" w:rsidR="00F57861" w:rsidRPr="00250AAA" w:rsidRDefault="00F57861" w:rsidP="007F5208">
            <w:pPr>
              <w:keepNext/>
              <w:keepLines/>
              <w:suppressLineNumbers/>
              <w:suppressAutoHyphens/>
              <w:jc w:val="center"/>
              <w:rPr>
                <w:bCs/>
                <w:color w:val="000000"/>
                <w:sz w:val="24"/>
                <w:szCs w:val="24"/>
              </w:rPr>
            </w:pPr>
          </w:p>
        </w:tc>
      </w:tr>
    </w:tbl>
    <w:p w14:paraId="2305CD4E" w14:textId="5D686BF4"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 xml:space="preserve">1. </w:t>
      </w:r>
      <w:r w:rsidR="00250AAA">
        <w:rPr>
          <w:rFonts w:ascii="Times New Roman" w:hAnsi="Times New Roman" w:cs="Times New Roman"/>
          <w:bCs/>
          <w:color w:val="000000"/>
          <w:sz w:val="24"/>
          <w:szCs w:val="24"/>
        </w:rPr>
        <w:t>N</w:t>
      </w:r>
      <w:r w:rsidRPr="00250AAA">
        <w:rPr>
          <w:rFonts w:ascii="Times New Roman" w:hAnsi="Times New Roman" w:cs="Times New Roman"/>
          <w:bCs/>
          <w:color w:val="000000"/>
          <w:sz w:val="24"/>
          <w:szCs w:val="24"/>
        </w:rPr>
        <w:t>ėra nuteistas už šią nusikalstamą veiką:</w:t>
      </w:r>
    </w:p>
    <w:p w14:paraId="30A1F7B6"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1) dalyvavimą nusikalstamame susivienijime, jo organizavimą ar vadovavimą jam;</w:t>
      </w:r>
    </w:p>
    <w:p w14:paraId="50A8DAC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2) kyšininkavimą, prekybą poveikiu, papirkimą;</w:t>
      </w:r>
    </w:p>
    <w:p w14:paraId="78DEFAE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4D847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4) nusikalstamą bankrotą;</w:t>
      </w:r>
    </w:p>
    <w:p w14:paraId="41DF4A0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5) teroristinį ir su teroristine veikla susijusį nusikaltimą;</w:t>
      </w:r>
    </w:p>
    <w:p w14:paraId="2E28D4DA"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6) nusikalstamu būdu gauto turto legalizavimą;</w:t>
      </w:r>
    </w:p>
    <w:p w14:paraId="6F7A79E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7) prekybą žmonėmis, vaiko pirkimą arba pardavimą;</w:t>
      </w:r>
    </w:p>
    <w:p w14:paraId="48A34A11"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8) kitos valstybės tiekėjo atliktą nusikaltimą, apibrėžtą Direktyvos 2014/24/ES 57 straipsnio 1 dalyje išvardytus Europos Sąjungos teisės aktus įgyvendinančiuose kitų valstybių teisės aktuose.</w:t>
      </w:r>
    </w:p>
    <w:p w14:paraId="69240017" w14:textId="2274D8AC" w:rsidR="00F57861" w:rsidRPr="00250AAA" w:rsidRDefault="004E3C47" w:rsidP="00250AAA">
      <w:pPr>
        <w:keepNext/>
        <w:keepLines/>
        <w:suppressLineNumbers/>
        <w:tabs>
          <w:tab w:val="left" w:pos="284"/>
        </w:tabs>
        <w:suppressAutoHyphens/>
        <w:spacing w:after="0"/>
        <w:ind w:firstLine="709"/>
        <w:jc w:val="both"/>
        <w:rPr>
          <w:rFonts w:ascii="Times New Roman" w:eastAsia="Arial Unicode MS" w:hAnsi="Times New Roman" w:cs="Times New Roman"/>
          <w:sz w:val="24"/>
          <w:szCs w:val="24"/>
          <w:bdr w:val="nil"/>
        </w:rPr>
      </w:pPr>
      <w:r w:rsidRPr="00250AAA">
        <w:rPr>
          <w:rFonts w:ascii="Times New Roman" w:eastAsia="Arial Unicode MS" w:hAnsi="Times New Roman" w:cs="Times New Roman"/>
          <w:sz w:val="24"/>
          <w:szCs w:val="24"/>
          <w:bdr w:val="nil"/>
        </w:rPr>
        <w:t>2.</w:t>
      </w:r>
      <w:r w:rsidR="00F57861" w:rsidRPr="00250AAA">
        <w:rPr>
          <w:rFonts w:ascii="Times New Roman" w:eastAsia="Arial Unicode MS" w:hAnsi="Times New Roman" w:cs="Times New Roman"/>
          <w:sz w:val="24"/>
          <w:szCs w:val="24"/>
          <w:bdr w:val="nil"/>
        </w:rPr>
        <w:t xml:space="preserve"> </w:t>
      </w:r>
      <w:r w:rsidRPr="00250AAA">
        <w:rPr>
          <w:rFonts w:ascii="Times New Roman" w:eastAsia="Arial Unicode MS" w:hAnsi="Times New Roman" w:cs="Times New Roman"/>
          <w:sz w:val="24"/>
          <w:szCs w:val="24"/>
          <w:bdr w:val="nil"/>
        </w:rPr>
        <w:t>N</w:t>
      </w:r>
      <w:r w:rsidR="00F57861" w:rsidRPr="00250AAA">
        <w:rPr>
          <w:rFonts w:ascii="Times New Roman" w:eastAsia="Arial Unicode MS" w:hAnsi="Times New Roman" w:cs="Times New Roman"/>
          <w:sz w:val="24"/>
          <w:szCs w:val="24"/>
          <w:bdr w:val="nil"/>
        </w:rPr>
        <w:t>ėra neatlikęs jam paskirtos baudžiamojo poveikio priemonės – uždraudimo juridiniam asmeniui dalyvauti viešuosiuose pirkimuose.</w:t>
      </w:r>
    </w:p>
    <w:p w14:paraId="0FA59D4D" w14:textId="3BBAD29F" w:rsidR="004E3C47" w:rsidRPr="00250AAA" w:rsidRDefault="004E3C47" w:rsidP="004E3C47">
      <w:pPr>
        <w:pStyle w:val="Betarp"/>
        <w:ind w:firstLine="709"/>
        <w:jc w:val="both"/>
        <w:rPr>
          <w:rFonts w:ascii="Times New Roman" w:hAnsi="Times New Roman"/>
          <w:b/>
          <w:bCs/>
          <w:color w:val="000000" w:themeColor="text1"/>
          <w:sz w:val="24"/>
          <w:szCs w:val="24"/>
        </w:rPr>
      </w:pPr>
      <w:r w:rsidRPr="00250AAA">
        <w:rPr>
          <w:rFonts w:ascii="Times New Roman" w:eastAsia="Arial Unicode MS" w:hAnsi="Times New Roman"/>
          <w:sz w:val="24"/>
          <w:szCs w:val="24"/>
          <w:bdr w:val="nil"/>
        </w:rPr>
        <w:t xml:space="preserve">3. </w:t>
      </w:r>
      <w:r w:rsidRPr="00250AAA">
        <w:rPr>
          <w:rFonts w:ascii="Times New Roman" w:hAnsi="Times New Roman"/>
          <w:color w:val="000000" w:themeColor="text1"/>
          <w:sz w:val="24"/>
          <w:szCs w:val="24"/>
        </w:rPr>
        <w:t xml:space="preserve">Nėra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77A91609" w14:textId="4E751F0F" w:rsidR="004E3C47" w:rsidRPr="00250AAA" w:rsidRDefault="004E3C47" w:rsidP="00250AAA">
      <w:pPr>
        <w:keepNext/>
        <w:keepLines/>
        <w:suppressLineNumbers/>
        <w:tabs>
          <w:tab w:val="left" w:pos="284"/>
        </w:tabs>
        <w:suppressAutoHyphens/>
        <w:spacing w:after="0"/>
        <w:ind w:firstLine="709"/>
        <w:jc w:val="both"/>
        <w:rPr>
          <w:rFonts w:ascii="Times New Roman" w:hAnsi="Times New Roman" w:cs="Times New Roman"/>
          <w:sz w:val="24"/>
          <w:szCs w:val="24"/>
        </w:rPr>
      </w:pPr>
      <w:r w:rsidRPr="00250AAA">
        <w:rPr>
          <w:rFonts w:ascii="Times New Roman" w:hAnsi="Times New Roman" w:cs="Times New Roman"/>
          <w:sz w:val="24"/>
          <w:szCs w:val="24"/>
        </w:rPr>
        <w:lastRenderedPageBreak/>
        <w:t xml:space="preserve">4. </w:t>
      </w:r>
      <w:r w:rsidR="00250AAA" w:rsidRPr="00250AAA">
        <w:rPr>
          <w:rFonts w:ascii="Times New Roman" w:hAnsi="Times New Roman" w:cs="Times New Roman"/>
          <w:sz w:val="24"/>
          <w:szCs w:val="24"/>
        </w:rPr>
        <w:t>S</w:t>
      </w:r>
      <w:r w:rsidRPr="00250AAA">
        <w:rPr>
          <w:rFonts w:ascii="Times New Roman" w:hAnsi="Times New Roman" w:cs="Times New Roman"/>
          <w:sz w:val="24"/>
          <w:szCs w:val="24"/>
        </w:rPr>
        <w:t>u kitais tiekėjais nėra sudaręs susitarimų, kuriais siekiama iškreipti konkurenciją atliekamame pirkime, ir PO dėl to turi įtikinamų duomenų.</w:t>
      </w:r>
    </w:p>
    <w:p w14:paraId="5C739A08" w14:textId="588439B0"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5. </w:t>
      </w:r>
      <w:r w:rsidR="00250AAA" w:rsidRPr="00250AAA">
        <w:rPr>
          <w:rFonts w:ascii="Times New Roman" w:hAnsi="Times New Roman"/>
          <w:sz w:val="24"/>
          <w:szCs w:val="24"/>
        </w:rPr>
        <w:t>P</w:t>
      </w:r>
      <w:r w:rsidRPr="00250AAA">
        <w:rPr>
          <w:rFonts w:ascii="Times New Roman" w:hAnsi="Times New Roman"/>
          <w:sz w:val="24"/>
          <w:szCs w:val="24"/>
        </w:rPr>
        <w:t xml:space="preserve">irkimo metu nepateko į interesų konflikto situaciją, kaip apibrėžta VPĮ 21 straipsnyje, ir atitinkamos padėties negalima ištaisyti. </w:t>
      </w:r>
    </w:p>
    <w:p w14:paraId="00C7A711" w14:textId="103D99E5"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6. nepažeidė konkurencijos, kaip nustatyta VPĮ 27 straipsnio 3 ir 4 dalyse, ir atitinkamos padėties negalima ištaisyti.</w:t>
      </w:r>
    </w:p>
    <w:p w14:paraId="52A72952" w14:textId="14E19AE6"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7. </w:t>
      </w:r>
      <w:r w:rsidR="00250AAA" w:rsidRPr="00250AAA">
        <w:rPr>
          <w:rFonts w:ascii="Times New Roman" w:hAnsi="Times New Roman"/>
          <w:sz w:val="24"/>
          <w:szCs w:val="24"/>
        </w:rPr>
        <w:t>P</w:t>
      </w:r>
      <w:r w:rsidRPr="00250AAA">
        <w:rPr>
          <w:rFonts w:ascii="Times New Roman" w:hAnsi="Times New Roman"/>
          <w:sz w:val="24"/>
          <w:szCs w:val="24"/>
        </w:rPr>
        <w:t xml:space="preserve">rocedūrų metu nenuslėpė informacijos ar nepateikė melagingos informacijos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31FD58B" w14:textId="19CABA9F" w:rsidR="00250AAA"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8. Pirkimo metu nesiėmė neteisėtų veiksmų, siekdamas daryti įtaką PO sprendimams, gauti konfidencialios informacijos, kuri suteiktų jam neteisėtą pranašumą pirkimo procedūroje, ar neteikė klaidinančios informacijos, kuri gali daryti esminę įtaką PO sprendimams dėl tiekėjų pašalinimo, jų kvalifikacijos vertinimo, laimėtojo nustatymo, ir PO gali tai įrodyti bet kokiomis teisėtomis priemonėmis.</w:t>
      </w:r>
    </w:p>
    <w:p w14:paraId="697BB85D" w14:textId="01365445" w:rsidR="00250AAA" w:rsidRPr="00250AAA" w:rsidRDefault="00250AAA" w:rsidP="00250AAA">
      <w:pPr>
        <w:spacing w:after="0" w:line="240" w:lineRule="auto"/>
        <w:ind w:firstLine="709"/>
        <w:jc w:val="both"/>
        <w:rPr>
          <w:rFonts w:ascii="Times New Roman" w:hAnsi="Times New Roman" w:cs="Times New Roman"/>
          <w:sz w:val="24"/>
          <w:szCs w:val="24"/>
        </w:rPr>
      </w:pPr>
      <w:r w:rsidRPr="00250AAA">
        <w:rPr>
          <w:rFonts w:ascii="Times New Roman" w:hAnsi="Times New Roman" w:cs="Times New Roman"/>
          <w:sz w:val="24"/>
          <w:szCs w:val="24"/>
        </w:rPr>
        <w:t xml:space="preserve">9. Nėra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26459C11" w14:textId="0A20B666" w:rsidR="004E3C47"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10. Nėra padaręs rimto profesinio pažeidimo, dėl kurio PO abejoja tiekėjo sąžiningumu, kai jis yra padaręs finansinės atskaitomybės ir audito teisės aktų pažeidimą ir nuo jo padarymo dienos praėjo mažiau kaip vieni metai.</w:t>
      </w:r>
    </w:p>
    <w:p w14:paraId="688823B5" w14:textId="2F9CB87E" w:rsidR="00250AAA" w:rsidRPr="00250AAA" w:rsidRDefault="00250AAA" w:rsidP="004E3C47">
      <w:pPr>
        <w:pStyle w:val="Betarp"/>
        <w:ind w:firstLine="709"/>
        <w:jc w:val="both"/>
        <w:rPr>
          <w:rFonts w:ascii="Times New Roman" w:hAnsi="Times New Roman"/>
          <w:color w:val="000000"/>
          <w:sz w:val="24"/>
          <w:szCs w:val="24"/>
          <w:shd w:val="clear" w:color="auto" w:fill="FFFFFF"/>
        </w:rPr>
      </w:pPr>
      <w:r w:rsidRPr="00250AAA">
        <w:rPr>
          <w:rFonts w:ascii="Times New Roman" w:hAnsi="Times New Roman"/>
          <w:sz w:val="24"/>
          <w:szCs w:val="24"/>
        </w:rPr>
        <w:t>11. A</w:t>
      </w:r>
      <w:r w:rsidRPr="00250AAA">
        <w:rPr>
          <w:rFonts w:ascii="Times New Roman" w:hAnsi="Times New Roman"/>
          <w:color w:val="000000"/>
          <w:sz w:val="24"/>
          <w:szCs w:val="24"/>
          <w:shd w:val="clear" w:color="auto" w:fill="FFFFFF"/>
        </w:rPr>
        <w:t>titinka minimalius patikimo mokesčių mokėtojo kriterijus, nustatytus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Vadovaujantis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nustatytais terminais, jie skaičiuojami nuo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p w14:paraId="10125300" w14:textId="796D4630" w:rsidR="00250AAA" w:rsidRPr="00250AAA" w:rsidRDefault="00250AAA" w:rsidP="004E3C47">
      <w:pPr>
        <w:pStyle w:val="Betarp"/>
        <w:ind w:firstLine="709"/>
        <w:jc w:val="both"/>
        <w:rPr>
          <w:rFonts w:ascii="Times New Roman" w:hAnsi="Times New Roman"/>
          <w:b/>
          <w:bCs/>
          <w:sz w:val="24"/>
          <w:szCs w:val="24"/>
        </w:rPr>
      </w:pPr>
      <w:r w:rsidRPr="00250AAA">
        <w:rPr>
          <w:rFonts w:ascii="Times New Roman" w:hAnsi="Times New Roman"/>
          <w:color w:val="000000"/>
          <w:sz w:val="24"/>
          <w:szCs w:val="24"/>
          <w:shd w:val="clear" w:color="auto" w:fill="FFFFFF"/>
        </w:rPr>
        <w:t xml:space="preserve">12. Nėra </w:t>
      </w:r>
      <w:r w:rsidRPr="00250AAA">
        <w:rPr>
          <w:rFonts w:ascii="Times New Roman" w:hAnsi="Times New Roman"/>
          <w:sz w:val="24"/>
          <w:szCs w:val="24"/>
        </w:rPr>
        <w:t xml:space="preserve">padaręs rimto profesinio pažeidimo, dėl kurio PO abejoja tiekėjo sąžiningumu, kai jis </w:t>
      </w:r>
      <w:r w:rsidRPr="00250AAA">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25245929" w14:textId="264B66B6" w:rsidR="00F57861" w:rsidRPr="0026154D" w:rsidRDefault="00F57861" w:rsidP="00F57861">
      <w:pPr>
        <w:keepNext/>
        <w:keepLines/>
        <w:suppressLineNumbers/>
        <w:tabs>
          <w:tab w:val="left" w:pos="284"/>
        </w:tabs>
        <w:suppressAutoHyphens/>
        <w:snapToGrid w:val="0"/>
        <w:spacing w:after="120"/>
        <w:ind w:firstLine="709"/>
        <w:jc w:val="both"/>
        <w:rPr>
          <w:rFonts w:ascii="Times New Roman" w:hAnsi="Times New Roman" w:cs="Times New Roman"/>
          <w:sz w:val="24"/>
          <w:szCs w:val="24"/>
        </w:rPr>
      </w:pPr>
      <w:r w:rsidRPr="0026154D">
        <w:rPr>
          <w:rFonts w:ascii="Times New Roman" w:hAnsi="Times New Roman" w:cs="Times New Roman"/>
          <w:sz w:val="24"/>
          <w:szCs w:val="24"/>
        </w:rPr>
        <w:t>Man žinoma, kad, jeigu mano pateikta deklaracija yra melaginga, vadovaujantis Viešųjų pirkimų</w:t>
      </w:r>
      <w:r w:rsidR="007A7AF7" w:rsidRPr="0026154D">
        <w:rPr>
          <w:rFonts w:ascii="Times New Roman" w:hAnsi="Times New Roman" w:cs="Times New Roman"/>
          <w:sz w:val="24"/>
          <w:szCs w:val="24"/>
        </w:rPr>
        <w:t xml:space="preserve"> </w:t>
      </w:r>
      <w:r w:rsidRPr="0026154D">
        <w:rPr>
          <w:rFonts w:ascii="Times New Roman" w:hAnsi="Times New Roman" w:cs="Times New Roman"/>
          <w:sz w:val="24"/>
          <w:szCs w:val="24"/>
        </w:rPr>
        <w:t xml:space="preserve">įstatymo </w:t>
      </w:r>
      <w:r w:rsidR="007A7AF7" w:rsidRPr="0026154D">
        <w:rPr>
          <w:rFonts w:ascii="Times New Roman" w:hAnsi="Times New Roman" w:cs="Times New Roman"/>
          <w:sz w:val="24"/>
          <w:szCs w:val="24"/>
        </w:rPr>
        <w:t>46</w:t>
      </w:r>
      <w:r w:rsidRPr="0026154D">
        <w:rPr>
          <w:rFonts w:ascii="Times New Roman" w:hAnsi="Times New Roman" w:cs="Times New Roman"/>
          <w:sz w:val="24"/>
          <w:szCs w:val="24"/>
        </w:rPr>
        <w:t xml:space="preserve"> straipsnio </w:t>
      </w:r>
      <w:r w:rsidR="007A7AF7" w:rsidRPr="0026154D">
        <w:rPr>
          <w:rFonts w:ascii="Times New Roman" w:hAnsi="Times New Roman" w:cs="Times New Roman"/>
          <w:sz w:val="24"/>
          <w:szCs w:val="24"/>
        </w:rPr>
        <w:t>4</w:t>
      </w:r>
      <w:r w:rsidRPr="0026154D">
        <w:rPr>
          <w:rFonts w:ascii="Times New Roman" w:hAnsi="Times New Roman" w:cs="Times New Roman"/>
          <w:sz w:val="24"/>
          <w:szCs w:val="24"/>
        </w:rPr>
        <w:t xml:space="preserve"> dalies </w:t>
      </w:r>
      <w:r w:rsidR="007A7AF7" w:rsidRPr="0026154D">
        <w:rPr>
          <w:rFonts w:ascii="Times New Roman" w:hAnsi="Times New Roman" w:cs="Times New Roman"/>
          <w:sz w:val="24"/>
          <w:szCs w:val="24"/>
        </w:rPr>
        <w:t>4</w:t>
      </w:r>
      <w:r w:rsidRPr="0026154D">
        <w:rPr>
          <w:rFonts w:ascii="Times New Roman" w:hAnsi="Times New Roman" w:cs="Times New Roman"/>
          <w:sz w:val="24"/>
          <w:szCs w:val="24"/>
        </w:rPr>
        <w:t xml:space="preserve"> punktu, pateiktas pasiūlymas bus atmestas.</w:t>
      </w:r>
    </w:p>
    <w:p w14:paraId="7E7D3576"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250AAA">
        <w:rPr>
          <w:rFonts w:ascii="Times New Roman" w:hAnsi="Times New Roman" w:cs="Times New Roman"/>
          <w:sz w:val="24"/>
          <w:szCs w:val="24"/>
        </w:rPr>
        <w:t>Tiekėjas už deklaracijoje pateiktos informacijos teisingumą atsako įstatymų nustatyta tvarka.</w:t>
      </w:r>
    </w:p>
    <w:p w14:paraId="2478D938"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250AAA" w14:paraId="7D1EB0C7" w14:textId="77777777" w:rsidTr="007F5208">
        <w:trPr>
          <w:trHeight w:val="285"/>
        </w:trPr>
        <w:tc>
          <w:tcPr>
            <w:tcW w:w="3284" w:type="dxa"/>
            <w:tcBorders>
              <w:top w:val="nil"/>
              <w:left w:val="nil"/>
              <w:bottom w:val="single" w:sz="4" w:space="0" w:color="auto"/>
              <w:right w:val="nil"/>
            </w:tcBorders>
            <w:shd w:val="clear" w:color="auto" w:fill="auto"/>
          </w:tcPr>
          <w:p w14:paraId="4B31FBCE"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5795EC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D8F41E4"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6BDF9441"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7B4765F0"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250AAA" w14:paraId="20B1E597" w14:textId="77777777" w:rsidTr="007F5208">
        <w:trPr>
          <w:trHeight w:val="186"/>
        </w:trPr>
        <w:tc>
          <w:tcPr>
            <w:tcW w:w="3284" w:type="dxa"/>
            <w:tcBorders>
              <w:top w:val="single" w:sz="4" w:space="0" w:color="auto"/>
              <w:left w:val="nil"/>
              <w:bottom w:val="nil"/>
              <w:right w:val="nil"/>
            </w:tcBorders>
            <w:shd w:val="clear" w:color="auto" w:fill="auto"/>
          </w:tcPr>
          <w:p w14:paraId="1D70C798" w14:textId="77777777" w:rsidR="00F57861" w:rsidRPr="00250AAA"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250AAA">
              <w:rPr>
                <w:rFonts w:ascii="Times New Roman" w:hAnsi="Times New Roman" w:cs="Times New Roman"/>
                <w:position w:val="6"/>
                <w:sz w:val="24"/>
                <w:szCs w:val="24"/>
              </w:rPr>
              <w:t>(Tiekėjo arba jo įgalioto asmens pareigų pavadinimas)</w:t>
            </w:r>
          </w:p>
        </w:tc>
        <w:tc>
          <w:tcPr>
            <w:tcW w:w="604" w:type="dxa"/>
            <w:shd w:val="clear" w:color="auto" w:fill="auto"/>
          </w:tcPr>
          <w:p w14:paraId="0AA5CB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156D0607"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(Parašas)</w:t>
            </w:r>
          </w:p>
        </w:tc>
        <w:tc>
          <w:tcPr>
            <w:tcW w:w="701" w:type="dxa"/>
            <w:shd w:val="clear" w:color="auto" w:fill="auto"/>
          </w:tcPr>
          <w:p w14:paraId="128CF7C3"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4509B6AD"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(Vardas ir pavardė)</w:t>
            </w:r>
          </w:p>
        </w:tc>
      </w:tr>
    </w:tbl>
    <w:p w14:paraId="63C1840E" w14:textId="77777777" w:rsidR="00F57861" w:rsidRPr="00250AAA" w:rsidRDefault="00F57861" w:rsidP="00F57861">
      <w:pPr>
        <w:rPr>
          <w:rFonts w:ascii="Times New Roman" w:hAnsi="Times New Roman" w:cs="Times New Roman"/>
          <w:sz w:val="24"/>
          <w:szCs w:val="24"/>
        </w:rPr>
      </w:pPr>
    </w:p>
    <w:p w14:paraId="11F401C1" w14:textId="77777777" w:rsidR="00F57861" w:rsidRPr="00250AAA" w:rsidRDefault="00F57861" w:rsidP="00F57861">
      <w:pPr>
        <w:jc w:val="center"/>
        <w:rPr>
          <w:rFonts w:ascii="Times New Roman" w:hAnsi="Times New Roman" w:cs="Times New Roman"/>
          <w:sz w:val="24"/>
          <w:szCs w:val="24"/>
        </w:rPr>
      </w:pPr>
      <w:r w:rsidRPr="00250AAA">
        <w:rPr>
          <w:rFonts w:ascii="Times New Roman" w:hAnsi="Times New Roman" w:cs="Times New Roman"/>
          <w:sz w:val="24"/>
          <w:szCs w:val="24"/>
        </w:rPr>
        <w:t>_________________________</w:t>
      </w:r>
    </w:p>
    <w:sectPr w:rsidR="00F57861" w:rsidRPr="00250AAA" w:rsidSect="00255E67">
      <w:pgSz w:w="11906" w:h="16838"/>
      <w:pgMar w:top="170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03477A"/>
    <w:rsid w:val="00140389"/>
    <w:rsid w:val="00250AAA"/>
    <w:rsid w:val="00255E67"/>
    <w:rsid w:val="0026154D"/>
    <w:rsid w:val="004E3C47"/>
    <w:rsid w:val="00596DBD"/>
    <w:rsid w:val="00635187"/>
    <w:rsid w:val="007A7AF7"/>
    <w:rsid w:val="00952232"/>
    <w:rsid w:val="00A018FB"/>
    <w:rsid w:val="00AD2CC6"/>
    <w:rsid w:val="00B42C92"/>
    <w:rsid w:val="00C07DF0"/>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ED2"/>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E3C47"/>
    <w:pPr>
      <w:suppressAutoHyphens/>
      <w:autoSpaceDN w:val="0"/>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4E3C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3708</Words>
  <Characters>2115</Characters>
  <Application>Microsoft Office Word</Application>
  <DocSecurity>0</DocSecurity>
  <Lines>17</Lines>
  <Paragraphs>11</Paragraphs>
  <ScaleCrop>false</ScaleCrop>
  <Company>LRSTT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15</cp:revision>
  <dcterms:created xsi:type="dcterms:W3CDTF">2025-07-22T07:03:00Z</dcterms:created>
  <dcterms:modified xsi:type="dcterms:W3CDTF">2025-08-18T05:39:00Z</dcterms:modified>
</cp:coreProperties>
</file>