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A5B8" w14:textId="5EC544BD" w:rsidR="00DB4DCB" w:rsidRPr="007717FB" w:rsidRDefault="00967741">
      <w:pPr>
        <w:pStyle w:val="Body"/>
        <w:jc w:val="center"/>
        <w:rPr>
          <w:b/>
          <w:bCs/>
          <w:color w:val="auto"/>
          <w:sz w:val="24"/>
          <w:szCs w:val="24"/>
          <w:lang w:bidi="ta-IN"/>
        </w:rPr>
      </w:pPr>
      <w:r w:rsidRPr="007717FB">
        <w:rPr>
          <w:b/>
          <w:bCs/>
          <w:color w:val="auto"/>
          <w:sz w:val="24"/>
          <w:szCs w:val="24"/>
          <w:lang w:bidi="ta-IN"/>
        </w:rPr>
        <w:t xml:space="preserve">PIRKIMO SĄLYGŲ PRIEDAS </w:t>
      </w:r>
      <w:r w:rsidR="00815608" w:rsidRPr="00815608">
        <w:rPr>
          <w:b/>
          <w:bCs/>
          <w:color w:val="auto"/>
          <w:sz w:val="24"/>
          <w:szCs w:val="24"/>
          <w:lang w:bidi="ta-IN"/>
        </w:rPr>
        <w:t>„</w:t>
      </w:r>
      <w:r w:rsidR="00B43DDA" w:rsidRPr="007717FB">
        <w:rPr>
          <w:rFonts w:cs="Times New Roman"/>
          <w:b/>
          <w:color w:val="auto"/>
          <w:sz w:val="24"/>
          <w:szCs w:val="24"/>
        </w:rPr>
        <w:t>EKONOMINIO NAUDINGUMO VERTINIMO TVARKA</w:t>
      </w:r>
      <w:r w:rsidRPr="007717FB">
        <w:rPr>
          <w:b/>
          <w:bCs/>
          <w:color w:val="auto"/>
          <w:sz w:val="24"/>
          <w:szCs w:val="24"/>
          <w:lang w:bidi="ta-IN"/>
        </w:rPr>
        <w:t>“</w:t>
      </w:r>
    </w:p>
    <w:p w14:paraId="5DD269AB" w14:textId="3D91524B" w:rsidR="00DB4DCB" w:rsidRPr="007717FB" w:rsidRDefault="00DB4DCB">
      <w:pPr>
        <w:pStyle w:val="Body"/>
        <w:rPr>
          <w:b/>
          <w:bCs/>
          <w:color w:val="auto"/>
          <w:sz w:val="24"/>
          <w:szCs w:val="24"/>
          <w:lang w:bidi="ta-IN"/>
        </w:rPr>
      </w:pPr>
    </w:p>
    <w:p w14:paraId="6C2CBF8D" w14:textId="0B0ED8EC" w:rsidR="00DB4DCB" w:rsidRPr="007717FB" w:rsidRDefault="00F025B1">
      <w:pPr>
        <w:pStyle w:val="Body"/>
        <w:rPr>
          <w:b/>
          <w:bCs/>
          <w:color w:val="auto"/>
          <w:sz w:val="24"/>
          <w:szCs w:val="24"/>
          <w:lang w:bidi="ta-IN"/>
        </w:rPr>
      </w:pPr>
      <w:r w:rsidRPr="007717FB">
        <w:rPr>
          <w:noProof/>
          <w:color w:val="auto"/>
          <w:lang w:bidi="ta-I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D4D738E" wp14:editId="09833E6A">
                <wp:simplePos x="0" y="0"/>
                <wp:positionH relativeFrom="page">
                  <wp:posOffset>570230</wp:posOffset>
                </wp:positionH>
                <wp:positionV relativeFrom="page">
                  <wp:posOffset>915035</wp:posOffset>
                </wp:positionV>
                <wp:extent cx="9589135" cy="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91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35F6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8D49B" id="officeArt object" o:spid="_x0000_s1026" alt="officeArt object" style="position:absolute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4.9pt,72.05pt" to="799.9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" strokecolor="#535f65" strokeweight="2pt">
                <v:stroke miterlimit="4" joinstyle="miter"/>
                <w10:wrap anchorx="page" anchory="page"/>
              </v:line>
            </w:pict>
          </mc:Fallback>
        </mc:AlternateContent>
      </w:r>
    </w:p>
    <w:p w14:paraId="042FE920" w14:textId="500363FF" w:rsidR="00967741" w:rsidRPr="00A862E3" w:rsidRDefault="00967741" w:rsidP="00967741">
      <w:pPr>
        <w:pStyle w:val="Heading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1. BENDROSIOS NUOSTATOS</w:t>
      </w:r>
    </w:p>
    <w:p w14:paraId="3D0F150A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p w14:paraId="06A7051E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1.1. Perkančiosios organizacijos neatmesti pasiūlymai vertinami pagal kainos (toliau - kainos) ir kokybės santykį šiame priede nurodyta tvarka.</w:t>
      </w:r>
    </w:p>
    <w:p w14:paraId="507BF344" w14:textId="61BDE102" w:rsidR="00967741" w:rsidRPr="00A862E3" w:rsidRDefault="00967741" w:rsidP="00967741">
      <w:pPr>
        <w:pStyle w:val="Body2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 xml:space="preserve">1.2. Ekonomiškai naudingiausias </w:t>
      </w:r>
      <w:proofErr w:type="spellStart"/>
      <w:r w:rsidRPr="00A862E3">
        <w:rPr>
          <w:color w:val="auto"/>
          <w:lang w:val="lt-LT" w:bidi="ta-IN"/>
        </w:rPr>
        <w:t>pasiūlymas</w:t>
      </w:r>
      <w:proofErr w:type="spellEnd"/>
      <w:r w:rsidRPr="00A862E3">
        <w:rPr>
          <w:color w:val="auto"/>
          <w:lang w:val="lt-LT" w:bidi="ta-IN"/>
        </w:rPr>
        <w:t xml:space="preserve"> – tai </w:t>
      </w:r>
      <w:proofErr w:type="spellStart"/>
      <w:r w:rsidRPr="00A862E3">
        <w:rPr>
          <w:color w:val="auto"/>
          <w:lang w:val="lt-LT" w:bidi="ta-IN"/>
        </w:rPr>
        <w:t>pasiūlymas</w:t>
      </w:r>
      <w:proofErr w:type="spellEnd"/>
      <w:r w:rsidRPr="00A862E3">
        <w:rPr>
          <w:color w:val="auto"/>
          <w:lang w:val="lt-LT" w:bidi="ta-IN"/>
        </w:rPr>
        <w:t xml:space="preserve">, </w:t>
      </w:r>
      <w:r w:rsidRPr="007717FB">
        <w:rPr>
          <w:color w:val="auto"/>
          <w:lang w:val="lt-LT" w:bidi="ta-IN"/>
        </w:rPr>
        <w:t xml:space="preserve">kurio </w:t>
      </w:r>
      <w:r w:rsidR="00AC131B" w:rsidRPr="007717FB">
        <w:rPr>
          <w:color w:val="auto"/>
          <w:lang w:val="lt-LT" w:bidi="ta-IN"/>
        </w:rPr>
        <w:t>palygina</w:t>
      </w:r>
      <w:r w:rsidR="00E20A3F">
        <w:rPr>
          <w:color w:val="auto"/>
          <w:lang w:val="lt-LT" w:bidi="ta-IN"/>
        </w:rPr>
        <w:t>moji kaina,</w:t>
      </w:r>
      <w:r w:rsidRPr="00A862E3">
        <w:rPr>
          <w:color w:val="auto"/>
          <w:lang w:val="lt-LT" w:bidi="ta-IN"/>
        </w:rPr>
        <w:t xml:space="preserve"> </w:t>
      </w:r>
      <w:proofErr w:type="spellStart"/>
      <w:r w:rsidRPr="00A862E3">
        <w:rPr>
          <w:color w:val="auto"/>
          <w:lang w:val="lt-LT" w:bidi="ta-IN"/>
        </w:rPr>
        <w:t>apskaičiuota</w:t>
      </w:r>
      <w:proofErr w:type="spellEnd"/>
      <w:r w:rsidRPr="00A862E3">
        <w:rPr>
          <w:color w:val="auto"/>
          <w:lang w:val="lt-LT" w:bidi="ta-IN"/>
        </w:rPr>
        <w:t xml:space="preserve"> pagal toliau nustatytus </w:t>
      </w:r>
      <w:proofErr w:type="spellStart"/>
      <w:r w:rsidRPr="00A862E3">
        <w:rPr>
          <w:color w:val="auto"/>
          <w:lang w:val="lt-LT" w:bidi="ta-IN"/>
        </w:rPr>
        <w:t>pasiūlymu</w:t>
      </w:r>
      <w:proofErr w:type="spellEnd"/>
      <w:r w:rsidRPr="00A862E3">
        <w:rPr>
          <w:color w:val="auto"/>
          <w:lang w:val="lt-LT" w:bidi="ta-IN"/>
        </w:rPr>
        <w:t xml:space="preserve">̨ vertinimo kriterijus ir </w:t>
      </w:r>
      <w:proofErr w:type="spellStart"/>
      <w:r w:rsidRPr="00A862E3">
        <w:rPr>
          <w:color w:val="auto"/>
          <w:lang w:val="lt-LT" w:bidi="ta-IN"/>
        </w:rPr>
        <w:t>sąlygas</w:t>
      </w:r>
      <w:proofErr w:type="spellEnd"/>
      <w:r w:rsidRPr="00A862E3">
        <w:rPr>
          <w:color w:val="auto"/>
          <w:lang w:val="lt-LT" w:bidi="ta-IN"/>
        </w:rPr>
        <w:t xml:space="preserve">, yra </w:t>
      </w:r>
      <w:r w:rsidR="00AC131B" w:rsidRPr="007717FB">
        <w:rPr>
          <w:color w:val="auto"/>
          <w:lang w:val="lt-LT" w:bidi="ta-IN"/>
        </w:rPr>
        <w:t>mažiausia</w:t>
      </w:r>
      <w:r w:rsidRPr="00A862E3">
        <w:rPr>
          <w:color w:val="auto"/>
          <w:lang w:val="lt-LT" w:bidi="ta-IN"/>
        </w:rPr>
        <w:t>.</w:t>
      </w:r>
      <w:r w:rsidR="0091150E">
        <w:rPr>
          <w:color w:val="auto"/>
          <w:lang w:val="lt-LT" w:bidi="ta-IN"/>
        </w:rPr>
        <w:t xml:space="preserve"> </w:t>
      </w:r>
    </w:p>
    <w:p w14:paraId="3E30475A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p w14:paraId="5D2E24C1" w14:textId="407DAB4A" w:rsidR="00967741" w:rsidRPr="00A862E3" w:rsidRDefault="00967741" w:rsidP="00967741">
      <w:pPr>
        <w:pStyle w:val="Heading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2. PASIŪLYMŲ VERTINIMO KRITERIJAI</w:t>
      </w:r>
      <w:r w:rsidR="00AE43BE" w:rsidRPr="00A862E3">
        <w:rPr>
          <w:color w:val="auto"/>
          <w:lang w:val="lt-LT" w:bidi="ta-IN"/>
        </w:rPr>
        <w:t xml:space="preserve"> </w:t>
      </w:r>
      <w:r w:rsidR="003D1302" w:rsidRPr="00A862E3">
        <w:rPr>
          <w:color w:val="auto"/>
          <w:lang w:val="lt-LT" w:bidi="ta-IN"/>
        </w:rPr>
        <w:t xml:space="preserve">IR </w:t>
      </w:r>
      <w:r w:rsidR="003D1302" w:rsidRPr="00A862E3">
        <w:rPr>
          <w:color w:val="auto"/>
          <w:lang w:val="lt-LT"/>
        </w:rPr>
        <w:t>BALŲ APSKAIČIAVIMAS</w:t>
      </w:r>
    </w:p>
    <w:p w14:paraId="4E44F0E1" w14:textId="77777777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p w14:paraId="1E855CFF" w14:textId="149B1636" w:rsidR="00DB4DCB" w:rsidRPr="00A862E3" w:rsidRDefault="00967741" w:rsidP="00967741">
      <w:pPr>
        <w:pStyle w:val="Body2"/>
        <w:rPr>
          <w:color w:val="auto"/>
          <w:lang w:val="lt-LT" w:bidi="ta-IN"/>
        </w:rPr>
      </w:pPr>
      <w:r w:rsidRPr="00A862E3">
        <w:rPr>
          <w:color w:val="auto"/>
          <w:lang w:val="lt-LT" w:bidi="ta-IN"/>
        </w:rPr>
        <w:tab/>
        <w:t>2.1. Taikomi šie vertinimo kriterijai ir jų reikšmės:</w:t>
      </w:r>
    </w:p>
    <w:p w14:paraId="06BD1A70" w14:textId="5628592E" w:rsidR="00967741" w:rsidRPr="00A862E3" w:rsidRDefault="00967741" w:rsidP="00967741">
      <w:pPr>
        <w:pStyle w:val="Body2"/>
        <w:rPr>
          <w:color w:val="auto"/>
          <w:lang w:val="lt-LT" w:bidi="ta-IN"/>
        </w:rPr>
      </w:pPr>
    </w:p>
    <w:tbl>
      <w:tblPr>
        <w:tblStyle w:val="TableGrid"/>
        <w:tblW w:w="14393" w:type="dxa"/>
        <w:tblInd w:w="704" w:type="dxa"/>
        <w:tblLook w:val="04A0" w:firstRow="1" w:lastRow="0" w:firstColumn="1" w:lastColumn="0" w:noHBand="0" w:noVBand="1"/>
      </w:tblPr>
      <w:tblGrid>
        <w:gridCol w:w="1204"/>
        <w:gridCol w:w="1749"/>
        <w:gridCol w:w="2470"/>
        <w:gridCol w:w="4056"/>
        <w:gridCol w:w="4914"/>
      </w:tblGrid>
      <w:tr w:rsidR="00A862E3" w:rsidRPr="00A862E3" w14:paraId="573ACBF2" w14:textId="77777777" w:rsidTr="00AC131B">
        <w:trPr>
          <w:trHeight w:val="1141"/>
          <w:tblHeader/>
        </w:trPr>
        <w:tc>
          <w:tcPr>
            <w:tcW w:w="1204" w:type="dxa"/>
          </w:tcPr>
          <w:p w14:paraId="36663413" w14:textId="77777777" w:rsidR="00AC131B" w:rsidRPr="007717FB" w:rsidRDefault="00AC131B" w:rsidP="00F134AA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Dalis</w:t>
            </w:r>
          </w:p>
        </w:tc>
        <w:tc>
          <w:tcPr>
            <w:tcW w:w="1749" w:type="dxa"/>
          </w:tcPr>
          <w:p w14:paraId="09E89CAA" w14:textId="77777777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Kriterijus</w:t>
            </w:r>
          </w:p>
        </w:tc>
        <w:tc>
          <w:tcPr>
            <w:tcW w:w="2470" w:type="dxa"/>
          </w:tcPr>
          <w:p w14:paraId="3BCEDE7B" w14:textId="77777777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Kriterijaus pavadinimas</w:t>
            </w:r>
          </w:p>
        </w:tc>
        <w:tc>
          <w:tcPr>
            <w:tcW w:w="4056" w:type="dxa"/>
          </w:tcPr>
          <w:p w14:paraId="52216D00" w14:textId="77777777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Formulė</w:t>
            </w:r>
          </w:p>
        </w:tc>
        <w:tc>
          <w:tcPr>
            <w:tcW w:w="4914" w:type="dxa"/>
          </w:tcPr>
          <w:p w14:paraId="675F89EA" w14:textId="4D308E5B" w:rsidR="00AC131B" w:rsidRPr="007717FB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7717FB">
              <w:rPr>
                <w:b/>
                <w:color w:val="auto"/>
                <w:sz w:val="20"/>
                <w:szCs w:val="20"/>
                <w:lang w:val="lt-LT" w:bidi="ta-IN"/>
              </w:rPr>
              <w:t>Reikalavimai</w:t>
            </w:r>
          </w:p>
        </w:tc>
      </w:tr>
      <w:tr w:rsidR="00A862E3" w:rsidRPr="00A862E3" w14:paraId="673D6FC8" w14:textId="77777777" w:rsidTr="00AC131B">
        <w:trPr>
          <w:trHeight w:val="62"/>
        </w:trPr>
        <w:tc>
          <w:tcPr>
            <w:tcW w:w="1204" w:type="dxa"/>
            <w:tcBorders>
              <w:bottom w:val="single" w:sz="4" w:space="0" w:color="auto"/>
            </w:tcBorders>
          </w:tcPr>
          <w:p w14:paraId="05AED903" w14:textId="5E60EC0E" w:rsidR="00AC131B" w:rsidRPr="00A862E3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1FC7F041" w14:textId="2529AB77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EN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5458AEE0" w14:textId="27A04856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Ekonominis naudingumas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01038D7" w14:textId="031EA80C" w:rsidR="00AC131B" w:rsidRPr="00E71D68" w:rsidRDefault="00AC131B" w:rsidP="00F134AA">
            <w:pPr>
              <w:rPr>
                <w:bCs/>
                <w:sz w:val="20"/>
                <w:szCs w:val="20"/>
                <w:lang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EN=K-T</w:t>
            </w:r>
            <w:r w:rsidR="007B550F">
              <w:rPr>
                <w:bCs/>
                <w:sz w:val="20"/>
                <w:szCs w:val="20"/>
                <w:lang w:val="lt-LT" w:bidi="ta-IN"/>
              </w:rPr>
              <w:t>1-T2</w:t>
            </w:r>
          </w:p>
          <w:p w14:paraId="3F7ADF5F" w14:textId="37F2FE3D" w:rsidR="00AB66C4" w:rsidRPr="00A862E3" w:rsidRDefault="00AB66C4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67D81228" w14:textId="1D10B7AC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A862E3" w:rsidRPr="00A862E3" w14:paraId="5C0252D8" w14:textId="77777777" w:rsidTr="00AC131B">
        <w:trPr>
          <w:trHeight w:val="300"/>
        </w:trPr>
        <w:tc>
          <w:tcPr>
            <w:tcW w:w="1204" w:type="dxa"/>
            <w:tcBorders>
              <w:bottom w:val="single" w:sz="4" w:space="0" w:color="auto"/>
            </w:tcBorders>
          </w:tcPr>
          <w:p w14:paraId="3070070D" w14:textId="77777777" w:rsidR="00AC131B" w:rsidRPr="00A862E3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4CB4009" w14:textId="77777777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K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14646998" w14:textId="7B810525" w:rsidR="00AC131B" w:rsidRPr="00A862E3" w:rsidRDefault="009B23D7" w:rsidP="00F134AA">
            <w:pPr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Kaina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ED1A1A0" w14:textId="77777777" w:rsidR="00AC131B" w:rsidRDefault="00AC131B" w:rsidP="00A71F6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 xml:space="preserve">K= </w:t>
            </w:r>
            <w:r w:rsidR="00C877D0" w:rsidRPr="007717FB">
              <w:rPr>
                <w:bCs/>
                <w:sz w:val="20"/>
                <w:szCs w:val="20"/>
                <w:lang w:val="lt-LT" w:bidi="ta-IN"/>
              </w:rPr>
              <w:t>Tiekėjo pasiūlyme nurodyta</w:t>
            </w:r>
            <w:r w:rsidR="00B55ACE">
              <w:rPr>
                <w:bCs/>
                <w:sz w:val="20"/>
                <w:szCs w:val="20"/>
                <w:lang w:val="lt-LT" w:bidi="ta-IN"/>
              </w:rPr>
              <w:t xml:space="preserve"> bendra pasiūlymo</w:t>
            </w:r>
            <w:r w:rsidR="00C877D0" w:rsidRPr="007717FB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B55ACE">
              <w:rPr>
                <w:bCs/>
                <w:sz w:val="20"/>
                <w:szCs w:val="20"/>
                <w:lang w:val="lt-LT" w:bidi="ta-IN"/>
              </w:rPr>
              <w:t>kaina</w:t>
            </w:r>
            <w:r w:rsidR="00C877D0" w:rsidRPr="007717FB">
              <w:rPr>
                <w:bCs/>
                <w:sz w:val="20"/>
                <w:szCs w:val="20"/>
                <w:lang w:val="lt-LT" w:bidi="ta-IN"/>
              </w:rPr>
              <w:t xml:space="preserve"> su PVM (Eur)  </w:t>
            </w:r>
          </w:p>
          <w:p w14:paraId="7861746F" w14:textId="73408F98" w:rsidR="00B55ACE" w:rsidRPr="00A862E3" w:rsidRDefault="00B55ACE" w:rsidP="00A71F6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4DBCB897" w14:textId="77777777" w:rsidR="00AC131B" w:rsidRPr="00A862E3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7B550F" w:rsidRPr="00A862E3" w14:paraId="3F0C4D2F" w14:textId="77777777" w:rsidTr="007C6FF6">
        <w:trPr>
          <w:trHeight w:val="300"/>
        </w:trPr>
        <w:tc>
          <w:tcPr>
            <w:tcW w:w="1204" w:type="dxa"/>
          </w:tcPr>
          <w:p w14:paraId="637C958D" w14:textId="77777777" w:rsidR="007B550F" w:rsidRPr="00A862E3" w:rsidRDefault="007B550F" w:rsidP="007B550F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</w:tcPr>
          <w:p w14:paraId="3D822940" w14:textId="55F9E6E7" w:rsidR="007B550F" w:rsidRPr="00A862E3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T</w:t>
            </w:r>
            <w:r>
              <w:rPr>
                <w:bCs/>
                <w:sz w:val="20"/>
                <w:szCs w:val="20"/>
                <w:lang w:val="lt-LT" w:bidi="ta-IN"/>
              </w:rPr>
              <w:t>1</w:t>
            </w:r>
          </w:p>
        </w:tc>
        <w:tc>
          <w:tcPr>
            <w:tcW w:w="2470" w:type="dxa"/>
          </w:tcPr>
          <w:p w14:paraId="45754CB9" w14:textId="2483839E" w:rsidR="007B550F" w:rsidRPr="00A862E3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Alkoholio kontrolės darbe sistema</w:t>
            </w:r>
          </w:p>
        </w:tc>
        <w:tc>
          <w:tcPr>
            <w:tcW w:w="4056" w:type="dxa"/>
          </w:tcPr>
          <w:p w14:paraId="400D3232" w14:textId="77777777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Jei vertinamo pasiūlymo reikšmė "Taip",</w:t>
            </w:r>
          </w:p>
          <w:p w14:paraId="554B6B99" w14:textId="3B2C316E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>
              <w:rPr>
                <w:bCs/>
                <w:sz w:val="20"/>
                <w:szCs w:val="20"/>
                <w:lang w:bidi="ta-IN"/>
              </w:rPr>
              <w:t>2500,00</w:t>
            </w:r>
            <w:r w:rsidRPr="007717FB">
              <w:rPr>
                <w:bCs/>
                <w:sz w:val="20"/>
                <w:szCs w:val="20"/>
                <w:lang w:val="lt-LT" w:bidi="ta-IN"/>
              </w:rPr>
              <w:t xml:space="preserve">; </w:t>
            </w:r>
          </w:p>
          <w:p w14:paraId="496BB8B4" w14:textId="77777777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Jei vertinamo pasiūlymo reikšmė "Ne",</w:t>
            </w:r>
          </w:p>
          <w:p w14:paraId="4499AF5A" w14:textId="77777777" w:rsidR="007B550F" w:rsidRPr="00A862E3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T = 0</w:t>
            </w:r>
          </w:p>
        </w:tc>
        <w:tc>
          <w:tcPr>
            <w:tcW w:w="4914" w:type="dxa"/>
          </w:tcPr>
          <w:p w14:paraId="0BFF55EB" w14:textId="3F12480F" w:rsidR="007B550F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Tiekėjas įsipareigoja nuo statybos darbų pradžios taikyti a</w:t>
            </w:r>
            <w:r>
              <w:rPr>
                <w:bCs/>
                <w:sz w:val="20"/>
                <w:szCs w:val="20"/>
                <w:lang w:val="lt-LT" w:bidi="ta-IN"/>
              </w:rPr>
              <w:t>lkoholio kontrolės darbe sistem</w:t>
            </w:r>
            <w:r>
              <w:rPr>
                <w:bCs/>
                <w:sz w:val="20"/>
                <w:szCs w:val="20"/>
                <w:lang w:val="lt-LT" w:bidi="ta-IN"/>
              </w:rPr>
              <w:t>ą:</w:t>
            </w:r>
          </w:p>
          <w:p w14:paraId="729F8C8A" w14:textId="77777777" w:rsidR="00D4365A" w:rsidRDefault="007B550F" w:rsidP="00D4365A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 xml:space="preserve">- </w:t>
            </w:r>
            <w:r w:rsidR="00D4365A">
              <w:rPr>
                <w:bCs/>
                <w:sz w:val="20"/>
                <w:szCs w:val="20"/>
                <w:lang w:val="lt-LT" w:bidi="ta-IN"/>
              </w:rPr>
              <w:t xml:space="preserve">tikrinti ir registruoti į statybvietę įeinančių asmenų blaivumą naudojant galiojančią metrologinę patikrą turintį </w:t>
            </w:r>
            <w:r w:rsidR="00D4365A">
              <w:rPr>
                <w:bCs/>
                <w:sz w:val="20"/>
                <w:szCs w:val="20"/>
                <w:lang w:val="lt-LT" w:bidi="ta-IN"/>
              </w:rPr>
              <w:t>alkoholio</w:t>
            </w:r>
            <w:r w:rsidR="00D4365A">
              <w:rPr>
                <w:bCs/>
                <w:sz w:val="20"/>
                <w:szCs w:val="20"/>
                <w:lang w:val="lt-LT" w:bidi="ta-IN"/>
              </w:rPr>
              <w:t xml:space="preserve"> detektorių.</w:t>
            </w:r>
          </w:p>
          <w:p w14:paraId="56E8E0FE" w14:textId="6CCC3F26" w:rsidR="00D4365A" w:rsidRPr="007B550F" w:rsidRDefault="00D4365A" w:rsidP="00D4365A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7B550F" w:rsidRPr="00A862E3" w14:paraId="4777A2FF" w14:textId="77777777" w:rsidTr="00AC131B">
        <w:trPr>
          <w:trHeight w:val="300"/>
        </w:trPr>
        <w:tc>
          <w:tcPr>
            <w:tcW w:w="1204" w:type="dxa"/>
          </w:tcPr>
          <w:p w14:paraId="230249E6" w14:textId="77777777" w:rsidR="007B550F" w:rsidRPr="00A862E3" w:rsidRDefault="007B550F" w:rsidP="007B550F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</w:tcPr>
          <w:p w14:paraId="29D9CB62" w14:textId="6F1C1C28" w:rsidR="007B550F" w:rsidRPr="00A862E3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A862E3">
              <w:rPr>
                <w:bCs/>
                <w:sz w:val="20"/>
                <w:szCs w:val="20"/>
                <w:lang w:val="lt-LT" w:bidi="ta-IN"/>
              </w:rPr>
              <w:t>T</w:t>
            </w:r>
            <w:r>
              <w:rPr>
                <w:bCs/>
                <w:sz w:val="20"/>
                <w:szCs w:val="20"/>
                <w:lang w:val="lt-LT" w:bidi="ta-IN"/>
              </w:rPr>
              <w:t>2</w:t>
            </w:r>
          </w:p>
        </w:tc>
        <w:tc>
          <w:tcPr>
            <w:tcW w:w="2470" w:type="dxa"/>
          </w:tcPr>
          <w:p w14:paraId="235C2560" w14:textId="4182DB7A" w:rsidR="007B550F" w:rsidRPr="00A862E3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Darbo laiko apskaitos sistema statybvietėje</w:t>
            </w:r>
          </w:p>
        </w:tc>
        <w:tc>
          <w:tcPr>
            <w:tcW w:w="4056" w:type="dxa"/>
          </w:tcPr>
          <w:p w14:paraId="443339FA" w14:textId="77777777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Jei vertinamo pasiūlymo reikšmė "Taip",</w:t>
            </w:r>
          </w:p>
          <w:p w14:paraId="7C43FB51" w14:textId="58D6C6DA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>
              <w:rPr>
                <w:bCs/>
                <w:sz w:val="20"/>
                <w:szCs w:val="20"/>
                <w:lang w:bidi="ta-IN"/>
              </w:rPr>
              <w:t>2500,00</w:t>
            </w:r>
            <w:r w:rsidRPr="007717FB">
              <w:rPr>
                <w:bCs/>
                <w:sz w:val="20"/>
                <w:szCs w:val="20"/>
                <w:lang w:val="lt-LT" w:bidi="ta-IN"/>
              </w:rPr>
              <w:t xml:space="preserve">; </w:t>
            </w:r>
          </w:p>
          <w:p w14:paraId="570D47EA" w14:textId="77777777" w:rsidR="007B550F" w:rsidRPr="007717FB" w:rsidRDefault="007B550F" w:rsidP="007B550F">
            <w:pPr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Jei vertinamo pasiūlymo reikšmė "Ne",</w:t>
            </w:r>
          </w:p>
          <w:p w14:paraId="60673143" w14:textId="338CAEA8" w:rsidR="007B550F" w:rsidRPr="00A862E3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7717FB">
              <w:rPr>
                <w:bCs/>
                <w:sz w:val="20"/>
                <w:szCs w:val="20"/>
                <w:lang w:val="lt-LT" w:bidi="ta-IN"/>
              </w:rPr>
              <w:t>T = 0</w:t>
            </w:r>
          </w:p>
        </w:tc>
        <w:tc>
          <w:tcPr>
            <w:tcW w:w="4914" w:type="dxa"/>
          </w:tcPr>
          <w:p w14:paraId="11D13560" w14:textId="77777777" w:rsidR="007B550F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Tiekėjas įsipareigoja nuo statybos darbų pradžios:</w:t>
            </w:r>
          </w:p>
          <w:p w14:paraId="21F94DC3" w14:textId="77777777" w:rsidR="007B550F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 xml:space="preserve">- </w:t>
            </w:r>
            <w:r w:rsidRPr="007B550F">
              <w:rPr>
                <w:bCs/>
                <w:sz w:val="20"/>
                <w:szCs w:val="20"/>
                <w:lang w:val="lt-LT" w:bidi="ta-IN"/>
              </w:rPr>
              <w:t>įrengti apskaitos sistemą statybvietėje, užtikrinančią statybos dalyvių buvimo statybvietėje laiko apskaitos duomenų,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Pr="007B550F">
              <w:rPr>
                <w:bCs/>
                <w:sz w:val="20"/>
                <w:szCs w:val="20"/>
                <w:lang w:val="lt-LT" w:bidi="ta-IN"/>
              </w:rPr>
              <w:t>esamuoju laiku (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angl. k. </w:t>
            </w:r>
            <w:proofErr w:type="spellStart"/>
            <w:r w:rsidRPr="007B550F">
              <w:rPr>
                <w:bCs/>
                <w:i/>
                <w:iCs/>
                <w:sz w:val="20"/>
                <w:szCs w:val="20"/>
                <w:lang w:val="lt-LT" w:bidi="ta-IN"/>
              </w:rPr>
              <w:t>online</w:t>
            </w:r>
            <w:proofErr w:type="spellEnd"/>
            <w:r w:rsidRPr="007B550F">
              <w:rPr>
                <w:bCs/>
                <w:sz w:val="20"/>
                <w:szCs w:val="20"/>
                <w:lang w:val="lt-LT" w:bidi="ta-IN"/>
              </w:rPr>
              <w:t>), prieinamumą pirkimo vykdytojui;</w:t>
            </w:r>
          </w:p>
          <w:p w14:paraId="7428F9EB" w14:textId="77777777" w:rsidR="007B550F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 xml:space="preserve">- </w:t>
            </w:r>
            <w:r w:rsidRPr="007B550F">
              <w:rPr>
                <w:bCs/>
                <w:sz w:val="20"/>
                <w:szCs w:val="20"/>
                <w:lang w:val="lt-LT" w:bidi="ta-IN"/>
              </w:rPr>
              <w:t>pirkimo vykdytojui pateikti prisijungimo prie apskaitos sistemos duomenis (prisijungimo adresą, vartotojo vardą ir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Pr="007B550F">
              <w:rPr>
                <w:bCs/>
                <w:sz w:val="20"/>
                <w:szCs w:val="20"/>
                <w:lang w:val="lt-LT" w:bidi="ta-IN"/>
              </w:rPr>
              <w:t>slaptažodį ir/ar pan.) pirkimo vykdytojo nurodytiems asmenims, reikalingus statybos dalyvių buvimo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Pr="007B550F">
              <w:rPr>
                <w:bCs/>
                <w:sz w:val="20"/>
                <w:szCs w:val="20"/>
                <w:lang w:val="lt-LT" w:bidi="ta-IN"/>
              </w:rPr>
              <w:t>statybvietėje laiko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Pr="007B550F">
              <w:rPr>
                <w:bCs/>
                <w:sz w:val="20"/>
                <w:szCs w:val="20"/>
                <w:lang w:val="lt-LT" w:bidi="ta-IN"/>
              </w:rPr>
              <w:t>apskaitos duomenų esamuoju laiku (</w:t>
            </w:r>
            <w:proofErr w:type="spellStart"/>
            <w:r w:rsidRPr="007B550F">
              <w:rPr>
                <w:bCs/>
                <w:i/>
                <w:iCs/>
                <w:sz w:val="20"/>
                <w:szCs w:val="20"/>
                <w:lang w:val="lt-LT" w:bidi="ta-IN"/>
              </w:rPr>
              <w:t>online</w:t>
            </w:r>
            <w:proofErr w:type="spellEnd"/>
            <w:r w:rsidRPr="007B550F">
              <w:rPr>
                <w:bCs/>
                <w:sz w:val="20"/>
                <w:szCs w:val="20"/>
                <w:lang w:val="lt-LT" w:bidi="ta-IN"/>
              </w:rPr>
              <w:t>) prieinamumui;</w:t>
            </w:r>
          </w:p>
          <w:p w14:paraId="6308A288" w14:textId="77777777" w:rsidR="007B550F" w:rsidRDefault="007B550F" w:rsidP="007B550F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lastRenderedPageBreak/>
              <w:t xml:space="preserve">- </w:t>
            </w:r>
            <w:r w:rsidRPr="007B550F">
              <w:rPr>
                <w:bCs/>
                <w:sz w:val="20"/>
                <w:szCs w:val="20"/>
                <w:lang w:val="lt-LT" w:bidi="ta-IN"/>
              </w:rPr>
              <w:t>užtikrinti galimybę pirkimo vykdytojui apskaitos sistemoje susiformuoti ataskaitas bet kuriam laiko intervalui nuo statybos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Pr="007B550F">
              <w:rPr>
                <w:bCs/>
                <w:sz w:val="20"/>
                <w:szCs w:val="20"/>
                <w:lang w:val="lt-LT" w:bidi="ta-IN"/>
              </w:rPr>
              <w:t>darbų pradžios. Ataskaitose turi matytis statybos dalyvių vardai, pavardės, pareigos, jų atstovaujamos įmonės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Pr="007B550F">
              <w:rPr>
                <w:bCs/>
                <w:sz w:val="20"/>
                <w:szCs w:val="20"/>
                <w:lang w:val="lt-LT" w:bidi="ta-IN"/>
              </w:rPr>
              <w:t>pavadinimas, statusas (rangovas, subrangovas, statinio statybos techninis prižiūrėtojas, projektuotojas, užsakovas ar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Pr="007B550F">
              <w:rPr>
                <w:bCs/>
                <w:sz w:val="20"/>
                <w:szCs w:val="20"/>
                <w:lang w:val="lt-LT" w:bidi="ta-IN"/>
              </w:rPr>
              <w:t>pan.), atėjimo, išėjimo laikai, praleistas laikas statybvietėje.</w:t>
            </w:r>
          </w:p>
          <w:p w14:paraId="71D9B167" w14:textId="2AE8C7C3" w:rsidR="007B550F" w:rsidRPr="00B55ACE" w:rsidRDefault="007B550F" w:rsidP="007B550F"/>
        </w:tc>
      </w:tr>
    </w:tbl>
    <w:p w14:paraId="572A1325" w14:textId="3D6CCBA9" w:rsidR="0078020C" w:rsidRPr="00A862E3" w:rsidRDefault="0078020C" w:rsidP="00967741">
      <w:pPr>
        <w:pStyle w:val="Body2"/>
        <w:rPr>
          <w:color w:val="auto"/>
          <w:lang w:val="lt-LT" w:bidi="ta-IN"/>
        </w:rPr>
      </w:pPr>
    </w:p>
    <w:p w14:paraId="3884A079" w14:textId="1B3AA3D4" w:rsidR="0078020C" w:rsidRPr="00A862E3" w:rsidRDefault="0078020C" w:rsidP="0078020C">
      <w:pPr>
        <w:pStyle w:val="Heading"/>
        <w:rPr>
          <w:color w:val="auto"/>
          <w:lang w:val="lt-LT"/>
        </w:rPr>
      </w:pPr>
      <w:r w:rsidRPr="00A862E3">
        <w:rPr>
          <w:color w:val="auto"/>
          <w:lang w:val="lt-LT"/>
        </w:rPr>
        <w:tab/>
      </w:r>
      <w:r w:rsidR="006844A0" w:rsidRPr="00A862E3">
        <w:rPr>
          <w:color w:val="auto"/>
          <w:lang w:val="lt-LT"/>
        </w:rPr>
        <w:t>3</w:t>
      </w:r>
      <w:r w:rsidRPr="00A862E3">
        <w:rPr>
          <w:color w:val="auto"/>
          <w:lang w:val="lt-LT"/>
        </w:rPr>
        <w:t xml:space="preserve">. Informavimas APIE VERTINIMO REZULTATUS </w:t>
      </w:r>
    </w:p>
    <w:p w14:paraId="530D21B7" w14:textId="77777777" w:rsidR="0078020C" w:rsidRPr="00A862E3" w:rsidRDefault="0078020C" w:rsidP="0078020C">
      <w:pPr>
        <w:pStyle w:val="Heading"/>
        <w:rPr>
          <w:color w:val="auto"/>
          <w:lang w:val="lt-LT"/>
        </w:rPr>
      </w:pPr>
    </w:p>
    <w:p w14:paraId="2201F140" w14:textId="57AEB2C4" w:rsidR="00967741" w:rsidRPr="007717FB" w:rsidRDefault="0078020C" w:rsidP="00967741">
      <w:pPr>
        <w:pStyle w:val="Body2"/>
        <w:rPr>
          <w:color w:val="auto"/>
          <w:lang w:val="lt-LT"/>
        </w:rPr>
      </w:pPr>
      <w:r w:rsidRPr="007717FB">
        <w:rPr>
          <w:color w:val="auto"/>
          <w:lang w:val="lt-LT"/>
        </w:rPr>
        <w:tab/>
      </w:r>
      <w:r w:rsidR="006844A0" w:rsidRPr="007717FB">
        <w:rPr>
          <w:color w:val="auto"/>
          <w:lang w:val="lt-LT"/>
        </w:rPr>
        <w:t>3</w:t>
      </w:r>
      <w:r w:rsidRPr="007717FB">
        <w:rPr>
          <w:color w:val="auto"/>
          <w:lang w:val="lt-LT"/>
        </w:rPr>
        <w:t xml:space="preserve">.1. Perkančioji organizacija pranešime apie sudarytą pasiūlymų eilę ir laimėjusį pasiūlymą nurodo kiekvieno ekonominio naudingumo būdu vertinto pasiūlymo </w:t>
      </w:r>
      <w:r w:rsidR="005908DF" w:rsidRPr="007717FB">
        <w:rPr>
          <w:color w:val="auto"/>
          <w:lang w:val="lt-LT"/>
        </w:rPr>
        <w:t>palyginam</w:t>
      </w:r>
      <w:r w:rsidR="00AA5951" w:rsidRPr="007717FB">
        <w:rPr>
          <w:color w:val="auto"/>
          <w:lang w:val="lt-LT"/>
        </w:rPr>
        <w:t>ąj</w:t>
      </w:r>
      <w:r w:rsidR="00A2398E">
        <w:rPr>
          <w:color w:val="auto"/>
          <w:lang w:val="lt-LT"/>
        </w:rPr>
        <w:t>ą kainą</w:t>
      </w:r>
      <w:r w:rsidR="00B43DDA" w:rsidRPr="007717FB">
        <w:rPr>
          <w:color w:val="auto"/>
          <w:lang w:val="lt-LT"/>
        </w:rPr>
        <w:t>.</w:t>
      </w:r>
    </w:p>
    <w:sectPr w:rsidR="00967741" w:rsidRPr="007717FB">
      <w:footerReference w:type="default" r:id="rId6"/>
      <w:pgSz w:w="16840" w:h="11900" w:orient="landscape"/>
      <w:pgMar w:top="878" w:right="878" w:bottom="878" w:left="87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CF49" w14:textId="77777777" w:rsidR="0059694C" w:rsidRDefault="0059694C">
      <w:r>
        <w:separator/>
      </w:r>
    </w:p>
  </w:endnote>
  <w:endnote w:type="continuationSeparator" w:id="0">
    <w:p w14:paraId="58B3E394" w14:textId="77777777" w:rsidR="0059694C" w:rsidRDefault="0059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73A3" w14:textId="62EE9EBC" w:rsidR="00F6305E" w:rsidRPr="00F025B1" w:rsidRDefault="00F6305E" w:rsidP="00F025B1">
    <w:pPr>
      <w:ind w:right="360"/>
      <w:jc w:val="right"/>
      <w:rPr>
        <w:lang w:val="lt-LT"/>
      </w:rPr>
    </w:pPr>
    <w:r w:rsidRPr="0081566F">
      <w:rPr>
        <w:sz w:val="18"/>
        <w:szCs w:val="18"/>
        <w:lang w:val="lt-LT"/>
      </w:rPr>
      <w:t xml:space="preserve">Puslapis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PAGE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1</w:t>
    </w:r>
    <w:r w:rsidRPr="0081566F">
      <w:rPr>
        <w:rFonts w:eastAsia="Times New Roman"/>
        <w:sz w:val="18"/>
        <w:szCs w:val="18"/>
        <w:lang w:val="lt-LT"/>
      </w:rPr>
      <w:fldChar w:fldCharType="end"/>
    </w:r>
    <w:r w:rsidRPr="0081566F">
      <w:rPr>
        <w:sz w:val="18"/>
        <w:szCs w:val="18"/>
        <w:lang w:val="lt-LT"/>
      </w:rPr>
      <w:t xml:space="preserve"> iš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NUMPAGES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2</w:t>
    </w:r>
    <w:r w:rsidRPr="0081566F">
      <w:rPr>
        <w:rFonts w:eastAsia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C4F7" w14:textId="77777777" w:rsidR="0059694C" w:rsidRDefault="0059694C">
      <w:r>
        <w:separator/>
      </w:r>
    </w:p>
  </w:footnote>
  <w:footnote w:type="continuationSeparator" w:id="0">
    <w:p w14:paraId="75059835" w14:textId="77777777" w:rsidR="0059694C" w:rsidRDefault="0059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CB"/>
    <w:rsid w:val="00021B2A"/>
    <w:rsid w:val="000261D0"/>
    <w:rsid w:val="00070ED4"/>
    <w:rsid w:val="000730DF"/>
    <w:rsid w:val="00104AC3"/>
    <w:rsid w:val="00121006"/>
    <w:rsid w:val="001235FD"/>
    <w:rsid w:val="001353FA"/>
    <w:rsid w:val="00144D9C"/>
    <w:rsid w:val="0018312F"/>
    <w:rsid w:val="001F5067"/>
    <w:rsid w:val="00263F7C"/>
    <w:rsid w:val="00286BC6"/>
    <w:rsid w:val="002A7813"/>
    <w:rsid w:val="002E1ABE"/>
    <w:rsid w:val="00307EF0"/>
    <w:rsid w:val="00320CAD"/>
    <w:rsid w:val="00324866"/>
    <w:rsid w:val="00331FB6"/>
    <w:rsid w:val="003329F0"/>
    <w:rsid w:val="00354F0D"/>
    <w:rsid w:val="003D1302"/>
    <w:rsid w:val="003F4EB4"/>
    <w:rsid w:val="004A02AA"/>
    <w:rsid w:val="004A739C"/>
    <w:rsid w:val="004C5523"/>
    <w:rsid w:val="004D6226"/>
    <w:rsid w:val="00571E85"/>
    <w:rsid w:val="00577B86"/>
    <w:rsid w:val="005904A9"/>
    <w:rsid w:val="005908DF"/>
    <w:rsid w:val="0059694C"/>
    <w:rsid w:val="005B7FAE"/>
    <w:rsid w:val="005F6AEB"/>
    <w:rsid w:val="00605C9C"/>
    <w:rsid w:val="006168DF"/>
    <w:rsid w:val="006844A0"/>
    <w:rsid w:val="006E4410"/>
    <w:rsid w:val="007059FB"/>
    <w:rsid w:val="00745A7D"/>
    <w:rsid w:val="007717FB"/>
    <w:rsid w:val="0078020C"/>
    <w:rsid w:val="007A35FC"/>
    <w:rsid w:val="007B550F"/>
    <w:rsid w:val="007C5112"/>
    <w:rsid w:val="00815608"/>
    <w:rsid w:val="008222C5"/>
    <w:rsid w:val="00854E98"/>
    <w:rsid w:val="008565FD"/>
    <w:rsid w:val="00885DB0"/>
    <w:rsid w:val="008E486B"/>
    <w:rsid w:val="008F2F0B"/>
    <w:rsid w:val="0091150E"/>
    <w:rsid w:val="009146C2"/>
    <w:rsid w:val="009357F4"/>
    <w:rsid w:val="00967741"/>
    <w:rsid w:val="009B23D7"/>
    <w:rsid w:val="00A2398E"/>
    <w:rsid w:val="00A71F67"/>
    <w:rsid w:val="00A862E3"/>
    <w:rsid w:val="00AA5951"/>
    <w:rsid w:val="00AB66C4"/>
    <w:rsid w:val="00AC131B"/>
    <w:rsid w:val="00AE43BE"/>
    <w:rsid w:val="00B31AC5"/>
    <w:rsid w:val="00B43DDA"/>
    <w:rsid w:val="00B55ACE"/>
    <w:rsid w:val="00BA39F2"/>
    <w:rsid w:val="00BB1064"/>
    <w:rsid w:val="00BE2724"/>
    <w:rsid w:val="00BE6FBC"/>
    <w:rsid w:val="00C06529"/>
    <w:rsid w:val="00C33ABD"/>
    <w:rsid w:val="00C44CC0"/>
    <w:rsid w:val="00C877D0"/>
    <w:rsid w:val="00CA3F20"/>
    <w:rsid w:val="00CC381F"/>
    <w:rsid w:val="00CC5E90"/>
    <w:rsid w:val="00CD3B0F"/>
    <w:rsid w:val="00CD6894"/>
    <w:rsid w:val="00D32621"/>
    <w:rsid w:val="00D4365A"/>
    <w:rsid w:val="00D440D1"/>
    <w:rsid w:val="00D93573"/>
    <w:rsid w:val="00D95C30"/>
    <w:rsid w:val="00DB4DCB"/>
    <w:rsid w:val="00E00D7C"/>
    <w:rsid w:val="00E20A3F"/>
    <w:rsid w:val="00E41366"/>
    <w:rsid w:val="00E71D68"/>
    <w:rsid w:val="00E73295"/>
    <w:rsid w:val="00E8674C"/>
    <w:rsid w:val="00EF7F44"/>
    <w:rsid w:val="00F025B1"/>
    <w:rsid w:val="00F134AA"/>
    <w:rsid w:val="00F17960"/>
    <w:rsid w:val="00F32C3F"/>
    <w:rsid w:val="00F51CFA"/>
    <w:rsid w:val="00F57095"/>
    <w:rsid w:val="00F6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3A0807"/>
  <w15:docId w15:val="{37E547BC-3137-9740-B3E0-CBB5E34F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967741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 w:eastAsia="en-US"/>
    </w:rPr>
  </w:style>
  <w:style w:type="paragraph" w:customStyle="1" w:styleId="Body2">
    <w:name w:val="Body 2"/>
    <w:rsid w:val="00967741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96774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7095"/>
  </w:style>
  <w:style w:type="paragraph" w:styleId="Header">
    <w:name w:val="header"/>
    <w:basedOn w:val="Normal"/>
    <w:link w:val="HeaderChar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0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05E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1F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7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7D0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B5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Navickė</dc:creator>
  <cp:lastModifiedBy>Žilvaras Gelumbauskas</cp:lastModifiedBy>
  <cp:revision>8</cp:revision>
  <cp:lastPrinted>2020-09-23T09:21:00Z</cp:lastPrinted>
  <dcterms:created xsi:type="dcterms:W3CDTF">2022-02-28T14:09:00Z</dcterms:created>
  <dcterms:modified xsi:type="dcterms:W3CDTF">2023-03-12T13:58:00Z</dcterms:modified>
</cp:coreProperties>
</file>