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bookmarkEnd w:id="0"/>
    <w:p w14:paraId="5FF4DF17" w14:textId="77777777" w:rsidR="00DD582E" w:rsidRPr="00C23C81" w:rsidRDefault="00DD582E" w:rsidP="00DD582E">
      <w:pPr>
        <w:pStyle w:val="Pagrindinistekstas"/>
        <w:spacing w:after="60"/>
        <w:ind w:right="284"/>
        <w:jc w:val="center"/>
        <w:rPr>
          <w:rFonts w:asciiTheme="minorHAnsi" w:hAnsiTheme="minorHAnsi" w:cstheme="minorHAnsi"/>
          <w:b/>
          <w:bCs/>
          <w:i/>
          <w:szCs w:val="24"/>
        </w:rPr>
      </w:pPr>
      <w:r w:rsidRPr="00C23C81">
        <w:rPr>
          <w:rFonts w:asciiTheme="minorHAnsi" w:eastAsia="Lucida Sans Unicode" w:hAnsiTheme="minorHAnsi" w:cstheme="minorHAnsi"/>
          <w:b/>
          <w:iCs/>
          <w:szCs w:val="24"/>
          <w:lang w:bidi="en-US"/>
        </w:rPr>
        <w:t>LIETUVOS RESPUBLIKOS TEISMŲ NEKILNOJAMOJO TURTO DRAUDIMO</w:t>
      </w:r>
      <w:r w:rsidRPr="00C23C81">
        <w:rPr>
          <w:rFonts w:asciiTheme="minorHAnsi" w:eastAsia="Lucida Sans Unicode" w:hAnsiTheme="minorHAnsi" w:cstheme="minorHAnsi"/>
          <w:b/>
          <w:szCs w:val="24"/>
          <w:lang w:bidi="en-US"/>
        </w:rPr>
        <w:t xml:space="preserve"> </w:t>
      </w:r>
      <w:r w:rsidRPr="00C23C81">
        <w:rPr>
          <w:rFonts w:asciiTheme="minorHAnsi" w:hAnsiTheme="minorHAnsi" w:cstheme="minorHAnsi"/>
          <w:b/>
          <w:iCs/>
          <w:szCs w:val="24"/>
        </w:rPr>
        <w:t xml:space="preserve">PASLAUGŲ </w:t>
      </w:r>
      <w:r w:rsidRPr="00C23C81">
        <w:rPr>
          <w:rFonts w:asciiTheme="minorHAnsi" w:hAnsiTheme="minorHAnsi" w:cstheme="minorHAnsi"/>
          <w:b/>
          <w:szCs w:val="24"/>
          <w:lang w:eastAsia="lt-LT"/>
        </w:rPr>
        <w:t>PIRKIMAS</w:t>
      </w:r>
      <w:r w:rsidRPr="00C23C81">
        <w:rPr>
          <w:rFonts w:asciiTheme="minorHAnsi" w:hAnsiTheme="minorHAnsi" w:cstheme="minorHAnsi"/>
          <w:b/>
          <w:bCs/>
          <w:szCs w:val="24"/>
        </w:rPr>
        <w:t xml:space="preserve"> </w:t>
      </w:r>
    </w:p>
    <w:p w14:paraId="1EA223D7" w14:textId="77777777" w:rsidR="005664F2" w:rsidRPr="00FA30EA" w:rsidRDefault="005664F2" w:rsidP="0003011F">
      <w:pPr>
        <w:jc w:val="center"/>
        <w:rPr>
          <w:rFonts w:asciiTheme="minorHAnsi" w:hAnsiTheme="minorHAnsi" w:cstheme="minorHAnsi"/>
          <w:b/>
          <w:w w:val="102"/>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1D2667D3" w14:textId="154BFD69" w:rsidR="00A27DB1" w:rsidRPr="00FA30EA" w:rsidRDefault="004C1F4F"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1. Techninė specifikacija</w:t>
      </w:r>
      <w:r w:rsidR="00DD582E">
        <w:rPr>
          <w:rFonts w:asciiTheme="minorHAnsi" w:hAnsiTheme="minorHAnsi" w:cstheme="minorHAnsi"/>
          <w:szCs w:val="24"/>
        </w:rPr>
        <w:t xml:space="preserve"> su priedu</w:t>
      </w:r>
      <w:r w:rsidRPr="00FA30EA">
        <w:rPr>
          <w:rFonts w:asciiTheme="minorHAnsi" w:hAnsiTheme="minorHAnsi" w:cstheme="minorHAnsi"/>
          <w:szCs w:val="24"/>
        </w:rPr>
        <w:t>.</w:t>
      </w:r>
    </w:p>
    <w:p w14:paraId="6569D4CE" w14:textId="1ED5FF3A"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2</w:t>
      </w:r>
      <w:r w:rsidR="00F970BC" w:rsidRPr="00FA30EA">
        <w:rPr>
          <w:rFonts w:asciiTheme="minorHAnsi" w:hAnsiTheme="minorHAnsi" w:cstheme="minorHAnsi"/>
          <w:szCs w:val="24"/>
        </w:rPr>
        <w:t xml:space="preserve">. </w:t>
      </w:r>
      <w:r w:rsidR="004C1F4F" w:rsidRPr="00FA30EA">
        <w:rPr>
          <w:rFonts w:asciiTheme="minorHAnsi" w:hAnsiTheme="minorHAnsi" w:cstheme="minorHAnsi"/>
          <w:szCs w:val="24"/>
        </w:rPr>
        <w:t>Pasiūlymo forma</w:t>
      </w:r>
      <w:r w:rsidR="00A86D40" w:rsidRPr="00FA30EA">
        <w:rPr>
          <w:rFonts w:asciiTheme="minorHAnsi" w:hAnsiTheme="minorHAnsi" w:cstheme="minorHAnsi"/>
          <w:szCs w:val="24"/>
        </w:rPr>
        <w:t>.</w:t>
      </w:r>
    </w:p>
    <w:p w14:paraId="2815C3CC" w14:textId="25EFA4A9" w:rsidR="00A27DB1"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3</w:t>
      </w:r>
      <w:r w:rsidR="004C1F4F" w:rsidRPr="00FA30EA">
        <w:rPr>
          <w:rFonts w:asciiTheme="minorHAnsi" w:hAnsiTheme="minorHAnsi" w:cstheme="minorHAnsi"/>
          <w:szCs w:val="24"/>
        </w:rPr>
        <w:t xml:space="preserve">. </w:t>
      </w:r>
      <w:r w:rsidR="004C1F4F" w:rsidRPr="00ED694D">
        <w:rPr>
          <w:rFonts w:asciiTheme="minorHAnsi" w:hAnsiTheme="minorHAnsi" w:cstheme="minorHAnsi"/>
          <w:szCs w:val="24"/>
        </w:rPr>
        <w:t>Sutarties projekta</w:t>
      </w:r>
      <w:r w:rsidR="00A914A5" w:rsidRPr="00ED694D">
        <w:rPr>
          <w:rFonts w:asciiTheme="minorHAnsi" w:hAnsiTheme="minorHAnsi" w:cstheme="minorHAnsi"/>
          <w:szCs w:val="24"/>
        </w:rPr>
        <w:t>s</w:t>
      </w:r>
      <w:r w:rsidR="00065A80" w:rsidRPr="00ED694D">
        <w:rPr>
          <w:rFonts w:asciiTheme="minorHAnsi" w:hAnsiTheme="minorHAnsi" w:cstheme="minorHAnsi"/>
          <w:szCs w:val="24"/>
        </w:rPr>
        <w:t>.</w:t>
      </w: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lastRenderedPageBreak/>
        <w:t>1. BENDROSIOS NUOSTATOS</w:t>
      </w:r>
    </w:p>
    <w:p w14:paraId="30D5F089" w14:textId="3D21335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w:t>
      </w:r>
      <w:r w:rsidR="00A86D40" w:rsidRPr="0053596A">
        <w:rPr>
          <w:rFonts w:asciiTheme="minorHAnsi" w:hAnsiTheme="minorHAnsi" w:cstheme="minorHAnsi"/>
          <w:b/>
          <w:bCs/>
          <w:szCs w:val="24"/>
        </w:rPr>
        <w:t xml:space="preserve">apklausoje </w:t>
      </w:r>
      <w:r w:rsidR="0053596A" w:rsidRPr="0053596A">
        <w:rPr>
          <w:rFonts w:asciiTheme="minorHAnsi" w:hAnsiTheme="minorHAnsi" w:cstheme="minorHAnsi"/>
          <w:b/>
          <w:bCs/>
        </w:rPr>
        <w:t>Lietuvos Respublikos teismų nekilnojamo turto,</w:t>
      </w:r>
      <w:r w:rsidR="0053596A" w:rsidRPr="0053596A">
        <w:rPr>
          <w:rFonts w:asciiTheme="minorHAnsi" w:hAnsiTheme="minorHAnsi" w:cstheme="minorHAnsi"/>
          <w:b/>
          <w:bCs/>
          <w:spacing w:val="-2"/>
        </w:rPr>
        <w:t xml:space="preserve"> </w:t>
      </w:r>
      <w:r w:rsidR="0053596A" w:rsidRPr="0053596A">
        <w:rPr>
          <w:rFonts w:asciiTheme="minorHAnsi" w:hAnsiTheme="minorHAnsi" w:cstheme="minorHAnsi"/>
          <w:b/>
          <w:bCs/>
        </w:rPr>
        <w:t xml:space="preserve">nurodyto Techninės specifikacijos 1 priede, draudimo paslaugoms </w:t>
      </w:r>
      <w:r w:rsidR="0053596A" w:rsidRPr="0053596A">
        <w:rPr>
          <w:rFonts w:asciiTheme="minorHAnsi" w:hAnsiTheme="minorHAnsi" w:cstheme="minorHAnsi"/>
          <w:b/>
          <w:bCs/>
          <w:color w:val="000000"/>
        </w:rPr>
        <w:t>pirkti</w:t>
      </w:r>
      <w:r w:rsidR="00E56E6C" w:rsidRPr="00FA30EA">
        <w:rPr>
          <w:rFonts w:asciiTheme="minorHAnsi" w:hAnsiTheme="minorHAnsi" w:cstheme="minorHAnsi"/>
          <w:b/>
          <w:szCs w:val="24"/>
        </w:rPr>
        <w:t xml:space="preserve"> </w:t>
      </w:r>
      <w:r w:rsidR="00F92F8A" w:rsidRPr="00FA30EA">
        <w:rPr>
          <w:rFonts w:asciiTheme="minorHAnsi" w:hAnsiTheme="minorHAnsi" w:cstheme="minorHAnsi"/>
          <w:b/>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7C1DD3EB" w14:textId="4B580952" w:rsidR="00E41BB6" w:rsidRPr="006F37B0" w:rsidRDefault="00E41BB6" w:rsidP="00E41BB6">
      <w:pPr>
        <w:numPr>
          <w:ilvl w:val="0"/>
          <w:numId w:val="16"/>
        </w:numPr>
        <w:tabs>
          <w:tab w:val="left" w:pos="1134"/>
          <w:tab w:val="left" w:pos="1276"/>
        </w:tabs>
        <w:ind w:left="0" w:firstLine="709"/>
        <w:jc w:val="both"/>
        <w:rPr>
          <w:rFonts w:asciiTheme="minorHAnsi" w:hAnsiTheme="minorHAnsi" w:cstheme="minorHAnsi"/>
          <w:szCs w:val="24"/>
        </w:rPr>
      </w:pPr>
      <w:r w:rsidRPr="006F37B0">
        <w:rPr>
          <w:rFonts w:asciiTheme="minorHAnsi" w:hAnsiTheme="minorHAnsi" w:cstheme="minorHAnsi"/>
        </w:rPr>
        <w:t xml:space="preserve">Perkančiosios organizacijos sprendimo neatlikti pirkimo naudojantis centrinės perkančiosios organizacijos paslaugomis argumentai, kaip numatyta Viešųjų pirkimų įstatymo 82 straipsnio 2 dalies 1 punkte: </w:t>
      </w:r>
      <w:r w:rsidRPr="006F37B0">
        <w:rPr>
          <w:rFonts w:asciiTheme="minorHAnsi" w:hAnsiTheme="minorHAnsi" w:cstheme="minorHAnsi"/>
          <w:szCs w:val="24"/>
        </w:rPr>
        <w:t xml:space="preserve">CPO sutartyje numatytos apmokėjimo sąlygos neatitinka perkančiosios organizacijos poreikių, nes draudžiant objektus centralizuotai išmokos už draudiminius įvykius turėtų keliauti tiesiogiai naudos gavėjams, </w:t>
      </w:r>
      <w:proofErr w:type="spellStart"/>
      <w:r w:rsidRPr="006F37B0">
        <w:rPr>
          <w:rFonts w:asciiTheme="minorHAnsi" w:hAnsiTheme="minorHAnsi" w:cstheme="minorHAnsi"/>
          <w:szCs w:val="24"/>
        </w:rPr>
        <w:t>t.y</w:t>
      </w:r>
      <w:proofErr w:type="spellEnd"/>
      <w:r w:rsidRPr="006F37B0">
        <w:rPr>
          <w:rFonts w:asciiTheme="minorHAnsi" w:hAnsiTheme="minorHAnsi" w:cstheme="minorHAnsi"/>
          <w:szCs w:val="24"/>
        </w:rPr>
        <w:t>. teismams kuriuose nutiko žala arba jų samdytiems rangovams; taip pat nėra galimybės drausti su nuline išskaita; taip pat nėra galimybės rinktis papildomų specifinių draudiminių įvykių apsaugos. Dėl to CPO siūlomos paslaugos neatitinka perkančiosios organizacijos poreikių ir ji gali paslaugas, įsigyti efektyvesniu būdu racionaliai naudodama tam skirtas lėšas.</w:t>
      </w:r>
    </w:p>
    <w:p w14:paraId="0011BD1B" w14:textId="29E045C3"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4.</w:t>
      </w:r>
      <w:r w:rsidR="00610F2F">
        <w:rPr>
          <w:rFonts w:asciiTheme="minorHAnsi" w:hAnsiTheme="minorHAnsi" w:cstheme="minorHAnsi"/>
          <w:szCs w:val="24"/>
        </w:rPr>
        <w:t>4.</w:t>
      </w:r>
      <w:r w:rsidRPr="00FA30EA">
        <w:rPr>
          <w:rFonts w:asciiTheme="minorHAnsi" w:hAnsiTheme="minorHAnsi" w:cstheme="minorHAnsi"/>
          <w:szCs w:val="24"/>
          <w:lang w:val="en-US"/>
        </w:rPr>
        <w:t>3</w:t>
      </w:r>
      <w:r w:rsidRPr="00FA30EA">
        <w:rPr>
          <w:rFonts w:asciiTheme="minorHAnsi" w:hAnsiTheme="minorHAnsi" w:cstheme="minorHAnsi"/>
          <w:szCs w:val="24"/>
        </w:rPr>
        <w:t xml:space="preserve"> punkt</w:t>
      </w:r>
      <w:r w:rsidR="002245DD" w:rsidRPr="00FA30EA">
        <w:rPr>
          <w:rFonts w:asciiTheme="minorHAnsi" w:hAnsiTheme="minorHAnsi" w:cstheme="minorHAnsi"/>
          <w:szCs w:val="24"/>
        </w:rPr>
        <w:t>ą</w:t>
      </w:r>
      <w:r w:rsidRPr="00FA30EA">
        <w:rPr>
          <w:rFonts w:asciiTheme="minorHAnsi" w:hAnsiTheme="minorHAnsi" w:cstheme="minorHAnsi"/>
          <w:szCs w:val="24"/>
        </w:rPr>
        <w:t xml:space="preserve">.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lastRenderedPageBreak/>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1"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1"/>
    <w:p w14:paraId="046C66EF" w14:textId="278246FE"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w:t>
      </w:r>
      <w:r w:rsidR="00610F2F">
        <w:rPr>
          <w:rFonts w:asciiTheme="minorHAnsi" w:hAnsiTheme="minorHAnsi" w:cstheme="minorHAnsi"/>
          <w:szCs w:val="24"/>
        </w:rPr>
        <w:t>os paslaugos</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53596A" w:rsidRPr="0053596A">
        <w:rPr>
          <w:rFonts w:asciiTheme="minorHAnsi" w:hAnsiTheme="minorHAnsi" w:cstheme="minorHAnsi"/>
          <w:b/>
          <w:bCs/>
        </w:rPr>
        <w:t>Lietuvos Respublikos teismų nekilnojamo turto,</w:t>
      </w:r>
      <w:r w:rsidR="0053596A" w:rsidRPr="0053596A">
        <w:rPr>
          <w:rFonts w:asciiTheme="minorHAnsi" w:hAnsiTheme="minorHAnsi" w:cstheme="minorHAnsi"/>
          <w:b/>
          <w:bCs/>
          <w:spacing w:val="-2"/>
        </w:rPr>
        <w:t xml:space="preserve"> </w:t>
      </w:r>
      <w:r w:rsidR="0053596A" w:rsidRPr="0053596A">
        <w:rPr>
          <w:rFonts w:asciiTheme="minorHAnsi" w:hAnsiTheme="minorHAnsi" w:cstheme="minorHAnsi"/>
          <w:b/>
          <w:bCs/>
        </w:rPr>
        <w:t xml:space="preserve">nurodyto Techninės specifikacijos 1 priede, draudimo paslaugos </w:t>
      </w:r>
      <w:r w:rsidRPr="00FA30EA">
        <w:rPr>
          <w:rFonts w:asciiTheme="minorHAnsi" w:hAnsiTheme="minorHAnsi" w:cstheme="minorHAnsi"/>
          <w:b/>
          <w:bCs/>
          <w:w w:val="102"/>
          <w:szCs w:val="24"/>
        </w:rPr>
        <w:t xml:space="preserve">(toliau – </w:t>
      </w:r>
      <w:r w:rsidR="00610F2F" w:rsidRPr="00610F2F">
        <w:rPr>
          <w:rFonts w:asciiTheme="minorHAnsi" w:hAnsiTheme="minorHAnsi" w:cstheme="minorHAnsi"/>
          <w:b/>
          <w:bCs/>
          <w:kern w:val="2"/>
          <w:szCs w:val="24"/>
        </w:rPr>
        <w:t>paslaugos</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58B4AC04"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610F2F">
        <w:rPr>
          <w:rFonts w:asciiTheme="minorHAnsi" w:hAnsiTheme="minorHAnsi" w:cstheme="minorHAnsi"/>
          <w:szCs w:val="24"/>
        </w:rPr>
        <w:t>paslaugų</w:t>
      </w:r>
      <w:r w:rsidRPr="00FA30EA">
        <w:rPr>
          <w:rFonts w:asciiTheme="minorHAnsi" w:hAnsiTheme="minorHAnsi" w:cstheme="minorHAnsi"/>
          <w:szCs w:val="24"/>
        </w:rPr>
        <w:t xml:space="preserve"> savybės nustatytos pateiktoje techninėje specifikacijoje (Pirkimo sąlygų 1 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2" w:name="_Toc47844930"/>
      <w:bookmarkStart w:id="3"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2"/>
      <w:bookmarkEnd w:id="3"/>
    </w:p>
    <w:p w14:paraId="1C75A152" w14:textId="77777777" w:rsidR="00F113AA" w:rsidRPr="00FA30EA" w:rsidRDefault="00F113AA" w:rsidP="00F113AA">
      <w:pPr>
        <w:pStyle w:val="Sraopastraipa"/>
        <w:numPr>
          <w:ilvl w:val="1"/>
          <w:numId w:val="19"/>
        </w:numPr>
        <w:tabs>
          <w:tab w:val="left" w:pos="1276"/>
        </w:tabs>
        <w:ind w:left="0" w:firstLine="851"/>
        <w:jc w:val="both"/>
        <w:rPr>
          <w:rFonts w:asciiTheme="minorHAnsi" w:hAnsiTheme="minorHAnsi" w:cstheme="minorHAnsi"/>
          <w:szCs w:val="24"/>
        </w:rPr>
      </w:pPr>
      <w:bookmarkStart w:id="4" w:name="_Toc60525483"/>
      <w:bookmarkStart w:id="5" w:name="_Toc47844929"/>
      <w:r w:rsidRPr="00FA30EA">
        <w:rPr>
          <w:rFonts w:asciiTheme="minorHAnsi" w:hAnsiTheme="minorHAnsi" w:cstheme="minorHAnsi"/>
          <w:szCs w:val="24"/>
        </w:rPr>
        <w:tab/>
        <w:t>Perkančioji organizacija neprašo pateikti Europos bendrojo viešųjų pirkimų dokumento.</w:t>
      </w:r>
    </w:p>
    <w:p w14:paraId="105D48DA" w14:textId="5B344645" w:rsidR="0030474F" w:rsidRDefault="00F113AA" w:rsidP="00F113AA">
      <w:pPr>
        <w:tabs>
          <w:tab w:val="left" w:pos="851"/>
        </w:tabs>
        <w:ind w:firstLine="567"/>
        <w:jc w:val="both"/>
        <w:rPr>
          <w:rFonts w:asciiTheme="minorHAnsi" w:hAnsiTheme="minorHAnsi" w:cstheme="minorHAnsi"/>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xml:space="preserve"> d.), užpildydami pasiūlymo formos </w:t>
      </w:r>
      <w:r w:rsidR="00265080">
        <w:rPr>
          <w:rFonts w:asciiTheme="minorHAnsi" w:hAnsiTheme="minorHAnsi" w:cstheme="minorHAnsi"/>
        </w:rPr>
        <w:t>5</w:t>
      </w:r>
      <w:r w:rsidRPr="00FA30EA">
        <w:rPr>
          <w:rFonts w:asciiTheme="minorHAnsi" w:hAnsiTheme="minorHAnsi" w:cstheme="minorHAnsi"/>
        </w:rPr>
        <w:t xml:space="preserve"> punkte esančią lentelę.</w:t>
      </w:r>
      <w:r w:rsidR="00797CA1" w:rsidRPr="00FA30EA">
        <w:rPr>
          <w:rFonts w:asciiTheme="minorHAnsi" w:hAnsiTheme="minorHAnsi" w:cstheme="minorHAnsi"/>
          <w:szCs w:val="24"/>
        </w:rPr>
        <w:tab/>
      </w:r>
    </w:p>
    <w:p w14:paraId="70BE38B2" w14:textId="2EEAD52E" w:rsidR="0053596A" w:rsidRPr="008C2FBE" w:rsidRDefault="0053596A" w:rsidP="0053596A">
      <w:pPr>
        <w:tabs>
          <w:tab w:val="left" w:pos="709"/>
          <w:tab w:val="left" w:pos="1134"/>
        </w:tabs>
        <w:ind w:firstLine="709"/>
        <w:jc w:val="both"/>
        <w:rPr>
          <w:rFonts w:asciiTheme="minorHAnsi" w:hAnsiTheme="minorHAnsi" w:cstheme="minorHAnsi"/>
        </w:rPr>
      </w:pPr>
      <w:r>
        <w:rPr>
          <w:rFonts w:asciiTheme="minorHAnsi" w:hAnsiTheme="minorHAnsi" w:cstheme="minorHAnsi"/>
        </w:rPr>
        <w:t xml:space="preserve">   3.3. </w:t>
      </w:r>
      <w:r w:rsidRPr="008C2FBE">
        <w:rPr>
          <w:rFonts w:asciiTheme="minorHAnsi" w:hAnsiTheme="minorHAnsi" w:cstheme="minorHAnsi"/>
        </w:rPr>
        <w:t xml:space="preserve">Kvalifikacijos reikalavimai nėra keliami. </w:t>
      </w:r>
    </w:p>
    <w:p w14:paraId="7230EFEA" w14:textId="12718E8C" w:rsidR="00610F2F" w:rsidRDefault="0053596A" w:rsidP="00610F2F">
      <w:pPr>
        <w:ind w:firstLine="720"/>
        <w:jc w:val="both"/>
        <w:rPr>
          <w:rFonts w:asciiTheme="minorHAnsi" w:hAnsiTheme="minorHAnsi" w:cstheme="minorHAnsi"/>
        </w:rPr>
      </w:pPr>
      <w:r>
        <w:rPr>
          <w:rFonts w:asciiTheme="minorHAnsi" w:hAnsiTheme="minorHAnsi" w:cstheme="minorHAnsi"/>
        </w:rPr>
        <w:t xml:space="preserve">   </w:t>
      </w:r>
      <w:r w:rsidR="00610F2F" w:rsidRPr="00610F2F">
        <w:rPr>
          <w:rFonts w:asciiTheme="minorHAnsi" w:hAnsiTheme="minorHAnsi" w:cstheme="minorHAnsi"/>
        </w:rPr>
        <w:t>3.4. Perkančioji organizacija nereikalaus, kad ūkio subjektų grupės pateiktą pasiūlymą pripažinus geriausiu ir perkančiajai organizacijai pasiūlius sudaryti pirkimo sutartį, ši ūkio subjektų grupė įgautų tam tikrą teisinę formą.</w:t>
      </w:r>
    </w:p>
    <w:p w14:paraId="1D8A1997" w14:textId="77777777" w:rsidR="0053596A" w:rsidRPr="00610F2F" w:rsidRDefault="0053596A" w:rsidP="00610F2F">
      <w:pPr>
        <w:ind w:firstLine="720"/>
        <w:jc w:val="both"/>
        <w:rPr>
          <w:rFonts w:asciiTheme="minorHAnsi" w:hAnsiTheme="minorHAnsi" w:cstheme="minorHAnsi"/>
        </w:rPr>
      </w:pP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6" w:name="_Toc60525485"/>
      <w:bookmarkStart w:id="7"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lastRenderedPageBreak/>
        <w:t>5. PASIŪLYMŲ RENGIMAS, PATEIKIMAS, KEITIMAS</w:t>
      </w:r>
      <w:bookmarkEnd w:id="6"/>
      <w:bookmarkEnd w:id="7"/>
    </w:p>
    <w:p w14:paraId="7FA3BA37" w14:textId="2E2278C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1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8"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p w14:paraId="361D33AD" w14:textId="0CEBEE0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1</w:t>
      </w:r>
      <w:r w:rsidRPr="00FA30EA">
        <w:rPr>
          <w:rFonts w:asciiTheme="minorHAnsi" w:hAnsiTheme="minorHAnsi" w:cstheme="minorHAnsi"/>
          <w:szCs w:val="24"/>
          <w:u w:val="single"/>
        </w:rPr>
        <w:t>. tiekėjo pasiūlymas, parengtas pagal Pirkimo sąlygų 2 priede pateiktą pasiūlymo formą;</w:t>
      </w:r>
    </w:p>
    <w:p w14:paraId="19543676" w14:textId="49CEA95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2</w:t>
      </w:r>
      <w:r w:rsidRPr="00FA30EA">
        <w:rPr>
          <w:rFonts w:asciiTheme="minorHAnsi" w:hAnsiTheme="minorHAnsi" w:cstheme="minorHAnsi"/>
          <w:szCs w:val="24"/>
          <w:u w:val="single"/>
        </w:rPr>
        <w:t>. jungtinės veiklos sutartis, jei pasiūlymą pateikia ūkio subjektų grupė;</w:t>
      </w:r>
    </w:p>
    <w:p w14:paraId="4EBA12B3" w14:textId="7106E9F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3</w:t>
      </w:r>
      <w:r w:rsidRPr="00FA30EA">
        <w:rPr>
          <w:rFonts w:asciiTheme="minorHAnsi" w:hAnsiTheme="minorHAnsi" w:cstheme="minorHAnsi"/>
          <w:szCs w:val="24"/>
          <w:u w:val="single"/>
        </w:rPr>
        <w:t>. nurodyta, kokius subtiekėjus ketina pasitelkti, jeigu jis, vykdydamas pirkimo sutartį, ketina pasitelkti subtiekėjus ir kokiai pirkimo daliai;</w:t>
      </w:r>
    </w:p>
    <w:p w14:paraId="536C41F4" w14:textId="0129B47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4</w:t>
      </w:r>
      <w:r w:rsidRPr="00FA30EA">
        <w:rPr>
          <w:rFonts w:asciiTheme="minorHAnsi" w:hAnsiTheme="minorHAnsi" w:cstheme="minorHAnsi"/>
          <w:szCs w:val="24"/>
          <w:u w:val="single"/>
        </w:rPr>
        <w:t>. nurodyti ūkio subjektai, kurių pajėgumais remiasi;</w:t>
      </w:r>
      <w:r w:rsidR="00282BE0" w:rsidRPr="00FA30EA">
        <w:rPr>
          <w:rFonts w:asciiTheme="minorHAnsi" w:hAnsiTheme="minorHAnsi" w:cstheme="minorHAnsi"/>
          <w:szCs w:val="24"/>
          <w:u w:val="single"/>
        </w:rPr>
        <w:t xml:space="preserve">  </w:t>
      </w:r>
    </w:p>
    <w:p w14:paraId="572ECC94" w14:textId="3FB3650E" w:rsidR="00282BE0" w:rsidRPr="00FA30EA" w:rsidRDefault="00537EB7" w:rsidP="00282BE0">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5</w:t>
      </w:r>
      <w:r w:rsidRPr="00FA30EA">
        <w:rPr>
          <w:rFonts w:asciiTheme="minorHAnsi" w:hAnsiTheme="minorHAnsi" w:cstheme="minorHAnsi"/>
          <w:szCs w:val="24"/>
          <w:u w:val="single"/>
        </w:rPr>
        <w:t>. dokumentai, įrodantys, kad tiekėjui bus prieinami kitų ūkio subjektų, kurių pajėgumais jis ketina remtis, ištekliai (jeigu tiekėjas ketina remtis kitų ūkio subjektų pajėgumais</w:t>
      </w:r>
      <w:r w:rsidR="001444B4">
        <w:rPr>
          <w:rFonts w:asciiTheme="minorHAnsi" w:hAnsiTheme="minorHAnsi" w:cstheme="minorHAnsi"/>
          <w:szCs w:val="24"/>
          <w:u w:val="single"/>
        </w:rPr>
        <w:t>)</w:t>
      </w:r>
      <w:r w:rsidR="00C7108D" w:rsidRPr="00FA30EA">
        <w:rPr>
          <w:rFonts w:asciiTheme="minorHAnsi" w:hAnsiTheme="minorHAnsi" w:cstheme="minorHAnsi"/>
          <w:szCs w:val="24"/>
          <w:u w:val="single"/>
        </w:rPr>
        <w:t>;</w:t>
      </w:r>
    </w:p>
    <w:p w14:paraId="0B401C06" w14:textId="7F33B2DE"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5028F4">
        <w:rPr>
          <w:rFonts w:asciiTheme="minorHAnsi" w:hAnsiTheme="minorHAnsi" w:cstheme="minorHAnsi"/>
          <w:szCs w:val="24"/>
          <w:u w:val="single"/>
        </w:rPr>
        <w:t>6</w:t>
      </w:r>
      <w:r w:rsidRPr="00FA30EA">
        <w:rPr>
          <w:rFonts w:asciiTheme="minorHAnsi" w:hAnsiTheme="minorHAnsi" w:cstheme="minorHAnsi"/>
          <w:szCs w:val="24"/>
          <w:u w:val="single"/>
        </w:rPr>
        <w:t>. kiti pirkimo dokumentuose nurodyti dokumentai / informacija;</w:t>
      </w:r>
    </w:p>
    <w:p w14:paraId="4682FFDD" w14:textId="2F1549F7" w:rsidR="00A27DB1" w:rsidRPr="00FA30EA" w:rsidRDefault="004C1F4F"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w:t>
      </w:r>
      <w:r w:rsidR="00861728" w:rsidRPr="00FA30EA">
        <w:rPr>
          <w:rFonts w:asciiTheme="minorHAnsi" w:hAnsiTheme="minorHAnsi" w:cstheme="minorHAnsi"/>
          <w:szCs w:val="24"/>
          <w:u w:val="single"/>
        </w:rPr>
        <w:t>6</w:t>
      </w:r>
      <w:r w:rsidRPr="00FA30EA">
        <w:rPr>
          <w:rFonts w:asciiTheme="minorHAnsi" w:hAnsiTheme="minorHAnsi" w:cstheme="minorHAnsi"/>
          <w:bCs/>
          <w:szCs w:val="24"/>
          <w:u w:val="single"/>
        </w:rPr>
        <w:t>.</w:t>
      </w:r>
      <w:r w:rsidR="005028F4">
        <w:rPr>
          <w:rFonts w:asciiTheme="minorHAnsi" w:hAnsiTheme="minorHAnsi" w:cstheme="minorHAnsi"/>
          <w:bCs/>
          <w:szCs w:val="24"/>
          <w:u w:val="single"/>
        </w:rPr>
        <w:t>7</w:t>
      </w:r>
      <w:r w:rsidRPr="00FA30EA">
        <w:rPr>
          <w:rFonts w:asciiTheme="minorHAnsi" w:hAnsiTheme="minorHAnsi" w:cstheme="minorHAnsi"/>
          <w:bCs/>
          <w:szCs w:val="24"/>
          <w:u w:val="single"/>
        </w:rPr>
        <w:t>. pateikiami tik galiojantys dokumentai.</w:t>
      </w:r>
    </w:p>
    <w:bookmarkEnd w:id="8"/>
    <w:p w14:paraId="2A9E9D39" w14:textId="2488D4BE"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1444B4">
        <w:rPr>
          <w:rFonts w:asciiTheme="minorHAnsi" w:hAnsiTheme="minorHAnsi" w:cstheme="minorHAnsi"/>
          <w:szCs w:val="24"/>
        </w:rPr>
        <w:t>Paslaugų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1444B4">
        <w:rPr>
          <w:rFonts w:asciiTheme="minorHAnsi" w:hAnsiTheme="minorHAnsi" w:cstheme="minorHAnsi"/>
          <w:szCs w:val="24"/>
        </w:rPr>
        <w:t>paslaugų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xml:space="preserve">. Tiekėjams nėra leidžiama pateikti alternatyvių pasiūlymų. Tiekėjui pateikus alternatyvų pasiūlymą, jo pasiūlymas ir alternatyvus pasiūlymas (alternatyvūs pasiūlymai) bus atmesti. Tiekėjas </w:t>
      </w:r>
      <w:r w:rsidRPr="00FA30EA">
        <w:rPr>
          <w:rFonts w:asciiTheme="minorHAnsi" w:eastAsia="Times New Roman" w:hAnsiTheme="minorHAnsi" w:cstheme="minorHAnsi"/>
          <w:szCs w:val="24"/>
          <w:lang w:eastAsia="lt-LT"/>
        </w:rPr>
        <w:lastRenderedPageBreak/>
        <w:t>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5F625D44"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0A331B">
        <w:rPr>
          <w:rFonts w:asciiTheme="minorHAnsi" w:eastAsia="Times New Roman" w:hAnsiTheme="minorHAnsi" w:cstheme="minorHAnsi"/>
          <w:szCs w:val="24"/>
          <w:lang w:eastAsia="lt-LT"/>
        </w:rPr>
        <w:t>9</w:t>
      </w:r>
      <w:r w:rsidR="00B533D9" w:rsidRPr="00FA30EA">
        <w:rPr>
          <w:rFonts w:asciiTheme="minorHAnsi" w:eastAsia="Times New Roman" w:hAnsiTheme="minorHAnsi" w:cstheme="minorHAnsi"/>
          <w:szCs w:val="24"/>
          <w:lang w:eastAsia="lt-LT"/>
        </w:rPr>
        <w:t>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9"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lastRenderedPageBreak/>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9"/>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 xml:space="preserve">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FA30EA">
        <w:rPr>
          <w:rFonts w:asciiTheme="minorHAnsi" w:hAnsiTheme="minorHAnsi" w:cstheme="minorHAnsi"/>
          <w:szCs w:val="24"/>
        </w:rPr>
        <w:lastRenderedPageBreak/>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w:t>
      </w:r>
      <w:r w:rsidRPr="00FA30EA">
        <w:rPr>
          <w:rFonts w:asciiTheme="minorHAnsi" w:hAnsiTheme="minorHAnsi" w:cstheme="minorHAnsi"/>
          <w:szCs w:val="24"/>
        </w:rPr>
        <w:lastRenderedPageBreak/>
        <w:t>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10"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10"/>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11"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4"/>
    <w:bookmarkEnd w:id="5"/>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11"/>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lastRenderedPageBreak/>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lastRenderedPageBreak/>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10AA9C5"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w:t>
      </w:r>
      <w:r w:rsidR="00ED694D">
        <w:rPr>
          <w:rFonts w:asciiTheme="minorHAnsi" w:hAnsiTheme="minorHAnsi" w:cstheme="minorHAnsi"/>
          <w:szCs w:val="24"/>
          <w:bdr w:val="none" w:sz="0" w:space="0" w:color="auto" w:frame="1"/>
          <w:shd w:val="clear" w:color="auto" w:fill="FFFFFF"/>
        </w:rPr>
        <w:t>,4</w:t>
      </w:r>
      <w:r w:rsidRPr="00FA30EA">
        <w:rPr>
          <w:rFonts w:asciiTheme="minorHAnsi" w:hAnsiTheme="minorHAnsi" w:cstheme="minorHAnsi"/>
          <w:szCs w:val="24"/>
          <w:bdr w:val="none" w:sz="0" w:space="0" w:color="auto" w:frame="1"/>
          <w:shd w:val="clear" w:color="auto" w:fill="FFFFFF"/>
        </w:rPr>
        <w:t xml:space="preserve"> pried</w:t>
      </w:r>
      <w:r w:rsidR="00ED694D">
        <w:rPr>
          <w:rFonts w:asciiTheme="minorHAnsi" w:hAnsiTheme="minorHAnsi" w:cstheme="minorHAnsi"/>
          <w:szCs w:val="24"/>
          <w:bdr w:val="none" w:sz="0" w:space="0" w:color="auto" w:frame="1"/>
          <w:shd w:val="clear" w:color="auto" w:fill="FFFFFF"/>
        </w:rPr>
        <w:t>uose</w:t>
      </w:r>
      <w:r w:rsidRPr="00FA30EA">
        <w:rPr>
          <w:rFonts w:asciiTheme="minorHAnsi" w:hAnsiTheme="minorHAnsi" w:cstheme="minorHAnsi"/>
          <w:szCs w:val="24"/>
          <w:bdr w:val="none" w:sz="0" w:space="0" w:color="auto" w:frame="1"/>
          <w:shd w:val="clear" w:color="auto" w:fill="FFFFFF"/>
        </w:rPr>
        <w:t>.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173510FC"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27185E" w:rsidRPr="00FA30EA">
        <w:rPr>
          <w:rFonts w:asciiTheme="minorHAnsi" w:hAnsiTheme="minorHAnsi" w:cstheme="minorHAnsi"/>
          <w:b/>
          <w:bCs/>
        </w:rPr>
        <w:t>s kainos</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sectPr w:rsidR="003E66E5" w:rsidRPr="00FA30EA"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FC1" w14:textId="77777777" w:rsidR="000E27D2" w:rsidRDefault="000E27D2">
      <w:r>
        <w:separator/>
      </w:r>
    </w:p>
  </w:endnote>
  <w:endnote w:type="continuationSeparator" w:id="0">
    <w:p w14:paraId="5FBBA812" w14:textId="77777777" w:rsidR="000E27D2" w:rsidRDefault="000E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20C" w14:textId="77777777" w:rsidR="000E27D2" w:rsidRDefault="000E27D2">
      <w:r>
        <w:rPr>
          <w:color w:val="000000"/>
        </w:rPr>
        <w:separator/>
      </w:r>
    </w:p>
  </w:footnote>
  <w:footnote w:type="continuationSeparator" w:id="0">
    <w:p w14:paraId="456B3F16" w14:textId="77777777" w:rsidR="000E27D2" w:rsidRDefault="000E2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786"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304B6"/>
    <w:multiLevelType w:val="hybridMultilevel"/>
    <w:tmpl w:val="C6F63EB4"/>
    <w:lvl w:ilvl="0" w:tplc="9C54B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6"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2"/>
  </w:num>
  <w:num w:numId="6" w16cid:durableId="1643119485">
    <w:abstractNumId w:val="0"/>
  </w:num>
  <w:num w:numId="7" w16cid:durableId="175772572">
    <w:abstractNumId w:val="9"/>
  </w:num>
  <w:num w:numId="8" w16cid:durableId="1216312647">
    <w:abstractNumId w:val="18"/>
  </w:num>
  <w:num w:numId="9" w16cid:durableId="1856335217">
    <w:abstractNumId w:val="35"/>
  </w:num>
  <w:num w:numId="10" w16cid:durableId="217281519">
    <w:abstractNumId w:val="26"/>
  </w:num>
  <w:num w:numId="11" w16cid:durableId="777064467">
    <w:abstractNumId w:val="21"/>
  </w:num>
  <w:num w:numId="12" w16cid:durableId="394932237">
    <w:abstractNumId w:val="27"/>
  </w:num>
  <w:num w:numId="13" w16cid:durableId="1062170969">
    <w:abstractNumId w:val="3"/>
  </w:num>
  <w:num w:numId="14" w16cid:durableId="95946122">
    <w:abstractNumId w:val="7"/>
  </w:num>
  <w:num w:numId="15" w16cid:durableId="506215898">
    <w:abstractNumId w:val="36"/>
  </w:num>
  <w:num w:numId="16" w16cid:durableId="582033934">
    <w:abstractNumId w:val="15"/>
  </w:num>
  <w:num w:numId="17" w16cid:durableId="1778862546">
    <w:abstractNumId w:val="29"/>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5"/>
  </w:num>
  <w:num w:numId="23" w16cid:durableId="708575489">
    <w:abstractNumId w:val="33"/>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8"/>
  </w:num>
  <w:num w:numId="32" w16cid:durableId="1473055655">
    <w:abstractNumId w:val="31"/>
  </w:num>
  <w:num w:numId="33" w16cid:durableId="510532351">
    <w:abstractNumId w:val="1"/>
  </w:num>
  <w:num w:numId="34" w16cid:durableId="1556039936">
    <w:abstractNumId w:val="30"/>
  </w:num>
  <w:num w:numId="35" w16cid:durableId="1789858266">
    <w:abstractNumId w:val="34"/>
  </w:num>
  <w:num w:numId="36" w16cid:durableId="1016229405">
    <w:abstractNumId w:val="4"/>
  </w:num>
  <w:num w:numId="37" w16cid:durableId="1798522052">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331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4B4"/>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080"/>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1EB0"/>
    <w:rsid w:val="004D310C"/>
    <w:rsid w:val="004D40B9"/>
    <w:rsid w:val="004D4A71"/>
    <w:rsid w:val="004D4ACC"/>
    <w:rsid w:val="004D54DD"/>
    <w:rsid w:val="004D581B"/>
    <w:rsid w:val="004D5BF1"/>
    <w:rsid w:val="004D5FC5"/>
    <w:rsid w:val="004D6D9E"/>
    <w:rsid w:val="004D749B"/>
    <w:rsid w:val="004D77C6"/>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28F4"/>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96A"/>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0F2F"/>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37B0"/>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A48"/>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904"/>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ED2"/>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35C"/>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333E"/>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582E"/>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1BB6"/>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94D"/>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4960</Words>
  <Characters>28273</Characters>
  <Application>Microsoft Office Word</Application>
  <DocSecurity>0</DocSecurity>
  <Lines>235</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4</cp:revision>
  <cp:lastPrinted>2024-10-21T12:59:00Z</cp:lastPrinted>
  <dcterms:created xsi:type="dcterms:W3CDTF">2025-08-21T12:32:00Z</dcterms:created>
  <dcterms:modified xsi:type="dcterms:W3CDTF">2025-08-22T06:19:00Z</dcterms:modified>
</cp:coreProperties>
</file>