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2E54B" w14:textId="77777777" w:rsidR="00DA71C0" w:rsidRPr="008778F5" w:rsidRDefault="00DA71C0" w:rsidP="00DA71C0">
      <w:pPr>
        <w:spacing w:after="0" w:line="240" w:lineRule="auto"/>
        <w:jc w:val="center"/>
        <w:rPr>
          <w:rFonts w:ascii="Times New Roman" w:eastAsia="Times New Roman" w:hAnsi="Times New Roman" w:cs="Times New Roman"/>
          <w:b/>
          <w:sz w:val="24"/>
          <w:szCs w:val="20"/>
        </w:rPr>
      </w:pPr>
      <w:r w:rsidRPr="008778F5">
        <w:rPr>
          <w:rFonts w:ascii="Times New Roman" w:eastAsia="Times New Roman" w:hAnsi="Times New Roman" w:cs="Times New Roman"/>
          <w:b/>
          <w:sz w:val="24"/>
          <w:szCs w:val="20"/>
        </w:rPr>
        <w:t>KLAIPĖDOS UNIVERSITETO NEKILNOJAMOJO IR KILNOJAMOJO TURTO DRAUDIMO TECHNINĖ SPECIFIKACIJA</w:t>
      </w:r>
    </w:p>
    <w:p w14:paraId="2DA3629C" w14:textId="77777777" w:rsidR="00DA71C0" w:rsidRPr="008778F5" w:rsidRDefault="00DA71C0" w:rsidP="00DA71C0">
      <w:pPr>
        <w:spacing w:after="0" w:line="240" w:lineRule="auto"/>
        <w:jc w:val="both"/>
        <w:rPr>
          <w:rFonts w:ascii="Times New Roman" w:eastAsia="Times New Roman" w:hAnsi="Times New Roman" w:cs="Times New Roman"/>
          <w:b/>
          <w:sz w:val="24"/>
          <w:szCs w:val="20"/>
        </w:rPr>
      </w:pPr>
    </w:p>
    <w:p w14:paraId="700AD7F4" w14:textId="77777777" w:rsidR="00DA71C0" w:rsidRPr="008778F5" w:rsidRDefault="00DA71C0" w:rsidP="00DA71C0">
      <w:pPr>
        <w:spacing w:after="0" w:line="240" w:lineRule="auto"/>
        <w:ind w:firstLine="540"/>
        <w:jc w:val="both"/>
        <w:rPr>
          <w:rFonts w:ascii="Times New Roman" w:eastAsia="Times New Roman" w:hAnsi="Times New Roman" w:cs="Times New Roman"/>
          <w:b/>
          <w:sz w:val="24"/>
          <w:szCs w:val="20"/>
        </w:rPr>
      </w:pPr>
      <w:r w:rsidRPr="008778F5">
        <w:rPr>
          <w:rFonts w:ascii="Times New Roman" w:eastAsia="Times New Roman" w:hAnsi="Times New Roman" w:cs="Times New Roman"/>
          <w:b/>
          <w:sz w:val="24"/>
          <w:szCs w:val="20"/>
        </w:rPr>
        <w:t>Draudimo sąlygos:</w:t>
      </w:r>
    </w:p>
    <w:p w14:paraId="6B0BB14F"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1.1. </w:t>
      </w:r>
      <w:r w:rsidRPr="008778F5">
        <w:rPr>
          <w:rFonts w:ascii="Times New Roman" w:eastAsia="Times New Roman" w:hAnsi="Times New Roman" w:cs="Times New Roman"/>
          <w:b/>
          <w:sz w:val="24"/>
          <w:szCs w:val="20"/>
        </w:rPr>
        <w:t xml:space="preserve">Draudimo objektas – </w:t>
      </w:r>
      <w:r w:rsidRPr="008778F5">
        <w:rPr>
          <w:rFonts w:ascii="Times New Roman" w:eastAsia="Times New Roman" w:hAnsi="Times New Roman" w:cs="Times New Roman"/>
          <w:sz w:val="24"/>
          <w:szCs w:val="20"/>
        </w:rPr>
        <w:t>Klaipėdos universiteto pastatai, statiniai ir patalpos kilnojamas turtas. Draudimo apsauga galioja ir tiems objektams, kurie nėra Draudėjo nuosavybė, bet Draudėjas už juos atsako pagal panaudos, nuomos, išperkamosios nuomos ar kitas sutartis.</w:t>
      </w:r>
    </w:p>
    <w:p w14:paraId="3A9E25B3" w14:textId="77777777" w:rsidR="00DA71C0" w:rsidRPr="008778F5" w:rsidRDefault="00DA71C0" w:rsidP="00DA71C0">
      <w:pPr>
        <w:spacing w:after="0" w:line="240" w:lineRule="auto"/>
        <w:ind w:firstLine="540"/>
        <w:jc w:val="both"/>
        <w:rPr>
          <w:rFonts w:ascii="Times New Roman" w:eastAsia="Times New Roman" w:hAnsi="Times New Roman" w:cs="Times New Roman"/>
          <w:b/>
          <w:sz w:val="24"/>
          <w:szCs w:val="20"/>
        </w:rPr>
      </w:pPr>
      <w:r w:rsidRPr="008778F5">
        <w:rPr>
          <w:rFonts w:ascii="Times New Roman" w:eastAsia="Times New Roman" w:hAnsi="Times New Roman" w:cs="Times New Roman"/>
          <w:sz w:val="24"/>
          <w:szCs w:val="20"/>
        </w:rPr>
        <w:t xml:space="preserve">1.2. </w:t>
      </w:r>
      <w:r w:rsidRPr="008778F5">
        <w:rPr>
          <w:rFonts w:ascii="Times New Roman" w:eastAsia="Times New Roman" w:hAnsi="Times New Roman" w:cs="Times New Roman"/>
          <w:b/>
          <w:sz w:val="24"/>
          <w:szCs w:val="20"/>
        </w:rPr>
        <w:t>Draudimo vertė:</w:t>
      </w:r>
    </w:p>
    <w:p w14:paraId="6019238F"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1.2.1.</w:t>
      </w:r>
      <w:r w:rsidRPr="008778F5">
        <w:rPr>
          <w:rFonts w:ascii="Times New Roman" w:eastAsia="Times New Roman" w:hAnsi="Times New Roman" w:cs="Times New Roman"/>
          <w:b/>
          <w:sz w:val="24"/>
          <w:szCs w:val="20"/>
        </w:rPr>
        <w:t xml:space="preserve"> </w:t>
      </w:r>
      <w:r w:rsidRPr="008778F5">
        <w:rPr>
          <w:rFonts w:ascii="Times New Roman" w:eastAsia="Times New Roman" w:hAnsi="Times New Roman" w:cs="Times New Roman"/>
          <w:bCs/>
          <w:sz w:val="24"/>
          <w:szCs w:val="20"/>
        </w:rPr>
        <w:t>Nekilnojamas turtas draudžiamas</w:t>
      </w:r>
      <w:r w:rsidRPr="008778F5">
        <w:rPr>
          <w:rFonts w:ascii="Times New Roman" w:eastAsia="Times New Roman" w:hAnsi="Times New Roman" w:cs="Times New Roman"/>
          <w:sz w:val="24"/>
          <w:szCs w:val="20"/>
        </w:rPr>
        <w:t xml:space="preserve"> nauja atkuriamąja verte – analogiško, tokios pat paskirties, konstrukcijos, panaudojus tokias pat medžiagas ir įrangą, būdingą tai vietovei naujo pastato atkūrimo vertė, kuri apima statinio pastatymo, įskaitant konstravimą bei projektavimą ir kitas išlaidas.</w:t>
      </w:r>
    </w:p>
    <w:p w14:paraId="3F76157E"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1.2.2. Kilnojamojo turto draudimo vertė:</w:t>
      </w:r>
    </w:p>
    <w:p w14:paraId="302355DF"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draudimo sutarties sudarymo dieną neviršija 70 %, draudžiami Atkuriamąja verte. Atkuriamoji vertė – tai apskaičiuoti pastato atkūrimo kaštai sutarties sudarymo dieną, kurių reikėtų naujam tokių pat fizinių ir eksploatacinių savybių objektui įsigyti, atkurti arba  pagaminti, įskaitant visas papilomas išlaidas (įskaitant transportavimo bei montavimo išlaidas ir pan.)</w:t>
      </w:r>
    </w:p>
    <w:p w14:paraId="56A21058"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sutarties sudarymo dieną yra didesnis nei 70% draudžiami Suderinta verte, kuri yra lygi 70 % buhalterinės Įsigijimo vertės. Draudžiamojo įvykio atveju, kai atlyginama Suderintos vertės principu, nuostoliu laikoma:</w:t>
      </w:r>
    </w:p>
    <w:p w14:paraId="2259F2FC"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sugadinti ir yra remontuojami panaudojant įsigytas naujas medžiagas ar detales arba gaminantis analogišką naują detalę arba remontuojant dėvėtomis detalėmis – faktiniai remonto (atkūrimo) kaštai, įskaitant transportavimo bei montavimo išlaidas, tačiau neviršijant suderintos vertės. Jeigu apskaičiuota nuostolio suma viršija 70% suderintos draudimo vertės, laikoma, kad įrengimai yra sunaikinti;</w:t>
      </w:r>
    </w:p>
    <w:p w14:paraId="6FCB806A"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sunaikinti - analogiškų, tos pačios kokybės, amžiaus, gabaritų, išmatavimų ir paskirties įrengimų įsigyjamų rinkoje vertė (įskaitant transportavimo bei montavimo išlaidas), tačiau neviršijant įrengimų suderintos draudimo sumos. Jei neįmanoma įsigyti analogiško amžiaus ir funkcinės paskirties įrenginio, atlyginama naujo įrenginio įsigijimo vertė, tačiau neviršijant suderintos draudimo vertės.</w:t>
      </w:r>
    </w:p>
    <w:p w14:paraId="6D0A5EA9"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Jei draudėjas nusprendžia neremontuoti ar neatkurti sugadintų ar sunaikintų įrengimų, draudimo išmoka mokama neviršijant įrengimų buhalterinės likutinės vertės;</w:t>
      </w:r>
    </w:p>
    <w:p w14:paraId="41DE78D9"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1.3. </w:t>
      </w:r>
      <w:r w:rsidRPr="008778F5">
        <w:rPr>
          <w:rFonts w:ascii="Times New Roman" w:eastAsia="Times New Roman" w:hAnsi="Times New Roman" w:cs="Times New Roman"/>
          <w:b/>
          <w:sz w:val="24"/>
          <w:szCs w:val="20"/>
        </w:rPr>
        <w:t>Draudimo suma</w:t>
      </w:r>
      <w:r w:rsidRPr="008778F5">
        <w:rPr>
          <w:rFonts w:ascii="Times New Roman" w:eastAsia="Times New Roman" w:hAnsi="Times New Roman" w:cs="Times New Roman"/>
          <w:sz w:val="24"/>
          <w:szCs w:val="20"/>
        </w:rPr>
        <w:t>:</w:t>
      </w:r>
    </w:p>
    <w:p w14:paraId="0ECEF5A0" w14:textId="1C16B45A"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1.3.1. Nekilnojamojo turto draudimo suma – </w:t>
      </w:r>
      <w:r w:rsidR="002473C2">
        <w:rPr>
          <w:rFonts w:ascii="Times New Roman" w:eastAsia="Times New Roman" w:hAnsi="Times New Roman" w:cs="Times New Roman"/>
          <w:sz w:val="24"/>
          <w:szCs w:val="20"/>
        </w:rPr>
        <w:t>38 060 489,41</w:t>
      </w:r>
      <w:r>
        <w:rPr>
          <w:rFonts w:ascii="Times New Roman" w:eastAsia="Times New Roman" w:hAnsi="Times New Roman" w:cs="Times New Roman"/>
          <w:sz w:val="24"/>
          <w:szCs w:val="20"/>
        </w:rPr>
        <w:t xml:space="preserve"> </w:t>
      </w:r>
      <w:r w:rsidRPr="008778F5">
        <w:rPr>
          <w:rFonts w:ascii="Times New Roman" w:eastAsia="Times New Roman" w:hAnsi="Times New Roman" w:cs="Times New Roman"/>
          <w:sz w:val="24"/>
          <w:szCs w:val="20"/>
        </w:rPr>
        <w:t>EUR, detalizacija pateikiama priede Nr. 1.</w:t>
      </w:r>
    </w:p>
    <w:p w14:paraId="34B1B7F8" w14:textId="66F5F562"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1.3.2. Kilnojamojo turto draudimo suma </w:t>
      </w:r>
      <w:r w:rsidR="003B3844">
        <w:rPr>
          <w:rFonts w:ascii="Times New Roman" w:eastAsia="Times New Roman" w:hAnsi="Times New Roman" w:cs="Times New Roman"/>
          <w:sz w:val="24"/>
          <w:szCs w:val="20"/>
        </w:rPr>
        <w:t>–</w:t>
      </w:r>
      <w:r w:rsidRPr="008778F5">
        <w:rPr>
          <w:rFonts w:ascii="Times New Roman" w:eastAsia="Times New Roman" w:hAnsi="Times New Roman" w:cs="Times New Roman"/>
          <w:sz w:val="24"/>
          <w:szCs w:val="20"/>
        </w:rPr>
        <w:t xml:space="preserve"> </w:t>
      </w:r>
      <w:r w:rsidR="00C10F7D">
        <w:rPr>
          <w:rFonts w:ascii="Times New Roman" w:eastAsia="Times New Roman" w:hAnsi="Times New Roman" w:cs="Times New Roman"/>
          <w:sz w:val="24"/>
          <w:szCs w:val="20"/>
        </w:rPr>
        <w:t>1</w:t>
      </w:r>
      <w:r w:rsidR="00AE2A58">
        <w:rPr>
          <w:rFonts w:ascii="Times New Roman" w:eastAsia="Times New Roman" w:hAnsi="Times New Roman" w:cs="Times New Roman"/>
          <w:sz w:val="24"/>
          <w:szCs w:val="20"/>
        </w:rPr>
        <w:t> </w:t>
      </w:r>
      <w:r w:rsidR="00C10F7D">
        <w:rPr>
          <w:rFonts w:ascii="Times New Roman" w:eastAsia="Times New Roman" w:hAnsi="Times New Roman" w:cs="Times New Roman"/>
          <w:sz w:val="24"/>
          <w:szCs w:val="20"/>
        </w:rPr>
        <w:t>188</w:t>
      </w:r>
      <w:r w:rsidR="00AE2A58">
        <w:rPr>
          <w:rFonts w:ascii="Times New Roman" w:eastAsia="Times New Roman" w:hAnsi="Times New Roman" w:cs="Times New Roman"/>
          <w:sz w:val="24"/>
          <w:szCs w:val="20"/>
        </w:rPr>
        <w:t> </w:t>
      </w:r>
      <w:r w:rsidR="00C10F7D">
        <w:rPr>
          <w:rFonts w:ascii="Times New Roman" w:eastAsia="Times New Roman" w:hAnsi="Times New Roman" w:cs="Times New Roman"/>
          <w:sz w:val="24"/>
          <w:szCs w:val="20"/>
        </w:rPr>
        <w:t>949</w:t>
      </w:r>
      <w:r w:rsidR="00AE2A58">
        <w:rPr>
          <w:rFonts w:ascii="Times New Roman" w:eastAsia="Times New Roman" w:hAnsi="Times New Roman" w:cs="Times New Roman"/>
          <w:sz w:val="24"/>
          <w:szCs w:val="20"/>
        </w:rPr>
        <w:t>,83</w:t>
      </w:r>
      <w:r w:rsidRPr="00E621EE">
        <w:rPr>
          <w:rFonts w:ascii="Times New Roman" w:eastAsia="Times New Roman" w:hAnsi="Times New Roman" w:cs="Times New Roman"/>
          <w:sz w:val="24"/>
          <w:szCs w:val="20"/>
        </w:rPr>
        <w:t xml:space="preserve"> </w:t>
      </w:r>
      <w:r w:rsidRPr="008778F5">
        <w:rPr>
          <w:rFonts w:ascii="Times New Roman" w:eastAsia="Times New Roman" w:hAnsi="Times New Roman" w:cs="Times New Roman"/>
          <w:sz w:val="24"/>
          <w:szCs w:val="20"/>
        </w:rPr>
        <w:t>EUR, detalizacija pateikiama priede Nr. 1.</w:t>
      </w:r>
    </w:p>
    <w:p w14:paraId="20EB6B74"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1.4. </w:t>
      </w:r>
      <w:r w:rsidRPr="008778F5">
        <w:rPr>
          <w:rFonts w:ascii="Times New Roman" w:eastAsia="Times New Roman" w:hAnsi="Times New Roman" w:cs="Times New Roman"/>
          <w:b/>
          <w:sz w:val="24"/>
          <w:szCs w:val="20"/>
        </w:rPr>
        <w:t>Draudėjas</w:t>
      </w:r>
      <w:r w:rsidRPr="008778F5">
        <w:rPr>
          <w:rFonts w:ascii="Times New Roman" w:eastAsia="Times New Roman" w:hAnsi="Times New Roman" w:cs="Times New Roman"/>
          <w:sz w:val="24"/>
          <w:szCs w:val="20"/>
        </w:rPr>
        <w:t>: VŠĮ Klaipėdos universitetas, įstaigos kodas 211951150, H. Manto g. 84, LT-92294 Klaipėda.</w:t>
      </w:r>
    </w:p>
    <w:p w14:paraId="02860A20"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1.5. </w:t>
      </w:r>
      <w:r w:rsidRPr="008778F5">
        <w:rPr>
          <w:rFonts w:ascii="Times New Roman" w:eastAsia="Times New Roman" w:hAnsi="Times New Roman" w:cs="Times New Roman"/>
          <w:b/>
          <w:sz w:val="24"/>
          <w:szCs w:val="20"/>
        </w:rPr>
        <w:t>Draudikas</w:t>
      </w:r>
      <w:r w:rsidRPr="008778F5">
        <w:rPr>
          <w:rFonts w:ascii="Times New Roman" w:eastAsia="Times New Roman" w:hAnsi="Times New Roman" w:cs="Times New Roman"/>
          <w:sz w:val="24"/>
          <w:szCs w:val="20"/>
        </w:rPr>
        <w:t xml:space="preserve"> – juridinis asmuo, teisės aktų nustatyta tvarka turintis teisę vykdyti draudimo veiklą ir suteikęs Draudėjui Nekilnojamojo ir Kilnojamojo turto draudimo paslaugas.</w:t>
      </w:r>
    </w:p>
    <w:p w14:paraId="6B3F1DF4"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2. </w:t>
      </w:r>
      <w:r w:rsidRPr="008778F5">
        <w:rPr>
          <w:rFonts w:ascii="Times New Roman" w:eastAsia="Times New Roman" w:hAnsi="Times New Roman" w:cs="Times New Roman"/>
          <w:b/>
          <w:sz w:val="24"/>
          <w:szCs w:val="20"/>
        </w:rPr>
        <w:t xml:space="preserve">Draudžiamasis įvykis </w:t>
      </w:r>
      <w:r w:rsidRPr="008778F5">
        <w:rPr>
          <w:rFonts w:ascii="Times New Roman" w:eastAsia="Times New Roman" w:hAnsi="Times New Roman" w:cs="Times New Roman"/>
          <w:sz w:val="24"/>
          <w:szCs w:val="20"/>
        </w:rPr>
        <w:t>yra apdrausto turto sugadinimas, sunaikinimas ar praradimo dėl bet kokio staiga ir netikėtai įvykusius įvykio (</w:t>
      </w:r>
      <w:proofErr w:type="spellStart"/>
      <w:r w:rsidRPr="008778F5">
        <w:rPr>
          <w:rFonts w:ascii="Times New Roman" w:eastAsia="Times New Roman" w:hAnsi="Times New Roman" w:cs="Times New Roman"/>
          <w:sz w:val="24"/>
          <w:szCs w:val="20"/>
        </w:rPr>
        <w:t>all</w:t>
      </w:r>
      <w:proofErr w:type="spellEnd"/>
      <w:r w:rsidRPr="008778F5">
        <w:rPr>
          <w:rFonts w:ascii="Times New Roman" w:eastAsia="Times New Roman" w:hAnsi="Times New Roman" w:cs="Times New Roman"/>
          <w:sz w:val="24"/>
          <w:szCs w:val="20"/>
        </w:rPr>
        <w:t xml:space="preserve"> risk), išskyrus nedraudžiamuosius įvykius. </w:t>
      </w:r>
    </w:p>
    <w:p w14:paraId="6F6CF98C"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3. </w:t>
      </w:r>
      <w:r w:rsidRPr="008778F5">
        <w:rPr>
          <w:rFonts w:ascii="Times New Roman" w:eastAsia="Times New Roman" w:hAnsi="Times New Roman" w:cs="Times New Roman"/>
          <w:b/>
          <w:sz w:val="24"/>
          <w:szCs w:val="20"/>
        </w:rPr>
        <w:t>Nedraudžiamieji įvykiai</w:t>
      </w:r>
      <w:r w:rsidRPr="008778F5">
        <w:rPr>
          <w:rFonts w:ascii="Times New Roman" w:eastAsia="Times New Roman" w:hAnsi="Times New Roman" w:cs="Times New Roman"/>
          <w:sz w:val="24"/>
          <w:szCs w:val="20"/>
        </w:rPr>
        <w:t xml:space="preserve"> – standartinės Draudiko turto draudimo taisyklėse išvardinti nedraudžiamieji įvykiui, tačiau tiek, kiek neprieštarauja papildomose sąlygose išvardintiems įvykiams. </w:t>
      </w:r>
    </w:p>
    <w:p w14:paraId="42AE73F5"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4. </w:t>
      </w:r>
      <w:r w:rsidRPr="008778F5">
        <w:rPr>
          <w:rFonts w:ascii="Times New Roman" w:eastAsia="Times New Roman" w:hAnsi="Times New Roman" w:cs="Times New Roman"/>
          <w:b/>
          <w:sz w:val="24"/>
          <w:szCs w:val="20"/>
        </w:rPr>
        <w:t>Draudžiamojo įvykio atveju taikoma besąlyginė išskaita</w:t>
      </w:r>
      <w:r w:rsidRPr="008778F5">
        <w:rPr>
          <w:rFonts w:ascii="Times New Roman" w:eastAsia="Times New Roman" w:hAnsi="Times New Roman" w:cs="Times New Roman"/>
          <w:sz w:val="24"/>
          <w:szCs w:val="20"/>
        </w:rPr>
        <w:t xml:space="preserve"> – 1.000 EUR </w:t>
      </w:r>
    </w:p>
    <w:p w14:paraId="39A360D6"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b/>
          <w:bCs/>
          <w:sz w:val="24"/>
          <w:szCs w:val="20"/>
        </w:rPr>
        <w:t>5</w:t>
      </w:r>
      <w:r w:rsidRPr="008778F5">
        <w:rPr>
          <w:rFonts w:ascii="Times New Roman" w:eastAsia="Times New Roman" w:hAnsi="Times New Roman" w:cs="Times New Roman"/>
          <w:sz w:val="24"/>
          <w:szCs w:val="20"/>
        </w:rPr>
        <w:t xml:space="preserve">. </w:t>
      </w:r>
      <w:r w:rsidRPr="008778F5">
        <w:rPr>
          <w:rFonts w:ascii="Times New Roman" w:eastAsia="Times New Roman" w:hAnsi="Times New Roman" w:cs="Times New Roman"/>
          <w:b/>
          <w:sz w:val="24"/>
          <w:szCs w:val="20"/>
        </w:rPr>
        <w:t>Papildomos sąlygos</w:t>
      </w:r>
      <w:r w:rsidRPr="008778F5">
        <w:rPr>
          <w:rFonts w:ascii="Times New Roman" w:eastAsia="Times New Roman" w:hAnsi="Times New Roman" w:cs="Times New Roman"/>
          <w:sz w:val="24"/>
          <w:szCs w:val="20"/>
        </w:rPr>
        <w:t>:</w:t>
      </w:r>
    </w:p>
    <w:p w14:paraId="4BC6BB9F"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lastRenderedPageBreak/>
        <w:t>5.1. Paprastieji remonto darbai, kurių vykdymui pagal statybos darbus reglamentuojančius teisės aktus nereikalingas statybų leidimas ir kurių sąmatinė vertė neviršija 100.000 EUR (be PVM), nėra laikomi draudimo rizikos padidėjimu ir draudimas apdraustam turtui galioja pilna draudimo sutartyje nurodyta apimtimi, jei veikia draudimo liudijime ar jo priede nurodytos turto ir priešgaisrinės apsaugos signalizacijos. Bet kokiu atveju draudikas neatlygina nuostolių, kuriuos sukelia ar sąlygoja patys atliekami remonto darbai ar tokius darbus atliekantys asmenys;</w:t>
      </w:r>
    </w:p>
    <w:p w14:paraId="2218A059"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5.2. 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50.000 EUR;</w:t>
      </w:r>
    </w:p>
    <w:p w14:paraId="25CC4B27"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5.3. Draudikas ir draudėjas susitaria, kad bet koks pagal šią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296BE253"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5.4. Šia draudimo sutartimi draudžiamos pagrįstos papildomos išlaidos, skirtos apmokėti  už suteiktas architektų ir ekspertų, konsultantų ar kitų specialistų paslaugas, kai tokios išlaidos reikalingos apdrausto turto atkūrimui, įvykio priežastims ar nuostolio dydžiui nustatyti, išskyrus išlaidas, skirtas pretenzijai ar ieškiniui paruošti Maksimali draudimo išmoka pagal šią sąlygą yra 50.000 EUR vienam įvykiui ir visam draudimo sutarties galiojimo laikotarpiui</w:t>
      </w:r>
    </w:p>
    <w:p w14:paraId="2AD644BF"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5.5. Draudikas ir Draudėjas susitaria, kad Draudikas atlygina įprastus kaštus viršijančias papildomos išlaidas, skirtas atstatyti ar suremontuoti draudžiamojo įvykio metu sunaikintą ar sugadintą turtą pagreitintu būdu: vykdant atstatymo ar remonto darbus švenčių dienomis ar nakties metu, samdant papildomus darbininkus ar specialistus, atliekant pagreitintą turto ar jo remontui reikalingų dalių pristatymą (pvz., oro transportu). Maksimali draudimo išmoka pagal šią sąlygą yra 50.000 Eur vienam įvykiui ir visam draudimo sutarties galiojimo laikotarpiui bendrai.</w:t>
      </w:r>
    </w:p>
    <w:p w14:paraId="79182EDF"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5.6. Draudikas sutinka, kad draudėjas turi teisę atstatyti turtą kitokiais konstrukciniais ar technologiniais sprendimais ir/ar kitokios paskirties nei buvo iki draudžiamojo įvykio, tačiau draudimo išmokos suma negali viršyti sumos, kuri būtų buvusi mokama, jei draudėjas turtą atstatinėtų tokiais pat konstrukciniais ar technologiniais sprendimais, tokios pačios paskirties;</w:t>
      </w:r>
    </w:p>
    <w:p w14:paraId="2FCB18E6"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5.7. Draudikas ir draudėjas susitaria, jei draudžiamojo įvykio atveju yra nustatytas kaltininkas ir įstatymų nustatyta tvarka įrodyta jo kaltė bei draudikas turi realią galimybę susigrąžinti nuostolio atlyginimą iš nustatyto kaltininko, draudėjui išmoka mokama neišskaičiavus besąlyginės išskaitos;</w:t>
      </w:r>
    </w:p>
    <w:p w14:paraId="1D86FB03"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5.8. 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50.000 EUR išmokos limitas.</w:t>
      </w:r>
    </w:p>
    <w:p w14:paraId="5E585231"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5.9. Atlyginamos papildomos išlaidos draudimo vietai po draudžiamojo įvykio sutvarkyti - 5% nuo draudimo polise nurodytos bendros draudimo sumos.</w:t>
      </w:r>
    </w:p>
    <w:p w14:paraId="7D56132A"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5.10. Jeigu draudimo vertė vienu atskiru adresu viršija tuo adresu nustatytą draudimo sumą ne daugiau kaip 20%, tai nevisiško draudimo sąlyga tuo adresu esančiam turtui nėra taikoma.</w:t>
      </w:r>
    </w:p>
    <w:p w14:paraId="6A2A2BA4"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5.11. Rizikos vertinimo, draudimo sutarčių ir polisų sudarymo, tarpininkavimo, žalų istorijos ir kitais draudimo klausimais, Draudėją atstovauja ir draudimo sutartis bus sudaroma tarpininkaujant UADBB „Rizikos cesija“</w:t>
      </w:r>
    </w:p>
    <w:p w14:paraId="6ED9164E"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5.12. Turto atstatymą po draudiminio įvykio atlieka Draudėjo viešuosius pirkimus laimėjusios įmonės. </w:t>
      </w:r>
    </w:p>
    <w:p w14:paraId="1939A57A"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lastRenderedPageBreak/>
        <w:t>5.13. Draudimo įmokos mokamos lygiomis dalimis kas ketvirtį, pirmai įmokai nustatomas 14 dienų mokėjimo atidėjimo terminas.</w:t>
      </w:r>
    </w:p>
    <w:p w14:paraId="538DE59A" w14:textId="1650EEB3"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5.14. Draudimo sutartis sudaroma 12 mėnesių laikotarpiui, draudimo apsaugos galiojimo terminas nuo 202</w:t>
      </w:r>
      <w:r w:rsidR="0052348F">
        <w:rPr>
          <w:rFonts w:ascii="Times New Roman" w:eastAsia="Times New Roman" w:hAnsi="Times New Roman" w:cs="Times New Roman"/>
          <w:sz w:val="24"/>
          <w:szCs w:val="20"/>
        </w:rPr>
        <w:t>5</w:t>
      </w:r>
      <w:r w:rsidRPr="008778F5">
        <w:rPr>
          <w:rFonts w:ascii="Times New Roman" w:eastAsia="Times New Roman" w:hAnsi="Times New Roman" w:cs="Times New Roman"/>
          <w:sz w:val="24"/>
          <w:szCs w:val="20"/>
        </w:rPr>
        <w:t>-09-15 iki 202</w:t>
      </w:r>
      <w:r w:rsidR="0052348F">
        <w:rPr>
          <w:rFonts w:ascii="Times New Roman" w:eastAsia="Times New Roman" w:hAnsi="Times New Roman" w:cs="Times New Roman"/>
          <w:sz w:val="24"/>
          <w:szCs w:val="20"/>
        </w:rPr>
        <w:t>6</w:t>
      </w:r>
      <w:r w:rsidRPr="008778F5">
        <w:rPr>
          <w:rFonts w:ascii="Times New Roman" w:eastAsia="Times New Roman" w:hAnsi="Times New Roman" w:cs="Times New Roman"/>
          <w:sz w:val="24"/>
          <w:szCs w:val="20"/>
        </w:rPr>
        <w:t>-09-14 dienos.</w:t>
      </w:r>
    </w:p>
    <w:p w14:paraId="05AE2C33"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xml:space="preserve">5.15.  Detalios informacijos apie priešgaisrinę ir turto apsaugą Draudėjas pateikti neturi galimybės. </w:t>
      </w:r>
    </w:p>
    <w:p w14:paraId="05E25F8C" w14:textId="77777777" w:rsidR="00DA71C0" w:rsidRPr="008778F5" w:rsidRDefault="00DA71C0" w:rsidP="00DA71C0">
      <w:pPr>
        <w:spacing w:after="0" w:line="240" w:lineRule="auto"/>
        <w:ind w:firstLine="540"/>
        <w:jc w:val="both"/>
        <w:rPr>
          <w:rFonts w:ascii="Times New Roman" w:eastAsia="Times New Roman" w:hAnsi="Times New Roman" w:cs="Times New Roman"/>
          <w:sz w:val="24"/>
          <w:szCs w:val="20"/>
        </w:rPr>
      </w:pPr>
    </w:p>
    <w:p w14:paraId="5878281E" w14:textId="77777777" w:rsidR="00DA71C0" w:rsidRPr="008778F5" w:rsidRDefault="00DA71C0" w:rsidP="00DA71C0">
      <w:pPr>
        <w:numPr>
          <w:ilvl w:val="0"/>
          <w:numId w:val="1"/>
        </w:numPr>
        <w:spacing w:after="0" w:line="240" w:lineRule="auto"/>
        <w:jc w:val="both"/>
        <w:rPr>
          <w:rFonts w:ascii="Times New Roman" w:eastAsia="Times New Roman" w:hAnsi="Times New Roman" w:cs="Times New Roman"/>
          <w:b/>
          <w:sz w:val="24"/>
          <w:szCs w:val="20"/>
        </w:rPr>
      </w:pPr>
      <w:r w:rsidRPr="008778F5">
        <w:rPr>
          <w:rFonts w:ascii="Times New Roman" w:eastAsia="Times New Roman" w:hAnsi="Times New Roman" w:cs="Times New Roman"/>
          <w:b/>
          <w:sz w:val="24"/>
          <w:szCs w:val="20"/>
        </w:rPr>
        <w:t xml:space="preserve">Informacija apie buvusius draudžiamuosius įvykius: </w:t>
      </w:r>
    </w:p>
    <w:p w14:paraId="14A7F1D3" w14:textId="77777777" w:rsidR="00DA71C0" w:rsidRPr="008778F5" w:rsidRDefault="00DA71C0" w:rsidP="00DA71C0">
      <w:pPr>
        <w:spacing w:after="0" w:line="240" w:lineRule="auto"/>
        <w:ind w:firstLine="540"/>
        <w:rPr>
          <w:rFonts w:ascii="Times New Roman" w:eastAsia="Times New Roman" w:hAnsi="Times New Roman" w:cs="Times New Roman"/>
          <w:sz w:val="24"/>
          <w:szCs w:val="20"/>
        </w:rPr>
      </w:pPr>
    </w:p>
    <w:tbl>
      <w:tblPr>
        <w:tblW w:w="9918" w:type="dxa"/>
        <w:tblInd w:w="-431" w:type="dxa"/>
        <w:tblLook w:val="04A0" w:firstRow="1" w:lastRow="0" w:firstColumn="1" w:lastColumn="0" w:noHBand="0" w:noVBand="1"/>
      </w:tblPr>
      <w:tblGrid>
        <w:gridCol w:w="1413"/>
        <w:gridCol w:w="2410"/>
        <w:gridCol w:w="3260"/>
        <w:gridCol w:w="2835"/>
      </w:tblGrid>
      <w:tr w:rsidR="00DA71C0" w:rsidRPr="008778F5" w14:paraId="7E5B66B8" w14:textId="77777777" w:rsidTr="00DA71C0">
        <w:trPr>
          <w:trHeight w:val="23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9F4E6D9" w14:textId="77777777" w:rsidR="00DA71C0" w:rsidRPr="008778F5" w:rsidRDefault="00DA71C0" w:rsidP="000F4365">
            <w:pPr>
              <w:spacing w:after="0" w:line="240" w:lineRule="auto"/>
              <w:jc w:val="center"/>
              <w:rPr>
                <w:rFonts w:ascii="Times New Roman" w:eastAsia="Times New Roman" w:hAnsi="Times New Roman" w:cs="Times New Roman"/>
                <w:b/>
                <w:bCs/>
                <w:color w:val="000000"/>
                <w:sz w:val="24"/>
                <w:szCs w:val="24"/>
                <w:lang w:eastAsia="lt-LT"/>
              </w:rPr>
            </w:pPr>
            <w:r w:rsidRPr="008778F5">
              <w:rPr>
                <w:rFonts w:ascii="Times New Roman" w:eastAsia="Times New Roman" w:hAnsi="Times New Roman" w:cs="Times New Roman"/>
                <w:b/>
                <w:bCs/>
                <w:color w:val="000000"/>
                <w:sz w:val="24"/>
                <w:szCs w:val="24"/>
              </w:rPr>
              <w:t>Data</w:t>
            </w:r>
          </w:p>
        </w:tc>
        <w:tc>
          <w:tcPr>
            <w:tcW w:w="2410" w:type="dxa"/>
            <w:tcBorders>
              <w:top w:val="single" w:sz="4" w:space="0" w:color="auto"/>
              <w:left w:val="nil"/>
              <w:bottom w:val="single" w:sz="4" w:space="0" w:color="auto"/>
              <w:right w:val="single" w:sz="4" w:space="0" w:color="auto"/>
            </w:tcBorders>
            <w:noWrap/>
            <w:vAlign w:val="bottom"/>
            <w:hideMark/>
          </w:tcPr>
          <w:p w14:paraId="1348D958" w14:textId="77777777" w:rsidR="00DA71C0" w:rsidRPr="008778F5" w:rsidRDefault="00DA71C0" w:rsidP="000F4365">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Išmokėta suma</w:t>
            </w:r>
          </w:p>
        </w:tc>
        <w:tc>
          <w:tcPr>
            <w:tcW w:w="3260" w:type="dxa"/>
            <w:tcBorders>
              <w:top w:val="single" w:sz="4" w:space="0" w:color="auto"/>
              <w:left w:val="nil"/>
              <w:bottom w:val="single" w:sz="4" w:space="0" w:color="auto"/>
              <w:right w:val="single" w:sz="4" w:space="0" w:color="auto"/>
            </w:tcBorders>
            <w:noWrap/>
            <w:vAlign w:val="bottom"/>
            <w:hideMark/>
          </w:tcPr>
          <w:p w14:paraId="6CC6B585" w14:textId="77777777" w:rsidR="00DA71C0" w:rsidRPr="008778F5" w:rsidRDefault="00DA71C0" w:rsidP="000F4365">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Priežastys</w:t>
            </w:r>
          </w:p>
        </w:tc>
        <w:tc>
          <w:tcPr>
            <w:tcW w:w="2835" w:type="dxa"/>
            <w:tcBorders>
              <w:top w:val="single" w:sz="4" w:space="0" w:color="auto"/>
              <w:left w:val="nil"/>
              <w:bottom w:val="single" w:sz="4" w:space="0" w:color="auto"/>
              <w:right w:val="single" w:sz="4" w:space="0" w:color="auto"/>
            </w:tcBorders>
            <w:noWrap/>
            <w:vAlign w:val="bottom"/>
            <w:hideMark/>
          </w:tcPr>
          <w:p w14:paraId="1E2EA422" w14:textId="77777777" w:rsidR="00DA71C0" w:rsidRPr="008778F5" w:rsidRDefault="00DA71C0" w:rsidP="000F4365">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Adresas</w:t>
            </w:r>
          </w:p>
        </w:tc>
      </w:tr>
      <w:tr w:rsidR="00DA71C0" w:rsidRPr="008778F5" w14:paraId="73C40811"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13808DC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2020 02 24</w:t>
            </w:r>
          </w:p>
        </w:tc>
        <w:tc>
          <w:tcPr>
            <w:tcW w:w="2410" w:type="dxa"/>
            <w:tcBorders>
              <w:top w:val="nil"/>
              <w:left w:val="nil"/>
              <w:bottom w:val="single" w:sz="4" w:space="0" w:color="auto"/>
              <w:right w:val="single" w:sz="4" w:space="0" w:color="auto"/>
            </w:tcBorders>
            <w:noWrap/>
            <w:vAlign w:val="center"/>
            <w:hideMark/>
          </w:tcPr>
          <w:p w14:paraId="45CC5C6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259,50 EUR</w:t>
            </w:r>
          </w:p>
        </w:tc>
        <w:tc>
          <w:tcPr>
            <w:tcW w:w="3260" w:type="dxa"/>
            <w:tcBorders>
              <w:top w:val="nil"/>
              <w:left w:val="nil"/>
              <w:bottom w:val="single" w:sz="4" w:space="0" w:color="auto"/>
              <w:right w:val="single" w:sz="4" w:space="0" w:color="auto"/>
            </w:tcBorders>
            <w:noWrap/>
            <w:vAlign w:val="center"/>
            <w:hideMark/>
          </w:tcPr>
          <w:p w14:paraId="4C024D23"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Gaisro aptikimo signalizacijos gedimas</w:t>
            </w:r>
          </w:p>
        </w:tc>
        <w:tc>
          <w:tcPr>
            <w:tcW w:w="2835" w:type="dxa"/>
            <w:tcBorders>
              <w:top w:val="nil"/>
              <w:left w:val="nil"/>
              <w:bottom w:val="single" w:sz="4" w:space="0" w:color="auto"/>
              <w:right w:val="single" w:sz="4" w:space="0" w:color="auto"/>
            </w:tcBorders>
            <w:noWrap/>
            <w:vAlign w:val="center"/>
            <w:hideMark/>
          </w:tcPr>
          <w:p w14:paraId="0F561082"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Smiltynės 1</w:t>
            </w:r>
          </w:p>
        </w:tc>
      </w:tr>
      <w:tr w:rsidR="00DA71C0" w:rsidRPr="008778F5" w14:paraId="286DED28"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427660E6"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2020 03 03</w:t>
            </w:r>
          </w:p>
        </w:tc>
        <w:tc>
          <w:tcPr>
            <w:tcW w:w="2410" w:type="dxa"/>
            <w:tcBorders>
              <w:top w:val="nil"/>
              <w:left w:val="nil"/>
              <w:bottom w:val="single" w:sz="4" w:space="0" w:color="auto"/>
              <w:right w:val="single" w:sz="4" w:space="0" w:color="auto"/>
            </w:tcBorders>
            <w:noWrap/>
            <w:vAlign w:val="center"/>
            <w:hideMark/>
          </w:tcPr>
          <w:p w14:paraId="5270209C"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336,78 EUR</w:t>
            </w:r>
          </w:p>
        </w:tc>
        <w:tc>
          <w:tcPr>
            <w:tcW w:w="3260" w:type="dxa"/>
            <w:tcBorders>
              <w:top w:val="nil"/>
              <w:left w:val="nil"/>
              <w:bottom w:val="single" w:sz="4" w:space="0" w:color="auto"/>
              <w:right w:val="single" w:sz="4" w:space="0" w:color="auto"/>
            </w:tcBorders>
            <w:noWrap/>
            <w:vAlign w:val="center"/>
            <w:hideMark/>
          </w:tcPr>
          <w:p w14:paraId="329FDE55"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Lango stiklas skilimas</w:t>
            </w:r>
          </w:p>
        </w:tc>
        <w:tc>
          <w:tcPr>
            <w:tcW w:w="2835" w:type="dxa"/>
            <w:tcBorders>
              <w:top w:val="nil"/>
              <w:left w:val="nil"/>
              <w:bottom w:val="single" w:sz="4" w:space="0" w:color="auto"/>
              <w:right w:val="single" w:sz="4" w:space="0" w:color="auto"/>
            </w:tcBorders>
            <w:noWrap/>
            <w:vAlign w:val="center"/>
            <w:hideMark/>
          </w:tcPr>
          <w:p w14:paraId="3A213EA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Minijos 153</w:t>
            </w:r>
          </w:p>
        </w:tc>
      </w:tr>
      <w:tr w:rsidR="00DA71C0" w:rsidRPr="008778F5" w14:paraId="061DDA1B"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1C2FD281"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71AB5077"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5.175,45 EUR</w:t>
            </w:r>
          </w:p>
        </w:tc>
        <w:tc>
          <w:tcPr>
            <w:tcW w:w="3260" w:type="dxa"/>
            <w:tcBorders>
              <w:top w:val="nil"/>
              <w:left w:val="nil"/>
              <w:bottom w:val="single" w:sz="4" w:space="0" w:color="auto"/>
              <w:right w:val="single" w:sz="4" w:space="0" w:color="auto"/>
            </w:tcBorders>
            <w:noWrap/>
            <w:vAlign w:val="center"/>
            <w:hideMark/>
          </w:tcPr>
          <w:p w14:paraId="543AC882"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6E2B16FD"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H.Manto g. 84</w:t>
            </w:r>
          </w:p>
        </w:tc>
      </w:tr>
      <w:tr w:rsidR="00DA71C0" w:rsidRPr="008778F5" w14:paraId="3B844459"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4244EA64"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68E0DB16"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907,82 EUR</w:t>
            </w:r>
          </w:p>
        </w:tc>
        <w:tc>
          <w:tcPr>
            <w:tcW w:w="3260" w:type="dxa"/>
            <w:tcBorders>
              <w:top w:val="nil"/>
              <w:left w:val="nil"/>
              <w:bottom w:val="single" w:sz="4" w:space="0" w:color="auto"/>
              <w:right w:val="single" w:sz="4" w:space="0" w:color="auto"/>
            </w:tcBorders>
            <w:noWrap/>
            <w:vAlign w:val="center"/>
            <w:hideMark/>
          </w:tcPr>
          <w:p w14:paraId="1541D641"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19C52760"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S.Nėries . 5</w:t>
            </w:r>
          </w:p>
        </w:tc>
      </w:tr>
      <w:tr w:rsidR="00DA71C0" w:rsidRPr="008778F5" w14:paraId="2BF101A9"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5C3EE631"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7411DA29"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2.742,83 EUR</w:t>
            </w:r>
          </w:p>
        </w:tc>
        <w:tc>
          <w:tcPr>
            <w:tcW w:w="3260" w:type="dxa"/>
            <w:tcBorders>
              <w:top w:val="nil"/>
              <w:left w:val="single" w:sz="4" w:space="0" w:color="auto"/>
              <w:bottom w:val="single" w:sz="4" w:space="0" w:color="auto"/>
              <w:right w:val="single" w:sz="4" w:space="0" w:color="auto"/>
            </w:tcBorders>
            <w:vAlign w:val="center"/>
            <w:hideMark/>
          </w:tcPr>
          <w:p w14:paraId="6BEB5A77"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3EFA85EF"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DA71C0" w:rsidRPr="008778F5" w14:paraId="5BC6B1E7"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57D97015"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4BADBE9A"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1.000,00 EUR</w:t>
            </w:r>
          </w:p>
        </w:tc>
        <w:tc>
          <w:tcPr>
            <w:tcW w:w="3260" w:type="dxa"/>
            <w:tcBorders>
              <w:top w:val="nil"/>
              <w:left w:val="single" w:sz="4" w:space="0" w:color="auto"/>
              <w:bottom w:val="single" w:sz="4" w:space="0" w:color="auto"/>
              <w:right w:val="single" w:sz="4" w:space="0" w:color="auto"/>
            </w:tcBorders>
            <w:vAlign w:val="center"/>
            <w:hideMark/>
          </w:tcPr>
          <w:p w14:paraId="63760624"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41D67802"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DA71C0" w:rsidRPr="008778F5" w14:paraId="5458B20E"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70A3C833"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2022-01-17</w:t>
            </w:r>
          </w:p>
        </w:tc>
        <w:tc>
          <w:tcPr>
            <w:tcW w:w="2410" w:type="dxa"/>
            <w:tcBorders>
              <w:top w:val="nil"/>
              <w:left w:val="single" w:sz="4" w:space="0" w:color="auto"/>
              <w:bottom w:val="single" w:sz="4" w:space="0" w:color="auto"/>
              <w:right w:val="single" w:sz="4" w:space="0" w:color="auto"/>
            </w:tcBorders>
            <w:vAlign w:val="center"/>
            <w:hideMark/>
          </w:tcPr>
          <w:p w14:paraId="56445233"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866,48 EUR</w:t>
            </w:r>
          </w:p>
        </w:tc>
        <w:tc>
          <w:tcPr>
            <w:tcW w:w="3260" w:type="dxa"/>
            <w:tcBorders>
              <w:top w:val="nil"/>
              <w:left w:val="single" w:sz="4" w:space="0" w:color="auto"/>
              <w:bottom w:val="single" w:sz="4" w:space="0" w:color="auto"/>
              <w:right w:val="single" w:sz="4" w:space="0" w:color="auto"/>
            </w:tcBorders>
            <w:vAlign w:val="center"/>
            <w:hideMark/>
          </w:tcPr>
          <w:p w14:paraId="16124A2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56B40CB7"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DA71C0" w:rsidRPr="008778F5" w14:paraId="143D5546"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69B39A4D"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2022-01-20</w:t>
            </w:r>
          </w:p>
        </w:tc>
        <w:tc>
          <w:tcPr>
            <w:tcW w:w="2410" w:type="dxa"/>
            <w:tcBorders>
              <w:top w:val="nil"/>
              <w:left w:val="single" w:sz="4" w:space="0" w:color="auto"/>
              <w:bottom w:val="single" w:sz="4" w:space="0" w:color="auto"/>
              <w:right w:val="single" w:sz="4" w:space="0" w:color="auto"/>
            </w:tcBorders>
            <w:vAlign w:val="center"/>
            <w:hideMark/>
          </w:tcPr>
          <w:p w14:paraId="2A33664C"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89,26 EUR</w:t>
            </w:r>
          </w:p>
        </w:tc>
        <w:tc>
          <w:tcPr>
            <w:tcW w:w="3260" w:type="dxa"/>
            <w:tcBorders>
              <w:top w:val="nil"/>
              <w:left w:val="single" w:sz="4" w:space="0" w:color="auto"/>
              <w:bottom w:val="single" w:sz="4" w:space="0" w:color="auto"/>
              <w:right w:val="single" w:sz="4" w:space="0" w:color="auto"/>
            </w:tcBorders>
            <w:vAlign w:val="center"/>
            <w:hideMark/>
          </w:tcPr>
          <w:p w14:paraId="10E841C9"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39307D22"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Universiteto al 17, Klaipėda</w:t>
            </w:r>
          </w:p>
        </w:tc>
      </w:tr>
      <w:tr w:rsidR="00DA71C0" w:rsidRPr="008778F5" w14:paraId="3DE397A1" w14:textId="77777777" w:rsidTr="00DA71C0">
        <w:trPr>
          <w:trHeight w:val="233"/>
        </w:trPr>
        <w:tc>
          <w:tcPr>
            <w:tcW w:w="1413" w:type="dxa"/>
            <w:tcBorders>
              <w:top w:val="nil"/>
              <w:left w:val="single" w:sz="4" w:space="0" w:color="auto"/>
              <w:bottom w:val="single" w:sz="4" w:space="0" w:color="auto"/>
              <w:right w:val="single" w:sz="4" w:space="0" w:color="auto"/>
            </w:tcBorders>
            <w:noWrap/>
            <w:vAlign w:val="center"/>
            <w:hideMark/>
          </w:tcPr>
          <w:p w14:paraId="0FFD22B1"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2022-04-08</w:t>
            </w:r>
          </w:p>
        </w:tc>
        <w:tc>
          <w:tcPr>
            <w:tcW w:w="2410" w:type="dxa"/>
            <w:tcBorders>
              <w:top w:val="nil"/>
              <w:left w:val="single" w:sz="4" w:space="0" w:color="auto"/>
              <w:bottom w:val="single" w:sz="4" w:space="0" w:color="auto"/>
              <w:right w:val="single" w:sz="4" w:space="0" w:color="auto"/>
            </w:tcBorders>
            <w:vAlign w:val="center"/>
            <w:hideMark/>
          </w:tcPr>
          <w:p w14:paraId="7D28A5F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26,83 EUR</w:t>
            </w:r>
          </w:p>
        </w:tc>
        <w:tc>
          <w:tcPr>
            <w:tcW w:w="3260" w:type="dxa"/>
            <w:tcBorders>
              <w:top w:val="nil"/>
              <w:left w:val="single" w:sz="4" w:space="0" w:color="auto"/>
              <w:bottom w:val="single" w:sz="4" w:space="0" w:color="auto"/>
              <w:right w:val="single" w:sz="4" w:space="0" w:color="auto"/>
            </w:tcBorders>
            <w:vAlign w:val="center"/>
            <w:hideMark/>
          </w:tcPr>
          <w:p w14:paraId="1B748B8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611A02A0"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DA71C0" w:rsidRPr="008778F5" w14:paraId="75B17D9A" w14:textId="77777777" w:rsidTr="00DA71C0">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5F3CDDB8"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2022-12-21</w:t>
            </w:r>
          </w:p>
        </w:tc>
        <w:tc>
          <w:tcPr>
            <w:tcW w:w="2410" w:type="dxa"/>
            <w:tcBorders>
              <w:top w:val="single" w:sz="4" w:space="0" w:color="auto"/>
              <w:left w:val="single" w:sz="4" w:space="0" w:color="auto"/>
              <w:bottom w:val="single" w:sz="4" w:space="0" w:color="auto"/>
              <w:right w:val="single" w:sz="4" w:space="0" w:color="auto"/>
            </w:tcBorders>
            <w:vAlign w:val="center"/>
          </w:tcPr>
          <w:p w14:paraId="3D12BAB4"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24.220,00 EUR</w:t>
            </w:r>
          </w:p>
        </w:tc>
        <w:tc>
          <w:tcPr>
            <w:tcW w:w="3260" w:type="dxa"/>
            <w:tcBorders>
              <w:top w:val="single" w:sz="4" w:space="0" w:color="auto"/>
              <w:left w:val="single" w:sz="4" w:space="0" w:color="auto"/>
              <w:bottom w:val="single" w:sz="4" w:space="0" w:color="auto"/>
              <w:right w:val="single" w:sz="4" w:space="0" w:color="auto"/>
            </w:tcBorders>
            <w:vAlign w:val="center"/>
          </w:tcPr>
          <w:p w14:paraId="12916396"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Gaisras</w:t>
            </w:r>
          </w:p>
        </w:tc>
        <w:tc>
          <w:tcPr>
            <w:tcW w:w="2835" w:type="dxa"/>
            <w:tcBorders>
              <w:top w:val="single" w:sz="4" w:space="0" w:color="auto"/>
              <w:left w:val="single" w:sz="4" w:space="0" w:color="auto"/>
              <w:bottom w:val="single" w:sz="4" w:space="0" w:color="auto"/>
              <w:right w:val="single" w:sz="4" w:space="0" w:color="auto"/>
            </w:tcBorders>
            <w:vAlign w:val="center"/>
          </w:tcPr>
          <w:p w14:paraId="6EA61CF3"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Statybininkų pr. 43, Klaipėda</w:t>
            </w:r>
          </w:p>
        </w:tc>
      </w:tr>
      <w:tr w:rsidR="00DA71C0" w:rsidRPr="008778F5" w14:paraId="652EFB82" w14:textId="77777777" w:rsidTr="00DA71C0">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352C695E"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2023-12-18</w:t>
            </w:r>
          </w:p>
        </w:tc>
        <w:tc>
          <w:tcPr>
            <w:tcW w:w="2410" w:type="dxa"/>
            <w:tcBorders>
              <w:top w:val="single" w:sz="4" w:space="0" w:color="auto"/>
              <w:left w:val="single" w:sz="4" w:space="0" w:color="auto"/>
              <w:bottom w:val="single" w:sz="4" w:space="0" w:color="auto"/>
              <w:right w:val="single" w:sz="4" w:space="0" w:color="auto"/>
            </w:tcBorders>
            <w:vAlign w:val="center"/>
          </w:tcPr>
          <w:p w14:paraId="03D30EB3"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3.500,00 EUR</w:t>
            </w:r>
          </w:p>
        </w:tc>
        <w:tc>
          <w:tcPr>
            <w:tcW w:w="3260" w:type="dxa"/>
            <w:tcBorders>
              <w:top w:val="single" w:sz="4" w:space="0" w:color="auto"/>
              <w:left w:val="single" w:sz="4" w:space="0" w:color="auto"/>
              <w:bottom w:val="single" w:sz="4" w:space="0" w:color="auto"/>
              <w:right w:val="single" w:sz="4" w:space="0" w:color="auto"/>
            </w:tcBorders>
            <w:vAlign w:val="center"/>
          </w:tcPr>
          <w:p w14:paraId="52E78A72"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single" w:sz="4" w:space="0" w:color="auto"/>
              <w:left w:val="single" w:sz="4" w:space="0" w:color="auto"/>
              <w:bottom w:val="single" w:sz="4" w:space="0" w:color="auto"/>
              <w:right w:val="single" w:sz="4" w:space="0" w:color="auto"/>
            </w:tcBorders>
            <w:vAlign w:val="center"/>
          </w:tcPr>
          <w:p w14:paraId="17B711B5"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DA71C0" w:rsidRPr="008778F5" w14:paraId="5FFA0885" w14:textId="77777777" w:rsidTr="00DA71C0">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56739140"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2024-01-15</w:t>
            </w:r>
          </w:p>
        </w:tc>
        <w:tc>
          <w:tcPr>
            <w:tcW w:w="2410" w:type="dxa"/>
            <w:tcBorders>
              <w:top w:val="single" w:sz="4" w:space="0" w:color="auto"/>
              <w:left w:val="single" w:sz="4" w:space="0" w:color="auto"/>
              <w:bottom w:val="single" w:sz="4" w:space="0" w:color="auto"/>
              <w:right w:val="single" w:sz="4" w:space="0" w:color="auto"/>
            </w:tcBorders>
            <w:vAlign w:val="center"/>
          </w:tcPr>
          <w:p w14:paraId="2A983B17"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8.486,00 EUR</w:t>
            </w:r>
          </w:p>
        </w:tc>
        <w:tc>
          <w:tcPr>
            <w:tcW w:w="3260" w:type="dxa"/>
            <w:tcBorders>
              <w:top w:val="single" w:sz="4" w:space="0" w:color="auto"/>
              <w:left w:val="single" w:sz="4" w:space="0" w:color="auto"/>
              <w:bottom w:val="single" w:sz="4" w:space="0" w:color="auto"/>
              <w:right w:val="single" w:sz="4" w:space="0" w:color="auto"/>
            </w:tcBorders>
            <w:vAlign w:val="center"/>
          </w:tcPr>
          <w:p w14:paraId="2D1F97FB"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Šildymo sistemos avarija, užpiltos patalpos</w:t>
            </w:r>
          </w:p>
        </w:tc>
        <w:tc>
          <w:tcPr>
            <w:tcW w:w="2835" w:type="dxa"/>
            <w:tcBorders>
              <w:top w:val="single" w:sz="4" w:space="0" w:color="auto"/>
              <w:left w:val="single" w:sz="4" w:space="0" w:color="auto"/>
              <w:bottom w:val="single" w:sz="4" w:space="0" w:color="auto"/>
              <w:right w:val="single" w:sz="4" w:space="0" w:color="auto"/>
            </w:tcBorders>
            <w:vAlign w:val="center"/>
          </w:tcPr>
          <w:p w14:paraId="30163B9F" w14:textId="77777777" w:rsidR="00DA71C0" w:rsidRPr="008778F5" w:rsidRDefault="00DA71C0" w:rsidP="000F4365">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DA71C0" w:rsidRPr="008778F5" w14:paraId="24877CBA" w14:textId="77777777" w:rsidTr="00DA71C0">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1625B448"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2024-05-20</w:t>
            </w:r>
          </w:p>
        </w:tc>
        <w:tc>
          <w:tcPr>
            <w:tcW w:w="2410" w:type="dxa"/>
            <w:tcBorders>
              <w:top w:val="single" w:sz="4" w:space="0" w:color="auto"/>
              <w:left w:val="single" w:sz="4" w:space="0" w:color="auto"/>
              <w:bottom w:val="single" w:sz="4" w:space="0" w:color="auto"/>
              <w:right w:val="single" w:sz="4" w:space="0" w:color="auto"/>
            </w:tcBorders>
            <w:vAlign w:val="center"/>
          </w:tcPr>
          <w:p w14:paraId="3F81D917"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1.489,00 EUR</w:t>
            </w:r>
          </w:p>
        </w:tc>
        <w:tc>
          <w:tcPr>
            <w:tcW w:w="3260" w:type="dxa"/>
            <w:tcBorders>
              <w:top w:val="single" w:sz="4" w:space="0" w:color="auto"/>
              <w:left w:val="single" w:sz="4" w:space="0" w:color="auto"/>
              <w:bottom w:val="single" w:sz="4" w:space="0" w:color="auto"/>
              <w:right w:val="single" w:sz="4" w:space="0" w:color="auto"/>
            </w:tcBorders>
            <w:vAlign w:val="center"/>
          </w:tcPr>
          <w:p w14:paraId="73722444" w14:textId="77777777" w:rsidR="00DA71C0" w:rsidRPr="008778F5" w:rsidRDefault="00DA71C0" w:rsidP="000F4365">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Išdaužti 6 langų stiklo paketai</w:t>
            </w:r>
          </w:p>
        </w:tc>
        <w:tc>
          <w:tcPr>
            <w:tcW w:w="2835" w:type="dxa"/>
            <w:tcBorders>
              <w:top w:val="single" w:sz="4" w:space="0" w:color="auto"/>
              <w:left w:val="single" w:sz="4" w:space="0" w:color="auto"/>
              <w:bottom w:val="single" w:sz="4" w:space="0" w:color="auto"/>
              <w:right w:val="single" w:sz="4" w:space="0" w:color="auto"/>
            </w:tcBorders>
            <w:vAlign w:val="center"/>
          </w:tcPr>
          <w:p w14:paraId="7CE62788" w14:textId="77777777" w:rsidR="00DA71C0" w:rsidRPr="008778F5" w:rsidRDefault="00DA71C0" w:rsidP="000F4365">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1175EC" w:rsidRPr="008778F5" w14:paraId="247E9A89" w14:textId="77777777" w:rsidTr="001175EC">
        <w:trPr>
          <w:trHeight w:val="471"/>
        </w:trPr>
        <w:tc>
          <w:tcPr>
            <w:tcW w:w="9918" w:type="dxa"/>
            <w:gridSpan w:val="4"/>
            <w:tcBorders>
              <w:top w:val="single" w:sz="4" w:space="0" w:color="auto"/>
              <w:left w:val="single" w:sz="4" w:space="0" w:color="auto"/>
              <w:bottom w:val="single" w:sz="4" w:space="0" w:color="auto"/>
              <w:right w:val="single" w:sz="4" w:space="0" w:color="auto"/>
            </w:tcBorders>
            <w:noWrap/>
            <w:vAlign w:val="center"/>
          </w:tcPr>
          <w:p w14:paraId="2CADD985" w14:textId="7D9123E8" w:rsidR="001175EC" w:rsidRPr="001175EC" w:rsidRDefault="001175EC" w:rsidP="000F4365">
            <w:pPr>
              <w:spacing w:after="0" w:line="240" w:lineRule="auto"/>
              <w:rPr>
                <w:rFonts w:ascii="Times New Roman" w:eastAsia="Times New Roman" w:hAnsi="Times New Roman" w:cs="Times New Roman"/>
                <w:b/>
                <w:bCs/>
                <w:color w:val="000000"/>
                <w:sz w:val="24"/>
                <w:szCs w:val="24"/>
              </w:rPr>
            </w:pPr>
            <w:r w:rsidRPr="001175EC">
              <w:rPr>
                <w:rFonts w:ascii="Times New Roman" w:eastAsia="Times New Roman" w:hAnsi="Times New Roman" w:cs="Times New Roman"/>
                <w:b/>
                <w:bCs/>
                <w:color w:val="000000"/>
                <w:sz w:val="24"/>
                <w:szCs w:val="24"/>
              </w:rPr>
              <w:t xml:space="preserve">2024-2025 metų sutarties metu, </w:t>
            </w:r>
            <w:r>
              <w:rPr>
                <w:rFonts w:ascii="Times New Roman" w:eastAsia="Times New Roman" w:hAnsi="Times New Roman" w:cs="Times New Roman"/>
                <w:b/>
                <w:bCs/>
                <w:color w:val="000000"/>
                <w:sz w:val="24"/>
                <w:szCs w:val="24"/>
              </w:rPr>
              <w:t xml:space="preserve">išmokų </w:t>
            </w:r>
            <w:r w:rsidRPr="001175EC">
              <w:rPr>
                <w:rFonts w:ascii="Times New Roman" w:eastAsia="Times New Roman" w:hAnsi="Times New Roman" w:cs="Times New Roman"/>
                <w:b/>
                <w:bCs/>
                <w:color w:val="000000"/>
                <w:sz w:val="24"/>
                <w:szCs w:val="24"/>
              </w:rPr>
              <w:t>nebuvo pagal draudžiamo turto objektus.</w:t>
            </w:r>
          </w:p>
        </w:tc>
      </w:tr>
    </w:tbl>
    <w:p w14:paraId="7CC8A9D5" w14:textId="77777777" w:rsidR="00DA71C0" w:rsidRPr="008778F5" w:rsidRDefault="00DA71C0" w:rsidP="00DA71C0">
      <w:pPr>
        <w:spacing w:after="0" w:line="240" w:lineRule="auto"/>
        <w:rPr>
          <w:rFonts w:ascii="Times New Roman" w:eastAsia="Times New Roman" w:hAnsi="Times New Roman" w:cs="Times New Roman"/>
          <w:sz w:val="24"/>
          <w:szCs w:val="20"/>
          <w:lang w:val="pt-BR"/>
        </w:rPr>
      </w:pPr>
    </w:p>
    <w:p w14:paraId="39284E69" w14:textId="77777777" w:rsidR="00DA71C0" w:rsidRDefault="00DA71C0" w:rsidP="00DA71C0">
      <w:pPr>
        <w:spacing w:after="0" w:line="240" w:lineRule="auto"/>
        <w:rPr>
          <w:rFonts w:ascii="Times New Roman" w:eastAsia="Times New Roman" w:hAnsi="Times New Roman" w:cs="Times New Roman"/>
          <w:sz w:val="24"/>
          <w:szCs w:val="20"/>
          <w:lang w:val="pt-BR"/>
        </w:rPr>
      </w:pPr>
    </w:p>
    <w:p w14:paraId="2BBA3754" w14:textId="77777777" w:rsidR="0040635E" w:rsidRDefault="0040635E"/>
    <w:sectPr w:rsidR="0040635E" w:rsidSect="00DA71C0">
      <w:pgSz w:w="11906" w:h="16838"/>
      <w:pgMar w:top="1701" w:right="99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54F63"/>
    <w:multiLevelType w:val="hybridMultilevel"/>
    <w:tmpl w:val="9CAAC656"/>
    <w:lvl w:ilvl="0" w:tplc="71A2DFE2">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158057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1C0"/>
    <w:rsid w:val="001175EC"/>
    <w:rsid w:val="00176B73"/>
    <w:rsid w:val="002473C2"/>
    <w:rsid w:val="003B3844"/>
    <w:rsid w:val="0040635E"/>
    <w:rsid w:val="0052348F"/>
    <w:rsid w:val="0069480A"/>
    <w:rsid w:val="006D6401"/>
    <w:rsid w:val="009D59E6"/>
    <w:rsid w:val="00AE2A58"/>
    <w:rsid w:val="00C10F7D"/>
    <w:rsid w:val="00C74B50"/>
    <w:rsid w:val="00DA71C0"/>
    <w:rsid w:val="00E54CF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3A6B3"/>
  <w15:chartTrackingRefBased/>
  <w15:docId w15:val="{DF30FF08-784B-4284-B942-E955A19D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1C0"/>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DA71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A71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A71C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A71C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A71C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A71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71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71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71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71C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A71C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A71C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A71C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A71C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A71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71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71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71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71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71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71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71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71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71C0"/>
    <w:rPr>
      <w:i/>
      <w:iCs/>
      <w:color w:val="404040" w:themeColor="text1" w:themeTint="BF"/>
    </w:rPr>
  </w:style>
  <w:style w:type="paragraph" w:styleId="Sraopastraipa">
    <w:name w:val="List Paragraph"/>
    <w:basedOn w:val="prastasis"/>
    <w:uiPriority w:val="34"/>
    <w:qFormat/>
    <w:rsid w:val="00DA71C0"/>
    <w:pPr>
      <w:ind w:left="720"/>
      <w:contextualSpacing/>
    </w:pPr>
  </w:style>
  <w:style w:type="character" w:styleId="Rykuspabraukimas">
    <w:name w:val="Intense Emphasis"/>
    <w:basedOn w:val="Numatytasispastraiposriftas"/>
    <w:uiPriority w:val="21"/>
    <w:qFormat/>
    <w:rsid w:val="00DA71C0"/>
    <w:rPr>
      <w:i/>
      <w:iCs/>
      <w:color w:val="2F5496" w:themeColor="accent1" w:themeShade="BF"/>
    </w:rPr>
  </w:style>
  <w:style w:type="paragraph" w:styleId="Iskirtacitata">
    <w:name w:val="Intense Quote"/>
    <w:basedOn w:val="prastasis"/>
    <w:next w:val="prastasis"/>
    <w:link w:val="IskirtacitataDiagrama"/>
    <w:uiPriority w:val="30"/>
    <w:qFormat/>
    <w:rsid w:val="00DA71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A71C0"/>
    <w:rPr>
      <w:i/>
      <w:iCs/>
      <w:color w:val="2F5496" w:themeColor="accent1" w:themeShade="BF"/>
    </w:rPr>
  </w:style>
  <w:style w:type="character" w:styleId="Rykinuoroda">
    <w:name w:val="Intense Reference"/>
    <w:basedOn w:val="Numatytasispastraiposriftas"/>
    <w:uiPriority w:val="32"/>
    <w:qFormat/>
    <w:rsid w:val="00DA71C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5580</Words>
  <Characters>3181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Panavas | UADBB Rizikos cesija</dc:creator>
  <cp:keywords/>
  <dc:description/>
  <cp:lastModifiedBy>Rasa Povilaitienė</cp:lastModifiedBy>
  <cp:revision>6</cp:revision>
  <dcterms:created xsi:type="dcterms:W3CDTF">2025-08-05T11:32:00Z</dcterms:created>
  <dcterms:modified xsi:type="dcterms:W3CDTF">2025-08-21T07:09:00Z</dcterms:modified>
</cp:coreProperties>
</file>