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95"/>
        <w:gridCol w:w="2362"/>
        <w:gridCol w:w="2571"/>
      </w:tblGrid>
      <w:tr w:rsidR="00794F5F" w:rsidRPr="004D4B7E" w14:paraId="079717A4" w14:textId="77777777" w:rsidTr="00794F5F">
        <w:tc>
          <w:tcPr>
            <w:tcW w:w="2830" w:type="dxa"/>
          </w:tcPr>
          <w:p w14:paraId="24BA92D1" w14:textId="77777777" w:rsidR="00794F5F" w:rsidRPr="004D4B7E" w:rsidRDefault="00794F5F" w:rsidP="00794F5F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728" w:type="dxa"/>
            <w:gridSpan w:val="3"/>
          </w:tcPr>
          <w:p w14:paraId="249F1FE3" w14:textId="0B910700" w:rsidR="00794F5F" w:rsidRPr="004D4B7E" w:rsidRDefault="00794F5F" w:rsidP="00794F5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E1ABA">
              <w:rPr>
                <w:rFonts w:ascii="Cambria" w:hAnsi="Cambria"/>
                <w:kern w:val="2"/>
                <w:sz w:val="20"/>
              </w:rPr>
              <w:t>Lubų konsolės, pritaikytos endoskopinei įrangai pakabinti ir chirurginio šviestuvo komplektas</w:t>
            </w:r>
          </w:p>
        </w:tc>
      </w:tr>
      <w:tr w:rsidR="003470BD" w:rsidRPr="004D4B7E" w14:paraId="56375B6F" w14:textId="77777777" w:rsidTr="00794F5F">
        <w:tc>
          <w:tcPr>
            <w:tcW w:w="2830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795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794F5F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794F5F" w:rsidRPr="004D4B7E" w:rsidRDefault="00794F5F" w:rsidP="00794F5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A4B8" w14:textId="77777777" w:rsidR="00794F5F" w:rsidRPr="00321EFD" w:rsidRDefault="00794F5F" w:rsidP="00794F5F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>
              <w:rPr>
                <w:rFonts w:ascii="Cambria" w:hAnsi="Cambria"/>
                <w:b/>
                <w:kern w:val="2"/>
                <w:sz w:val="20"/>
              </w:rPr>
              <w:t>l</w:t>
            </w:r>
            <w:r w:rsidRPr="00FE1ABA">
              <w:rPr>
                <w:rFonts w:ascii="Cambria" w:hAnsi="Cambria"/>
                <w:b/>
                <w:kern w:val="2"/>
                <w:sz w:val="20"/>
              </w:rPr>
              <w:t>ubų konsolės, pritaikytos endoskopinei įrangai pakabinti ir chirurginio šviestuvo komplekt</w:t>
            </w:r>
            <w:r>
              <w:rPr>
                <w:rFonts w:ascii="Cambria" w:hAnsi="Cambria"/>
                <w:b/>
                <w:kern w:val="2"/>
                <w:sz w:val="20"/>
              </w:rPr>
              <w:t>ą</w:t>
            </w:r>
            <w:r w:rsidRPr="00FE1ABA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(įskaitant sumontavimą, pajungimą bei testavimą)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 likusių įpakavimo medžiagų išvežimą (utilizavimą), Pirkėjo specialistų apmokymą naudotis Prekėmis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62D41177" w:rsidR="00794F5F" w:rsidRPr="004D4B7E" w:rsidRDefault="00794F5F" w:rsidP="00794F5F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BDD248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195A1F">
              <w:rPr>
                <w:rFonts w:ascii="Cambria" w:hAnsi="Cambria"/>
                <w:b/>
                <w:kern w:val="2"/>
                <w:sz w:val="20"/>
              </w:rPr>
              <w:t>„</w:t>
            </w:r>
            <w:r w:rsidR="00794F5F" w:rsidRPr="00FE1ABA">
              <w:rPr>
                <w:rFonts w:ascii="Cambria" w:hAnsi="Cambria"/>
                <w:kern w:val="2"/>
                <w:sz w:val="20"/>
              </w:rPr>
              <w:t>Lubų konsolės, pritaikytos endoskopinei įrangai pakabinti ir chirurginio šviestuvo komplektas</w:t>
            </w:r>
            <w:r w:rsidRPr="00195A1F">
              <w:rPr>
                <w:rFonts w:ascii="Cambria" w:hAnsi="Cambria"/>
                <w:b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15994E0B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 w:rsidR="00794F5F">
              <w:rPr>
                <w:rFonts w:ascii="Cambria" w:hAnsi="Cambria"/>
                <w:b/>
                <w:kern w:val="2"/>
                <w:sz w:val="20"/>
              </w:rPr>
              <w:t>16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 w:rsidR="00794F5F">
              <w:rPr>
                <w:rFonts w:ascii="Cambria" w:hAnsi="Cambria"/>
                <w:b/>
                <w:kern w:val="2"/>
                <w:sz w:val="20"/>
              </w:rPr>
              <w:t>šešiolika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 w:rsidR="00794F5F">
              <w:rPr>
                <w:rFonts w:ascii="Cambria" w:hAnsi="Cambria"/>
                <w:b/>
                <w:kern w:val="2"/>
                <w:sz w:val="20"/>
              </w:rPr>
              <w:t>čių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782B3773" w:rsidR="003470BD" w:rsidRPr="004D4B7E" w:rsidRDefault="00794F5F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</w:rPr>
              <w:t>(įskaitant sumontavimą, pajungimą bei testavimą)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>
              <w:rPr>
                <w:rFonts w:ascii="Cambria" w:hAnsi="Cambria"/>
                <w:sz w:val="20"/>
              </w:rPr>
              <w:t>ir</w:t>
            </w:r>
            <w:r w:rsidRPr="00394D02">
              <w:rPr>
                <w:rFonts w:ascii="Cambria" w:hAnsi="Cambria"/>
                <w:sz w:val="20"/>
              </w:rPr>
              <w:t xml:space="preserve"> Pirk</w:t>
            </w:r>
            <w:r>
              <w:rPr>
                <w:rFonts w:ascii="Cambria" w:hAnsi="Cambria"/>
                <w:sz w:val="20"/>
              </w:rPr>
              <w:t>ėjo techninio personalo apmokymą</w:t>
            </w:r>
            <w:r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Pr="00527376">
              <w:rPr>
                <w:rFonts w:ascii="Cambria" w:hAnsi="Cambria"/>
                <w:sz w:val="20"/>
              </w:rPr>
              <w:t xml:space="preserve"> atlikti </w:t>
            </w:r>
            <w:r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60BC1239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kalba</w:t>
            </w:r>
            <w:r w:rsidR="00794F5F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10.1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</w:t>
            </w:r>
            <w:r w:rsidR="00794F5F">
              <w:rPr>
                <w:rFonts w:ascii="Cambria" w:hAnsi="Cambria"/>
                <w:kern w:val="2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>
              <w:rPr>
                <w:rFonts w:ascii="Cambria" w:hAnsi="Cambria"/>
                <w:kern w:val="2"/>
                <w:sz w:val="20"/>
              </w:rPr>
              <w:t>10.2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794F5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4BFCEB52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2DB9626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794F5F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794F5F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794F5F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794F5F">
              <w:rPr>
                <w:rFonts w:ascii="Cambria" w:hAnsi="Cambria"/>
                <w:sz w:val="20"/>
              </w:rPr>
              <w:t xml:space="preserve"> per</w:t>
            </w:r>
            <w:r w:rsidR="00761236" w:rsidRPr="00794F5F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794F5F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794F5F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794F5F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F81B10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752D13D1" w:rsidR="00F81B10" w:rsidRPr="004D4B7E" w:rsidRDefault="00794F5F" w:rsidP="00F81B1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F81B10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F81B10" w:rsidRPr="004D4B7E" w:rsidRDefault="00F81B10" w:rsidP="00F81B1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00BD1005" w:rsidR="00F81B10" w:rsidRPr="004D4B7E" w:rsidRDefault="00794F5F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794F5F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0A0" w14:textId="2F1A09B0" w:rsidR="00794F5F" w:rsidRDefault="00794F5F" w:rsidP="00794F5F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230FC58A" w:rsidR="003470BD" w:rsidRPr="004D4B7E" w:rsidRDefault="00794F5F" w:rsidP="00794F5F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794F5F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94F5F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07F1066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35A4E8DB" w14:textId="1285DE32" w:rsidR="003A7DD3" w:rsidRDefault="003A7DD3" w:rsidP="001B1B21">
      <w:pPr>
        <w:jc w:val="center"/>
        <w:rPr>
          <w:rFonts w:ascii="Cambria" w:hAnsi="Cambria"/>
          <w:sz w:val="20"/>
        </w:rPr>
      </w:pPr>
    </w:p>
    <w:tbl>
      <w:tblPr>
        <w:tblW w:w="10602" w:type="dxa"/>
        <w:tblInd w:w="-431" w:type="dxa"/>
        <w:tblLook w:val="04A0" w:firstRow="1" w:lastRow="0" w:firstColumn="1" w:lastColumn="0" w:noHBand="0" w:noVBand="1"/>
      </w:tblPr>
      <w:tblGrid>
        <w:gridCol w:w="710"/>
        <w:gridCol w:w="3118"/>
        <w:gridCol w:w="2275"/>
        <w:gridCol w:w="821"/>
        <w:gridCol w:w="795"/>
        <w:gridCol w:w="926"/>
        <w:gridCol w:w="938"/>
        <w:gridCol w:w="1019"/>
      </w:tblGrid>
      <w:tr w:rsidR="003A7DD3" w:rsidRPr="003A7DD3" w14:paraId="6C4F5D42" w14:textId="77777777" w:rsidTr="003A7DD3">
        <w:trPr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33FC" w14:textId="77777777" w:rsid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621516DB" w14:textId="3E449C19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ABB8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9BB8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E93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0E1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B968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CA88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B812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3A7DD3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3A7DD3" w:rsidRPr="003A7DD3" w14:paraId="512C25B0" w14:textId="77777777" w:rsidTr="003A7DD3">
        <w:trPr>
          <w:trHeight w:val="4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99B32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AE7F" w14:textId="77777777" w:rsidR="003A7DD3" w:rsidRPr="003A7DD3" w:rsidRDefault="003A7DD3" w:rsidP="003A7DD3">
            <w:pPr>
              <w:jc w:val="both"/>
              <w:rPr>
                <w:rFonts w:ascii="Cambria" w:hAnsi="Cambria" w:cs="Calibri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sz w:val="20"/>
                <w:lang w:eastAsia="lt-LT"/>
              </w:rPr>
              <w:t>Lubų konsolės, pritaikytos endoskopinei įrangai pakabinti ir chirurginio šviestuvo komplektas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161B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C6BA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9AE5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2E6B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6FA6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6A9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3A7DD3" w:rsidRPr="003A7DD3" w14:paraId="6C35C4C4" w14:textId="77777777" w:rsidTr="003A7DD3">
        <w:trPr>
          <w:trHeight w:val="238"/>
        </w:trPr>
        <w:tc>
          <w:tcPr>
            <w:tcW w:w="9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B80A" w14:textId="468AF539" w:rsidR="003A7DD3" w:rsidRPr="003A7DD3" w:rsidRDefault="003A7DD3" w:rsidP="003A7DD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2F13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A7DD3" w:rsidRPr="003A7DD3" w14:paraId="2E73558C" w14:textId="77777777" w:rsidTr="003A7DD3">
        <w:trPr>
          <w:trHeight w:val="238"/>
        </w:trPr>
        <w:tc>
          <w:tcPr>
            <w:tcW w:w="9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A7D60" w14:textId="644A3710" w:rsidR="003A7DD3" w:rsidRPr="003A7DD3" w:rsidRDefault="003A7DD3" w:rsidP="003A7DD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B48D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3A7DD3" w:rsidRPr="003A7DD3" w14:paraId="5806CD29" w14:textId="77777777" w:rsidTr="003A7DD3">
        <w:trPr>
          <w:trHeight w:val="238"/>
        </w:trPr>
        <w:tc>
          <w:tcPr>
            <w:tcW w:w="9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5AAE9" w14:textId="48764179" w:rsidR="003A7DD3" w:rsidRPr="003A7DD3" w:rsidRDefault="003A7DD3" w:rsidP="003A7DD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853" w14:textId="77777777" w:rsidR="003A7DD3" w:rsidRPr="003A7DD3" w:rsidRDefault="003A7DD3" w:rsidP="003A7DD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A7DD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4A9E654" w14:textId="77777777" w:rsidR="003A7DD3" w:rsidRPr="00321EFD" w:rsidRDefault="003A7DD3" w:rsidP="001B1B21">
      <w:pPr>
        <w:jc w:val="center"/>
        <w:rPr>
          <w:rFonts w:ascii="Cambria" w:hAnsi="Cambria"/>
          <w:sz w:val="20"/>
        </w:rPr>
      </w:pPr>
    </w:p>
    <w:p w14:paraId="7F96B57A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7C45C" w14:textId="77777777" w:rsidR="007C558A" w:rsidRDefault="007C558A">
      <w:r>
        <w:separator/>
      </w:r>
    </w:p>
  </w:endnote>
  <w:endnote w:type="continuationSeparator" w:id="0">
    <w:p w14:paraId="3EBAAC98" w14:textId="77777777" w:rsidR="007C558A" w:rsidRDefault="007C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06C86" w14:textId="77777777" w:rsidR="007C558A" w:rsidRDefault="007C558A">
      <w:r>
        <w:separator/>
      </w:r>
    </w:p>
  </w:footnote>
  <w:footnote w:type="continuationSeparator" w:id="0">
    <w:p w14:paraId="1EB87A3B" w14:textId="77777777" w:rsidR="007C558A" w:rsidRDefault="007C5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A7DD3"/>
    <w:rsid w:val="003B2818"/>
    <w:rsid w:val="003E5D1D"/>
    <w:rsid w:val="004907C1"/>
    <w:rsid w:val="004D4B7E"/>
    <w:rsid w:val="00541169"/>
    <w:rsid w:val="005828DD"/>
    <w:rsid w:val="00587E3C"/>
    <w:rsid w:val="00617C60"/>
    <w:rsid w:val="006576ED"/>
    <w:rsid w:val="00761236"/>
    <w:rsid w:val="007919E1"/>
    <w:rsid w:val="00794F5F"/>
    <w:rsid w:val="007C558A"/>
    <w:rsid w:val="007E7705"/>
    <w:rsid w:val="007F1803"/>
    <w:rsid w:val="008E4772"/>
    <w:rsid w:val="00966341"/>
    <w:rsid w:val="009A0319"/>
    <w:rsid w:val="00B1016E"/>
    <w:rsid w:val="00B20913"/>
    <w:rsid w:val="00B767F3"/>
    <w:rsid w:val="00DA703E"/>
    <w:rsid w:val="00DD7479"/>
    <w:rsid w:val="00EF3B62"/>
    <w:rsid w:val="00F02B08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9817</Words>
  <Characters>5596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2025-08-21T18:08:00Z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