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7833040A" w:rsidR="006E2681" w:rsidRDefault="00BC4F8C" w:rsidP="00FC2013">
      <w:pPr>
        <w:jc w:val="right"/>
      </w:pPr>
      <w:r w:rsidRPr="00BC4F8C">
        <w:t xml:space="preserve">Specialiųjų pirkimo sąlygų </w:t>
      </w:r>
      <w:r w:rsidR="00E33B89">
        <w:t>1</w:t>
      </w:r>
      <w:r w:rsidRPr="00BC4F8C">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318811B5" w:rsidR="00BC4F8C" w:rsidRPr="00BC4F8C" w:rsidRDefault="00BC1BFE" w:rsidP="00FC2013">
            <w:pPr>
              <w:rPr>
                <w:color w:val="FF0000"/>
              </w:rPr>
            </w:pPr>
            <w:r w:rsidRPr="00BC1BFE">
              <w:t>Perkančioji organizacija suteiks galimybę apžiūrėti objektą (nuomojamos įrangos įrengimo ir  prekių pristatymo vietą). Tiekėjai sprendžia patys savarankiškai, ar atvykti apžiūrėti objekto, ar ne. Kontaktinis asmuo dėl apžiūros: Viešosios įstaigos VšĮ Regioninė Mažeikių ligoninė Ūkio skyriaus vedėjas Algirdas Mikuževičius, tel. (0 443) 46827, el. paštas ukis@mazeikiuligonine.lt. Susitikimo metu į kilusius klausimus nebus teikiami atsakymai, nes susitikimas skirtas tik apžiūrai. Tiekėjai, turėdami klausimų po apžiūros, galės juos pateikti pirkimo sąlygose nustatyta tvarka ir terminais Centrinės viešųjų pirkimų informacinės sistemos (CVP IS) priemonėmis</w:t>
            </w:r>
          </w:p>
        </w:tc>
        <w:tc>
          <w:tcPr>
            <w:tcW w:w="2745" w:type="dxa"/>
            <w:shd w:val="clear" w:color="auto" w:fill="auto"/>
            <w:tcMar>
              <w:top w:w="0" w:type="dxa"/>
              <w:left w:w="108" w:type="dxa"/>
              <w:bottom w:w="0" w:type="dxa"/>
              <w:right w:w="108" w:type="dxa"/>
            </w:tcMar>
          </w:tcPr>
          <w:p w14:paraId="6FB8992E" w14:textId="2D90DCA1" w:rsidR="00BC4F8C" w:rsidRPr="00BC1BFE" w:rsidRDefault="00BC1BFE" w:rsidP="00BC4F8C">
            <w:r w:rsidRPr="00BC1BFE">
              <w:t>J. Basanavičiaus g. 24, Mažeikiai, 89217 Mažeikių r. sav.</w:t>
            </w: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28800118" w:rsidR="00BC4F8C" w:rsidRPr="00BC1BFE" w:rsidRDefault="00BC4F8C" w:rsidP="00FC2013">
            <w:pPr>
              <w:rPr>
                <w:color w:val="7030A0"/>
              </w:rPr>
            </w:pPr>
            <w:r w:rsidRPr="00BC4F8C">
              <w:t>NETAIKOMA</w:t>
            </w:r>
          </w:p>
        </w:tc>
        <w:tc>
          <w:tcPr>
            <w:tcW w:w="2745" w:type="dxa"/>
            <w:shd w:val="clear" w:color="auto" w:fill="auto"/>
            <w:tcMar>
              <w:top w:w="0" w:type="dxa"/>
              <w:left w:w="108" w:type="dxa"/>
              <w:bottom w:w="0" w:type="dxa"/>
              <w:right w:w="108" w:type="dxa"/>
            </w:tcMar>
          </w:tcPr>
          <w:p w14:paraId="20CA229D" w14:textId="51B6AF43"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296CE5BB"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51B5F739"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4CDA19B4" w:rsidR="00151182" w:rsidRPr="00BC4F8C" w:rsidRDefault="00151182" w:rsidP="00151182">
            <w:pPr>
              <w:rPr>
                <w:color w:val="00B050"/>
              </w:rPr>
            </w:pP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w:t>
            </w:r>
            <w:r w:rsidRPr="00BC4F8C">
              <w:rPr>
                <w:shd w:val="clear" w:color="auto" w:fill="FFFFFF"/>
              </w:rPr>
              <w:lastRenderedPageBreak/>
              <w:t xml:space="preserve">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lastRenderedPageBreak/>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lastRenderedPageBreak/>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65366"/>
    <w:rsid w:val="003F2EF8"/>
    <w:rsid w:val="00444578"/>
    <w:rsid w:val="0064201F"/>
    <w:rsid w:val="006842EB"/>
    <w:rsid w:val="006E2681"/>
    <w:rsid w:val="007171DE"/>
    <w:rsid w:val="00740FF2"/>
    <w:rsid w:val="007570ED"/>
    <w:rsid w:val="00760A68"/>
    <w:rsid w:val="007D4D6A"/>
    <w:rsid w:val="008D52AF"/>
    <w:rsid w:val="00924050"/>
    <w:rsid w:val="00965BC8"/>
    <w:rsid w:val="00B47EC1"/>
    <w:rsid w:val="00BC1BFE"/>
    <w:rsid w:val="00BC4F8C"/>
    <w:rsid w:val="00CE272C"/>
    <w:rsid w:val="00E011C0"/>
    <w:rsid w:val="00E33B89"/>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Agnė Jarušauskaitė</cp:lastModifiedBy>
  <cp:revision>3</cp:revision>
  <dcterms:created xsi:type="dcterms:W3CDTF">2025-08-21T08:54:00Z</dcterms:created>
  <dcterms:modified xsi:type="dcterms:W3CDTF">2025-08-21T15:51:00Z</dcterms:modified>
</cp:coreProperties>
</file>