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B87F3" w14:textId="69E8CB99" w:rsidR="00DE1444" w:rsidRPr="00124D12" w:rsidRDefault="00DE1444" w:rsidP="00175FBE">
      <w:pPr>
        <w:rPr>
          <w:rFonts w:eastAsia="Times New Roman" w:cstheme="minorHAnsi"/>
          <w:noProof/>
          <w:sz w:val="24"/>
          <w:szCs w:val="24"/>
        </w:rPr>
      </w:pPr>
      <w:r>
        <w:rPr>
          <w:sz w:val="24"/>
          <w:szCs w:val="24"/>
        </w:rPr>
        <w:tab/>
      </w:r>
      <w:r>
        <w:rPr>
          <w:sz w:val="24"/>
          <w:szCs w:val="24"/>
        </w:rPr>
        <w:tab/>
      </w:r>
      <w:r>
        <w:rPr>
          <w:sz w:val="24"/>
          <w:szCs w:val="24"/>
        </w:rPr>
        <w:tab/>
        <w:t xml:space="preserve">                                                   </w:t>
      </w:r>
    </w:p>
    <w:p w14:paraId="30EB28D4" w14:textId="08999651" w:rsidR="00BD7909" w:rsidRPr="00124D12" w:rsidRDefault="00D412ED" w:rsidP="00D412ED">
      <w:pPr>
        <w:tabs>
          <w:tab w:val="left" w:pos="7455"/>
        </w:tabs>
        <w:spacing w:after="0" w:line="240" w:lineRule="auto"/>
        <w:rPr>
          <w:rFonts w:cstheme="minorHAnsi"/>
          <w:b/>
          <w:sz w:val="24"/>
          <w:szCs w:val="24"/>
        </w:rPr>
      </w:pPr>
      <w:r>
        <w:rPr>
          <w:color w:val="000000" w:themeColor="text1"/>
          <w:sz w:val="24"/>
          <w:szCs w:val="24"/>
        </w:rPr>
        <w:t>To providers</w:t>
      </w:r>
      <w:r>
        <w:rPr>
          <w:color w:val="000000" w:themeColor="text1"/>
          <w:sz w:val="24"/>
          <w:szCs w:val="24"/>
        </w:rPr>
        <w:tab/>
      </w:r>
      <w:r>
        <w:rPr>
          <w:sz w:val="24"/>
          <w:szCs w:val="24"/>
        </w:rPr>
        <w:t>15-11-2018</w:t>
      </w:r>
    </w:p>
    <w:p w14:paraId="488A25A8" w14:textId="77777777" w:rsidR="00BD7909" w:rsidRPr="00124D12" w:rsidRDefault="00BD7909" w:rsidP="00B7087E">
      <w:pPr>
        <w:jc w:val="both"/>
        <w:rPr>
          <w:rFonts w:cstheme="minorHAnsi"/>
          <w:b/>
          <w:sz w:val="24"/>
          <w:szCs w:val="24"/>
        </w:rPr>
      </w:pPr>
    </w:p>
    <w:p w14:paraId="76D3734C" w14:textId="77777777" w:rsidR="00B7087E" w:rsidRPr="00124D12" w:rsidRDefault="00B7087E" w:rsidP="00B7087E">
      <w:pPr>
        <w:jc w:val="both"/>
        <w:rPr>
          <w:rFonts w:cstheme="minorHAnsi"/>
          <w:b/>
          <w:sz w:val="24"/>
          <w:szCs w:val="24"/>
        </w:rPr>
      </w:pPr>
      <w:r>
        <w:rPr>
          <w:b/>
          <w:sz w:val="24"/>
          <w:szCs w:val="24"/>
        </w:rPr>
        <w:t>REGARDING THE DYNAMIC PROCUREMENT SYSTEM No. 2018/ PCSP-1-11</w:t>
      </w:r>
      <w:r>
        <w:rPr>
          <w:b/>
          <w:caps/>
          <w:sz w:val="24"/>
          <w:szCs w:val="24"/>
        </w:rPr>
        <w:t xml:space="preserve"> </w:t>
      </w:r>
    </w:p>
    <w:p w14:paraId="28FB1F93" w14:textId="4F17EFF8" w:rsidR="00DE1444" w:rsidRPr="00124D12" w:rsidRDefault="00AD4E6E" w:rsidP="00BA2E95">
      <w:pPr>
        <w:tabs>
          <w:tab w:val="left" w:pos="993"/>
        </w:tabs>
        <w:spacing w:after="0" w:line="240" w:lineRule="auto"/>
        <w:jc w:val="both"/>
        <w:rPr>
          <w:rFonts w:eastAsia="Times New Roman" w:cstheme="minorHAnsi"/>
          <w:noProof/>
          <w:spacing w:val="-6"/>
          <w:sz w:val="24"/>
          <w:szCs w:val="24"/>
        </w:rPr>
      </w:pPr>
      <w:r>
        <w:rPr>
          <w:sz w:val="24"/>
          <w:szCs w:val="24"/>
        </w:rPr>
        <w:tab/>
        <w:t xml:space="preserve">Upon receiving a number of inquiries regarding </w:t>
      </w:r>
      <w:r>
        <w:rPr>
          <w:i/>
          <w:sz w:val="24"/>
          <w:szCs w:val="24"/>
        </w:rPr>
        <w:t>2018/PCSP-1-11 The Procurement of Consultation Services Regarding the Modelling, Optimisation, and Digitisation of Operations</w:t>
      </w:r>
      <w:r>
        <w:rPr>
          <w:sz w:val="24"/>
          <w:szCs w:val="24"/>
        </w:rPr>
        <w:t xml:space="preserve"> (hereinafter referred to as International Procurement Conducted Using the Dynamic Procurement System) from the provider, JSC </w:t>
      </w:r>
      <w:proofErr w:type="spellStart"/>
      <w:r>
        <w:rPr>
          <w:sz w:val="24"/>
          <w:szCs w:val="24"/>
        </w:rPr>
        <w:t>Lietuvos</w:t>
      </w:r>
      <w:proofErr w:type="spellEnd"/>
      <w:r>
        <w:rPr>
          <w:sz w:val="24"/>
          <w:szCs w:val="24"/>
        </w:rPr>
        <w:t xml:space="preserve"> </w:t>
      </w:r>
      <w:proofErr w:type="spellStart"/>
      <w:r>
        <w:rPr>
          <w:sz w:val="24"/>
          <w:szCs w:val="24"/>
        </w:rPr>
        <w:t>Geležinkeliai</w:t>
      </w:r>
      <w:proofErr w:type="spellEnd"/>
      <w:r>
        <w:rPr>
          <w:sz w:val="24"/>
          <w:szCs w:val="24"/>
        </w:rPr>
        <w:t xml:space="preserve"> (hereinafter referred to as the </w:t>
      </w:r>
      <w:r>
        <w:rPr>
          <w:b/>
          <w:sz w:val="24"/>
          <w:szCs w:val="24"/>
        </w:rPr>
        <w:t>Contracting Entity</w:t>
      </w:r>
      <w:r>
        <w:rPr>
          <w:sz w:val="24"/>
          <w:szCs w:val="24"/>
        </w:rPr>
        <w:t>) hereby provides the following answers:</w:t>
      </w:r>
    </w:p>
    <w:tbl>
      <w:tblPr>
        <w:tblStyle w:val="TableGrid"/>
        <w:tblW w:w="0" w:type="auto"/>
        <w:tblLook w:val="04A0" w:firstRow="1" w:lastRow="0" w:firstColumn="1" w:lastColumn="0" w:noHBand="0" w:noVBand="1"/>
      </w:tblPr>
      <w:tblGrid>
        <w:gridCol w:w="561"/>
        <w:gridCol w:w="4623"/>
        <w:gridCol w:w="4444"/>
      </w:tblGrid>
      <w:tr w:rsidR="00F418CF" w:rsidRPr="00124D12" w14:paraId="06AA115E" w14:textId="77777777" w:rsidTr="009465E1">
        <w:tc>
          <w:tcPr>
            <w:tcW w:w="561" w:type="dxa"/>
            <w:tcBorders>
              <w:top w:val="single" w:sz="4" w:space="0" w:color="auto"/>
              <w:left w:val="single" w:sz="4" w:space="0" w:color="auto"/>
              <w:bottom w:val="single" w:sz="4" w:space="0" w:color="auto"/>
              <w:right w:val="single" w:sz="4" w:space="0" w:color="auto"/>
            </w:tcBorders>
            <w:hideMark/>
          </w:tcPr>
          <w:p w14:paraId="44F712B5" w14:textId="77777777" w:rsidR="00F418CF" w:rsidRPr="00124D12" w:rsidRDefault="00F418CF" w:rsidP="00BA2E95">
            <w:pPr>
              <w:suppressAutoHyphens/>
              <w:ind w:right="-30"/>
              <w:jc w:val="both"/>
              <w:rPr>
                <w:rFonts w:eastAsia="Times New Roman" w:cstheme="minorHAnsi"/>
                <w:sz w:val="24"/>
                <w:szCs w:val="24"/>
              </w:rPr>
            </w:pPr>
            <w:r>
              <w:rPr>
                <w:sz w:val="24"/>
                <w:szCs w:val="24"/>
              </w:rPr>
              <w:t>No.</w:t>
            </w:r>
          </w:p>
        </w:tc>
        <w:tc>
          <w:tcPr>
            <w:tcW w:w="4623" w:type="dxa"/>
            <w:tcBorders>
              <w:top w:val="single" w:sz="4" w:space="0" w:color="auto"/>
              <w:left w:val="single" w:sz="4" w:space="0" w:color="auto"/>
              <w:bottom w:val="single" w:sz="4" w:space="0" w:color="auto"/>
              <w:right w:val="single" w:sz="4" w:space="0" w:color="auto"/>
            </w:tcBorders>
            <w:hideMark/>
          </w:tcPr>
          <w:p w14:paraId="55958E75" w14:textId="77777777" w:rsidR="00F418CF" w:rsidRPr="00124D12" w:rsidRDefault="00F418CF" w:rsidP="00BA2E95">
            <w:pPr>
              <w:suppressAutoHyphens/>
              <w:ind w:right="-30"/>
              <w:jc w:val="both"/>
              <w:rPr>
                <w:rFonts w:eastAsia="Times New Roman" w:cstheme="minorHAnsi"/>
                <w:sz w:val="24"/>
                <w:szCs w:val="24"/>
              </w:rPr>
            </w:pPr>
            <w:r>
              <w:rPr>
                <w:sz w:val="24"/>
                <w:szCs w:val="24"/>
              </w:rPr>
              <w:t>Question*</w:t>
            </w:r>
          </w:p>
        </w:tc>
        <w:tc>
          <w:tcPr>
            <w:tcW w:w="4444" w:type="dxa"/>
            <w:tcBorders>
              <w:top w:val="single" w:sz="4" w:space="0" w:color="auto"/>
              <w:left w:val="single" w:sz="4" w:space="0" w:color="auto"/>
              <w:bottom w:val="single" w:sz="4" w:space="0" w:color="auto"/>
              <w:right w:val="single" w:sz="4" w:space="0" w:color="auto"/>
            </w:tcBorders>
            <w:hideMark/>
          </w:tcPr>
          <w:p w14:paraId="6586FD23" w14:textId="77777777" w:rsidR="00F418CF" w:rsidRPr="00124D12" w:rsidRDefault="00F418CF" w:rsidP="00BA2E95">
            <w:pPr>
              <w:suppressAutoHyphens/>
              <w:ind w:right="-30"/>
              <w:jc w:val="both"/>
              <w:rPr>
                <w:rFonts w:eastAsia="Times New Roman" w:cstheme="minorHAnsi"/>
                <w:sz w:val="24"/>
                <w:szCs w:val="24"/>
              </w:rPr>
            </w:pPr>
            <w:r>
              <w:rPr>
                <w:sz w:val="24"/>
                <w:szCs w:val="24"/>
              </w:rPr>
              <w:t>Answer</w:t>
            </w:r>
          </w:p>
        </w:tc>
      </w:tr>
      <w:tr w:rsidR="00F418CF" w:rsidRPr="00124D12" w14:paraId="5C96AF71" w14:textId="77777777" w:rsidTr="009465E1">
        <w:tc>
          <w:tcPr>
            <w:tcW w:w="561" w:type="dxa"/>
            <w:tcBorders>
              <w:top w:val="single" w:sz="4" w:space="0" w:color="auto"/>
              <w:left w:val="single" w:sz="4" w:space="0" w:color="auto"/>
              <w:bottom w:val="single" w:sz="4" w:space="0" w:color="auto"/>
              <w:right w:val="single" w:sz="4" w:space="0" w:color="auto"/>
            </w:tcBorders>
            <w:hideMark/>
          </w:tcPr>
          <w:p w14:paraId="4568FAF8" w14:textId="77777777" w:rsidR="00F418CF" w:rsidRPr="00124D12" w:rsidRDefault="00F418CF" w:rsidP="00BA2E95">
            <w:pPr>
              <w:suppressAutoHyphens/>
              <w:ind w:right="-30"/>
              <w:jc w:val="both"/>
              <w:rPr>
                <w:rFonts w:eastAsia="Times New Roman" w:cstheme="minorHAnsi"/>
                <w:sz w:val="24"/>
                <w:szCs w:val="24"/>
              </w:rPr>
            </w:pPr>
            <w:r>
              <w:rPr>
                <w:sz w:val="24"/>
                <w:szCs w:val="24"/>
              </w:rPr>
              <w:t>1.</w:t>
            </w:r>
          </w:p>
        </w:tc>
        <w:tc>
          <w:tcPr>
            <w:tcW w:w="4623" w:type="dxa"/>
            <w:tcBorders>
              <w:top w:val="single" w:sz="4" w:space="0" w:color="auto"/>
              <w:left w:val="single" w:sz="4" w:space="0" w:color="auto"/>
              <w:bottom w:val="single" w:sz="4" w:space="0" w:color="auto"/>
              <w:right w:val="single" w:sz="4" w:space="0" w:color="auto"/>
            </w:tcBorders>
          </w:tcPr>
          <w:p w14:paraId="6770E24B" w14:textId="3022A1D4" w:rsidR="00F418CF" w:rsidRPr="00124D12" w:rsidRDefault="00124D12" w:rsidP="00BA2E95">
            <w:pPr>
              <w:pStyle w:val="NormalWeb"/>
              <w:spacing w:line="300" w:lineRule="atLeast"/>
              <w:jc w:val="both"/>
              <w:rPr>
                <w:rFonts w:asciiTheme="minorHAnsi" w:hAnsiTheme="minorHAnsi" w:cstheme="minorHAnsi"/>
              </w:rPr>
            </w:pPr>
            <w:r>
              <w:rPr>
                <w:rFonts w:asciiTheme="minorHAnsi" w:hAnsiTheme="minorHAnsi"/>
              </w:rPr>
              <w:t xml:space="preserve">The first tender submission deadline specified in the CPP IS </w:t>
            </w:r>
            <w:proofErr w:type="spellStart"/>
            <w:r>
              <w:rPr>
                <w:rFonts w:asciiTheme="minorHAnsi" w:hAnsiTheme="minorHAnsi"/>
              </w:rPr>
              <w:t>is</w:t>
            </w:r>
            <w:proofErr w:type="spellEnd"/>
            <w:r>
              <w:rPr>
                <w:rFonts w:asciiTheme="minorHAnsi" w:hAnsiTheme="minorHAnsi"/>
              </w:rPr>
              <w:t xml:space="preserve"> 22 November 2018, 10AM, while Clause 2.1 of the Procurement Documents stipulates that, </w:t>
            </w:r>
            <w:r>
              <w:rPr>
                <w:rFonts w:asciiTheme="minorHAnsi" w:hAnsiTheme="minorHAnsi"/>
                <w:i/>
              </w:rPr>
              <w:t>“... Providers may submit their tenders during the entire validity period of the DPS...”</w:t>
            </w:r>
            <w:r>
              <w:rPr>
                <w:rFonts w:asciiTheme="minorHAnsi" w:hAnsiTheme="minorHAnsi"/>
              </w:rPr>
              <w:t>. Please clarify the meaning of the first tender submission deadline: does it mean that 22 November 2018, 10AM marks the beginning of the period for the submission of tenders, which may be submitted during the entire period of validity of the DPS, or is it the deadline following the expiry of which tenders may no longer be submitted?</w:t>
            </w:r>
          </w:p>
        </w:tc>
        <w:tc>
          <w:tcPr>
            <w:tcW w:w="4444" w:type="dxa"/>
            <w:tcBorders>
              <w:top w:val="single" w:sz="4" w:space="0" w:color="auto"/>
              <w:left w:val="single" w:sz="4" w:space="0" w:color="auto"/>
              <w:bottom w:val="single" w:sz="4" w:space="0" w:color="auto"/>
              <w:right w:val="single" w:sz="4" w:space="0" w:color="auto"/>
            </w:tcBorders>
          </w:tcPr>
          <w:p w14:paraId="7FF85017" w14:textId="77777777" w:rsidR="009930AD" w:rsidRDefault="009930AD" w:rsidP="00BA1EE4">
            <w:pPr>
              <w:suppressAutoHyphens/>
              <w:ind w:right="-30"/>
              <w:jc w:val="both"/>
              <w:rPr>
                <w:rFonts w:eastAsia="Times New Roman" w:cstheme="minorHAnsi"/>
                <w:sz w:val="24"/>
                <w:szCs w:val="24"/>
              </w:rPr>
            </w:pPr>
            <w:r>
              <w:rPr>
                <w:sz w:val="24"/>
                <w:szCs w:val="24"/>
              </w:rPr>
              <w:t xml:space="preserve">Tenders will be accepted during the entire period of validity of the dynamic system (hereinafter referred to as the </w:t>
            </w:r>
            <w:r>
              <w:rPr>
                <w:b/>
                <w:sz w:val="24"/>
                <w:szCs w:val="24"/>
              </w:rPr>
              <w:t>DPS</w:t>
            </w:r>
            <w:r>
              <w:rPr>
                <w:sz w:val="24"/>
                <w:szCs w:val="24"/>
              </w:rPr>
              <w:t>).</w:t>
            </w:r>
          </w:p>
          <w:p w14:paraId="78B5A313" w14:textId="6A963A02" w:rsidR="0044687C" w:rsidRDefault="0044687C" w:rsidP="00BA1EE4">
            <w:pPr>
              <w:suppressAutoHyphens/>
              <w:ind w:right="-30"/>
              <w:jc w:val="both"/>
              <w:rPr>
                <w:rFonts w:eastAsia="Times New Roman" w:cstheme="minorHAnsi"/>
                <w:sz w:val="24"/>
                <w:szCs w:val="24"/>
              </w:rPr>
            </w:pPr>
            <w:r>
              <w:rPr>
                <w:sz w:val="24"/>
                <w:szCs w:val="24"/>
              </w:rPr>
              <w:t>Pursuant to the Law on Procurement Conducted by Contracting Entities Operating in the Areas of Water Treatment, Energy, Transport, and Postal Services, a specific procurement may be initiated by the Contracting Entity on 22 November 2018.</w:t>
            </w:r>
          </w:p>
          <w:p w14:paraId="2AB0D2E0" w14:textId="729E5579" w:rsidR="0010554C" w:rsidRPr="00124D12" w:rsidRDefault="0044687C" w:rsidP="00BA1EE4">
            <w:pPr>
              <w:suppressAutoHyphens/>
              <w:ind w:right="-30"/>
              <w:jc w:val="both"/>
              <w:rPr>
                <w:rFonts w:eastAsia="Times New Roman" w:cstheme="minorHAnsi"/>
                <w:sz w:val="24"/>
                <w:szCs w:val="24"/>
              </w:rPr>
            </w:pPr>
            <w:r>
              <w:rPr>
                <w:sz w:val="24"/>
                <w:szCs w:val="24"/>
              </w:rPr>
              <w:t>Also see Answer No. 3.</w:t>
            </w:r>
          </w:p>
        </w:tc>
      </w:tr>
      <w:tr w:rsidR="00F418CF" w:rsidRPr="00124D12" w14:paraId="4B0200D7" w14:textId="77777777" w:rsidTr="009465E1">
        <w:tc>
          <w:tcPr>
            <w:tcW w:w="561" w:type="dxa"/>
            <w:tcBorders>
              <w:top w:val="single" w:sz="4" w:space="0" w:color="auto"/>
              <w:left w:val="single" w:sz="4" w:space="0" w:color="auto"/>
              <w:bottom w:val="single" w:sz="4" w:space="0" w:color="auto"/>
              <w:right w:val="single" w:sz="4" w:space="0" w:color="auto"/>
            </w:tcBorders>
            <w:hideMark/>
          </w:tcPr>
          <w:p w14:paraId="1BD57A9D" w14:textId="74257179" w:rsidR="00F418CF" w:rsidRPr="00124D12" w:rsidRDefault="00F418CF" w:rsidP="00BA2E95">
            <w:pPr>
              <w:suppressAutoHyphens/>
              <w:ind w:right="-30"/>
              <w:jc w:val="both"/>
              <w:rPr>
                <w:rFonts w:eastAsia="Times New Roman" w:cstheme="minorHAnsi"/>
                <w:sz w:val="24"/>
                <w:szCs w:val="24"/>
              </w:rPr>
            </w:pPr>
            <w:r>
              <w:rPr>
                <w:sz w:val="24"/>
                <w:szCs w:val="24"/>
              </w:rPr>
              <w:t xml:space="preserve">2. </w:t>
            </w:r>
          </w:p>
        </w:tc>
        <w:tc>
          <w:tcPr>
            <w:tcW w:w="4623" w:type="dxa"/>
            <w:tcBorders>
              <w:top w:val="single" w:sz="4" w:space="0" w:color="auto"/>
              <w:left w:val="single" w:sz="4" w:space="0" w:color="auto"/>
              <w:bottom w:val="single" w:sz="4" w:space="0" w:color="auto"/>
              <w:right w:val="single" w:sz="4" w:space="0" w:color="auto"/>
            </w:tcBorders>
          </w:tcPr>
          <w:p w14:paraId="46469A30" w14:textId="0974EAB8" w:rsidR="00F418CF" w:rsidRPr="00124D12" w:rsidRDefault="00124D12">
            <w:pPr>
              <w:suppressAutoHyphens/>
              <w:ind w:right="-30"/>
              <w:jc w:val="both"/>
              <w:rPr>
                <w:rFonts w:eastAsia="Times New Roman" w:cstheme="minorHAnsi"/>
                <w:sz w:val="24"/>
                <w:szCs w:val="24"/>
              </w:rPr>
            </w:pPr>
            <w:r>
              <w:rPr>
                <w:sz w:val="24"/>
                <w:szCs w:val="24"/>
              </w:rPr>
              <w:t>When will the second, or subsequent, tendering procedure be announced? How many tendering procedures have been planned to be announced?</w:t>
            </w:r>
          </w:p>
        </w:tc>
        <w:tc>
          <w:tcPr>
            <w:tcW w:w="4444" w:type="dxa"/>
            <w:tcBorders>
              <w:top w:val="single" w:sz="4" w:space="0" w:color="auto"/>
              <w:left w:val="single" w:sz="4" w:space="0" w:color="auto"/>
              <w:bottom w:val="single" w:sz="4" w:space="0" w:color="auto"/>
              <w:right w:val="single" w:sz="4" w:space="0" w:color="auto"/>
            </w:tcBorders>
          </w:tcPr>
          <w:p w14:paraId="1E1C9EBA" w14:textId="61E64AEF" w:rsidR="00F418CF" w:rsidRPr="00124D12" w:rsidRDefault="00067F96" w:rsidP="00BA2E95">
            <w:pPr>
              <w:suppressAutoHyphens/>
              <w:ind w:right="-30"/>
              <w:jc w:val="both"/>
              <w:rPr>
                <w:rFonts w:eastAsia="Times New Roman" w:cstheme="minorHAnsi"/>
                <w:sz w:val="24"/>
                <w:szCs w:val="24"/>
              </w:rPr>
            </w:pPr>
            <w:r>
              <w:rPr>
                <w:sz w:val="24"/>
                <w:szCs w:val="24"/>
              </w:rPr>
              <w:t>Specific procurements will be announced only according to actual need. There is no planned number of specific procurements.</w:t>
            </w:r>
          </w:p>
        </w:tc>
      </w:tr>
      <w:tr w:rsidR="00124D12" w:rsidRPr="00124D12" w14:paraId="1DE6F1D3" w14:textId="77777777" w:rsidTr="009465E1">
        <w:tc>
          <w:tcPr>
            <w:tcW w:w="561" w:type="dxa"/>
            <w:tcBorders>
              <w:top w:val="single" w:sz="4" w:space="0" w:color="auto"/>
              <w:left w:val="single" w:sz="4" w:space="0" w:color="auto"/>
              <w:bottom w:val="single" w:sz="4" w:space="0" w:color="auto"/>
              <w:right w:val="single" w:sz="4" w:space="0" w:color="auto"/>
            </w:tcBorders>
          </w:tcPr>
          <w:p w14:paraId="08E90A34" w14:textId="172EB8A5" w:rsidR="00124D12" w:rsidRPr="00124D12" w:rsidRDefault="009930AD" w:rsidP="00BA2E95">
            <w:pPr>
              <w:suppressAutoHyphens/>
              <w:ind w:right="-30"/>
              <w:jc w:val="both"/>
              <w:rPr>
                <w:rFonts w:eastAsia="Times New Roman" w:cstheme="minorHAnsi"/>
                <w:sz w:val="24"/>
                <w:szCs w:val="24"/>
              </w:rPr>
            </w:pPr>
            <w:r>
              <w:rPr>
                <w:sz w:val="24"/>
                <w:szCs w:val="24"/>
              </w:rPr>
              <w:t>3.</w:t>
            </w:r>
          </w:p>
        </w:tc>
        <w:tc>
          <w:tcPr>
            <w:tcW w:w="4623" w:type="dxa"/>
            <w:tcBorders>
              <w:top w:val="single" w:sz="4" w:space="0" w:color="auto"/>
              <w:left w:val="single" w:sz="4" w:space="0" w:color="auto"/>
              <w:bottom w:val="single" w:sz="4" w:space="0" w:color="auto"/>
              <w:right w:val="single" w:sz="4" w:space="0" w:color="auto"/>
            </w:tcBorders>
          </w:tcPr>
          <w:p w14:paraId="6F3911FA" w14:textId="6C8772B5" w:rsidR="00124D12" w:rsidRPr="00C33B03" w:rsidRDefault="00124D12" w:rsidP="00124D12">
            <w:pPr>
              <w:suppressAutoHyphens/>
              <w:ind w:right="-30"/>
              <w:jc w:val="both"/>
              <w:rPr>
                <w:rFonts w:cstheme="minorHAnsi"/>
                <w:sz w:val="24"/>
                <w:szCs w:val="24"/>
              </w:rPr>
            </w:pPr>
            <w:r>
              <w:rPr>
                <w:sz w:val="24"/>
                <w:szCs w:val="24"/>
              </w:rPr>
              <w:t>Clause 5.4 of the Procurement Documents specifies that, “... Providers may submit only one tender, regardless of whether they are taking part in the procurement individually, or as part of group of Providers...”. Does this requirement apply only to the present tendering procedure, or, upon submitting a tender, the same Provider will be eligible to submit other tenders (in accordance with other categories, provided they have not been submitted during the first tendering procedure) during future tendering procedures?</w:t>
            </w:r>
          </w:p>
        </w:tc>
        <w:tc>
          <w:tcPr>
            <w:tcW w:w="4444" w:type="dxa"/>
            <w:tcBorders>
              <w:top w:val="single" w:sz="4" w:space="0" w:color="auto"/>
              <w:left w:val="single" w:sz="4" w:space="0" w:color="auto"/>
              <w:bottom w:val="single" w:sz="4" w:space="0" w:color="auto"/>
              <w:right w:val="single" w:sz="4" w:space="0" w:color="auto"/>
            </w:tcBorders>
          </w:tcPr>
          <w:p w14:paraId="0C94B925" w14:textId="339011A9" w:rsidR="009930AD" w:rsidRDefault="009930AD">
            <w:pPr>
              <w:suppressAutoHyphens/>
              <w:ind w:right="-30"/>
              <w:jc w:val="both"/>
              <w:rPr>
                <w:rFonts w:cstheme="minorHAnsi"/>
                <w:sz w:val="24"/>
                <w:szCs w:val="24"/>
              </w:rPr>
            </w:pPr>
            <w:r>
              <w:rPr>
                <w:sz w:val="24"/>
                <w:szCs w:val="24"/>
              </w:rPr>
              <w:t xml:space="preserve">When submitting tenders, Providers must specify which categories they want to participate in. </w:t>
            </w:r>
          </w:p>
          <w:p w14:paraId="678515A4" w14:textId="77777777" w:rsidR="00124D12" w:rsidRDefault="009930AD">
            <w:pPr>
              <w:suppressAutoHyphens/>
              <w:ind w:right="-30"/>
              <w:jc w:val="both"/>
              <w:rPr>
                <w:rFonts w:cstheme="minorHAnsi"/>
                <w:sz w:val="24"/>
                <w:szCs w:val="24"/>
              </w:rPr>
            </w:pPr>
            <w:r>
              <w:rPr>
                <w:sz w:val="24"/>
                <w:szCs w:val="24"/>
              </w:rPr>
              <w:t>E.g., if a Provider has submitted a tender for categories 1 and 5, the same Provider may also submit tenders for other categories during the period of validity of the DPS.</w:t>
            </w:r>
          </w:p>
          <w:p w14:paraId="7B73A0A6" w14:textId="2B2137E6" w:rsidR="009930AD" w:rsidRPr="00124D12" w:rsidDel="00124D12" w:rsidRDefault="00B73863">
            <w:pPr>
              <w:suppressAutoHyphens/>
              <w:ind w:right="-30"/>
              <w:jc w:val="both"/>
              <w:rPr>
                <w:rFonts w:cstheme="minorHAnsi"/>
                <w:sz w:val="24"/>
                <w:szCs w:val="24"/>
              </w:rPr>
            </w:pPr>
            <w:r>
              <w:rPr>
                <w:sz w:val="24"/>
                <w:szCs w:val="24"/>
              </w:rPr>
              <w:t>If a Provider has submitted a tender for categories 1 and 5, and has been deemed compliant with the requirements of the DPS, said Provider will be eligible to take part only in specific procurements relating to categories 1 and 5.</w:t>
            </w:r>
          </w:p>
        </w:tc>
      </w:tr>
      <w:tr w:rsidR="00124D12" w:rsidRPr="00124D12" w14:paraId="4EC7D7E3" w14:textId="77777777" w:rsidTr="009465E1">
        <w:tc>
          <w:tcPr>
            <w:tcW w:w="561" w:type="dxa"/>
            <w:tcBorders>
              <w:top w:val="single" w:sz="4" w:space="0" w:color="auto"/>
              <w:left w:val="single" w:sz="4" w:space="0" w:color="auto"/>
              <w:bottom w:val="single" w:sz="4" w:space="0" w:color="auto"/>
              <w:right w:val="single" w:sz="4" w:space="0" w:color="auto"/>
            </w:tcBorders>
          </w:tcPr>
          <w:p w14:paraId="4AD0C82F" w14:textId="779C318E" w:rsidR="00124D12" w:rsidRPr="00124D12" w:rsidRDefault="009930AD" w:rsidP="00BA2E95">
            <w:pPr>
              <w:suppressAutoHyphens/>
              <w:ind w:right="-30"/>
              <w:jc w:val="both"/>
              <w:rPr>
                <w:rFonts w:eastAsia="Times New Roman" w:cstheme="minorHAnsi"/>
                <w:sz w:val="24"/>
                <w:szCs w:val="24"/>
              </w:rPr>
            </w:pPr>
            <w:r>
              <w:rPr>
                <w:sz w:val="24"/>
                <w:szCs w:val="24"/>
              </w:rPr>
              <w:t>4.</w:t>
            </w:r>
          </w:p>
        </w:tc>
        <w:tc>
          <w:tcPr>
            <w:tcW w:w="4623" w:type="dxa"/>
            <w:tcBorders>
              <w:top w:val="single" w:sz="4" w:space="0" w:color="auto"/>
              <w:left w:val="single" w:sz="4" w:space="0" w:color="auto"/>
              <w:bottom w:val="single" w:sz="4" w:space="0" w:color="auto"/>
              <w:right w:val="single" w:sz="4" w:space="0" w:color="auto"/>
            </w:tcBorders>
          </w:tcPr>
          <w:p w14:paraId="1B6F3995" w14:textId="77777777" w:rsidR="00124D12" w:rsidRPr="00C33B03" w:rsidRDefault="00124D12" w:rsidP="00124D12">
            <w:pPr>
              <w:pStyle w:val="NormalWeb"/>
              <w:spacing w:line="300" w:lineRule="atLeast"/>
              <w:jc w:val="both"/>
              <w:rPr>
                <w:rFonts w:asciiTheme="minorHAnsi" w:hAnsiTheme="minorHAnsi" w:cstheme="minorHAnsi"/>
                <w:color w:val="333333"/>
              </w:rPr>
            </w:pPr>
            <w:r>
              <w:rPr>
                <w:rStyle w:val="Emphasis"/>
                <w:rFonts w:asciiTheme="minorHAnsi" w:hAnsiTheme="minorHAnsi"/>
                <w:i w:val="0"/>
                <w:color w:val="333333"/>
              </w:rPr>
              <w:t xml:space="preserve">Annex No. 4, Qualification Requirement for Providers, to the Procurement conditions </w:t>
            </w:r>
            <w:r>
              <w:rPr>
                <w:rStyle w:val="Emphasis"/>
                <w:rFonts w:asciiTheme="minorHAnsi" w:hAnsiTheme="minorHAnsi"/>
                <w:i w:val="0"/>
                <w:color w:val="333333"/>
              </w:rPr>
              <w:lastRenderedPageBreak/>
              <w:t>specifies that tenders shall be submitted together with the filled out Annex No. 6, List of Specialists, to the Special Conditions. The Annex also specifies that the Company shall have the right to contact the employers of the specialist, as well as the project clients, indicated in the curriculum vitae regarding feedback on the specialist, yet there are no other requirements regarding what must be specified in the curriculum vitae.</w:t>
            </w:r>
          </w:p>
          <w:p w14:paraId="469C7CF4" w14:textId="5B1EF7A6" w:rsidR="00124D12" w:rsidRPr="00C33B03" w:rsidRDefault="00124D12" w:rsidP="00124D12">
            <w:pPr>
              <w:suppressAutoHyphens/>
              <w:ind w:right="-30"/>
              <w:jc w:val="both"/>
              <w:rPr>
                <w:rFonts w:cstheme="minorHAnsi"/>
                <w:sz w:val="24"/>
                <w:szCs w:val="24"/>
              </w:rPr>
            </w:pPr>
            <w:r>
              <w:rPr>
                <w:rStyle w:val="Emphasis"/>
                <w:i w:val="0"/>
                <w:color w:val="333333"/>
                <w:sz w:val="24"/>
                <w:szCs w:val="24"/>
              </w:rPr>
              <w:t>Please clarify whether the tender must be submitted together with the curricula vitae of the specialists.</w:t>
            </w:r>
          </w:p>
        </w:tc>
        <w:tc>
          <w:tcPr>
            <w:tcW w:w="4444" w:type="dxa"/>
            <w:tcBorders>
              <w:top w:val="single" w:sz="4" w:space="0" w:color="auto"/>
              <w:left w:val="single" w:sz="4" w:space="0" w:color="auto"/>
              <w:bottom w:val="single" w:sz="4" w:space="0" w:color="auto"/>
              <w:right w:val="single" w:sz="4" w:space="0" w:color="auto"/>
            </w:tcBorders>
          </w:tcPr>
          <w:p w14:paraId="7C727A39" w14:textId="4C0FBF21" w:rsidR="00124D12" w:rsidRPr="00124D12" w:rsidDel="00124D12" w:rsidRDefault="00B73863">
            <w:pPr>
              <w:suppressAutoHyphens/>
              <w:ind w:right="-30"/>
              <w:jc w:val="both"/>
              <w:rPr>
                <w:rFonts w:cstheme="minorHAnsi"/>
                <w:sz w:val="24"/>
                <w:szCs w:val="24"/>
              </w:rPr>
            </w:pPr>
            <w:r>
              <w:rPr>
                <w:rStyle w:val="Emphasis"/>
                <w:i w:val="0"/>
                <w:sz w:val="24"/>
                <w:szCs w:val="24"/>
              </w:rPr>
              <w:lastRenderedPageBreak/>
              <w:t xml:space="preserve">The curricula vitae of specialists are not required, as the Contracting Entity finds the </w:t>
            </w:r>
            <w:r>
              <w:rPr>
                <w:rStyle w:val="Emphasis"/>
                <w:i w:val="0"/>
                <w:sz w:val="24"/>
                <w:szCs w:val="24"/>
              </w:rPr>
              <w:lastRenderedPageBreak/>
              <w:t>information specified in Annex No. 6 to be sufficient.</w:t>
            </w:r>
          </w:p>
        </w:tc>
      </w:tr>
      <w:tr w:rsidR="00124D12" w:rsidRPr="00124D12" w14:paraId="6B7F5D5C" w14:textId="77777777" w:rsidTr="009465E1">
        <w:tc>
          <w:tcPr>
            <w:tcW w:w="561" w:type="dxa"/>
            <w:tcBorders>
              <w:top w:val="single" w:sz="4" w:space="0" w:color="auto"/>
              <w:left w:val="single" w:sz="4" w:space="0" w:color="auto"/>
              <w:bottom w:val="single" w:sz="4" w:space="0" w:color="auto"/>
              <w:right w:val="single" w:sz="4" w:space="0" w:color="auto"/>
            </w:tcBorders>
          </w:tcPr>
          <w:p w14:paraId="6AD04F1D" w14:textId="0677E9D1" w:rsidR="00124D12" w:rsidRPr="00124D12" w:rsidRDefault="009930AD" w:rsidP="00BA2E95">
            <w:pPr>
              <w:suppressAutoHyphens/>
              <w:ind w:right="-30"/>
              <w:jc w:val="both"/>
              <w:rPr>
                <w:rFonts w:eastAsia="Times New Roman" w:cstheme="minorHAnsi"/>
                <w:sz w:val="24"/>
                <w:szCs w:val="24"/>
              </w:rPr>
            </w:pPr>
            <w:r>
              <w:rPr>
                <w:sz w:val="24"/>
                <w:szCs w:val="24"/>
              </w:rPr>
              <w:lastRenderedPageBreak/>
              <w:t>5.</w:t>
            </w:r>
          </w:p>
        </w:tc>
        <w:tc>
          <w:tcPr>
            <w:tcW w:w="4623" w:type="dxa"/>
            <w:tcBorders>
              <w:top w:val="single" w:sz="4" w:space="0" w:color="auto"/>
              <w:left w:val="single" w:sz="4" w:space="0" w:color="auto"/>
              <w:bottom w:val="single" w:sz="4" w:space="0" w:color="auto"/>
              <w:right w:val="single" w:sz="4" w:space="0" w:color="auto"/>
            </w:tcBorders>
          </w:tcPr>
          <w:p w14:paraId="4A0E9950" w14:textId="77777777" w:rsidR="00124D12" w:rsidRPr="00C33B03" w:rsidRDefault="00124D12" w:rsidP="00124D12">
            <w:pPr>
              <w:pStyle w:val="NormalWeb"/>
              <w:spacing w:line="300" w:lineRule="atLeast"/>
              <w:jc w:val="both"/>
              <w:rPr>
                <w:rFonts w:asciiTheme="minorHAnsi" w:hAnsiTheme="minorHAnsi" w:cstheme="minorHAnsi"/>
                <w:color w:val="333333"/>
              </w:rPr>
            </w:pPr>
            <w:r>
              <w:rPr>
                <w:rFonts w:asciiTheme="minorHAnsi" w:hAnsiTheme="minorHAnsi"/>
                <w:color w:val="333333"/>
              </w:rPr>
              <w:t>Is there a possibility to leave out the full names of specialists in the LIST OF SPECIALISTS (Annex No. 6)?</w:t>
            </w:r>
          </w:p>
          <w:p w14:paraId="5477F9AE" w14:textId="34C66137" w:rsidR="00124D12" w:rsidRPr="00C33B03" w:rsidRDefault="00124D12" w:rsidP="00124D12">
            <w:pPr>
              <w:suppressAutoHyphens/>
              <w:ind w:right="-30"/>
              <w:jc w:val="both"/>
              <w:rPr>
                <w:rFonts w:cstheme="minorHAnsi"/>
                <w:sz w:val="24"/>
                <w:szCs w:val="24"/>
              </w:rPr>
            </w:pPr>
            <w:r>
              <w:rPr>
                <w:color w:val="333333"/>
                <w:sz w:val="24"/>
                <w:szCs w:val="24"/>
              </w:rPr>
              <w:t>IBM has many different teams working in different countries, which makes it difficult to specify the aforesaid information in advance.</w:t>
            </w:r>
          </w:p>
        </w:tc>
        <w:tc>
          <w:tcPr>
            <w:tcW w:w="4444" w:type="dxa"/>
            <w:tcBorders>
              <w:top w:val="single" w:sz="4" w:space="0" w:color="auto"/>
              <w:left w:val="single" w:sz="4" w:space="0" w:color="auto"/>
              <w:bottom w:val="single" w:sz="4" w:space="0" w:color="auto"/>
              <w:right w:val="single" w:sz="4" w:space="0" w:color="auto"/>
            </w:tcBorders>
          </w:tcPr>
          <w:p w14:paraId="19B262A7" w14:textId="3AF2E881" w:rsidR="00124D12" w:rsidRPr="00124D12" w:rsidDel="00124D12" w:rsidRDefault="00B73863" w:rsidP="00BA2E95">
            <w:pPr>
              <w:suppressAutoHyphens/>
              <w:ind w:right="-30"/>
              <w:jc w:val="both"/>
              <w:rPr>
                <w:rFonts w:cstheme="minorHAnsi"/>
                <w:sz w:val="24"/>
                <w:szCs w:val="24"/>
              </w:rPr>
            </w:pPr>
            <w:r>
              <w:rPr>
                <w:sz w:val="24"/>
                <w:szCs w:val="24"/>
              </w:rPr>
              <w:t>The indication of full names is mandatory because the qualifications to be inspected relate to specific specialists.</w:t>
            </w:r>
          </w:p>
        </w:tc>
      </w:tr>
      <w:tr w:rsidR="00124D12" w:rsidRPr="00124D12" w14:paraId="2E02929A" w14:textId="77777777" w:rsidTr="009465E1">
        <w:tc>
          <w:tcPr>
            <w:tcW w:w="561" w:type="dxa"/>
            <w:tcBorders>
              <w:top w:val="single" w:sz="4" w:space="0" w:color="auto"/>
              <w:left w:val="single" w:sz="4" w:space="0" w:color="auto"/>
              <w:bottom w:val="single" w:sz="4" w:space="0" w:color="auto"/>
              <w:right w:val="single" w:sz="4" w:space="0" w:color="auto"/>
            </w:tcBorders>
          </w:tcPr>
          <w:p w14:paraId="1CC72E24" w14:textId="4151A4A2" w:rsidR="00124D12" w:rsidRPr="00124D12" w:rsidRDefault="009930AD" w:rsidP="00124D12">
            <w:pPr>
              <w:suppressAutoHyphens/>
              <w:ind w:right="-30"/>
              <w:jc w:val="both"/>
              <w:rPr>
                <w:rFonts w:eastAsia="Times New Roman" w:cstheme="minorHAnsi"/>
                <w:sz w:val="24"/>
                <w:szCs w:val="24"/>
              </w:rPr>
            </w:pPr>
            <w:r>
              <w:rPr>
                <w:sz w:val="24"/>
                <w:szCs w:val="24"/>
              </w:rPr>
              <w:t>6.</w:t>
            </w:r>
          </w:p>
        </w:tc>
        <w:tc>
          <w:tcPr>
            <w:tcW w:w="4623" w:type="dxa"/>
            <w:tcBorders>
              <w:top w:val="single" w:sz="4" w:space="0" w:color="auto"/>
              <w:left w:val="single" w:sz="4" w:space="0" w:color="auto"/>
              <w:bottom w:val="single" w:sz="4" w:space="0" w:color="auto"/>
              <w:right w:val="single" w:sz="4" w:space="0" w:color="auto"/>
            </w:tcBorders>
          </w:tcPr>
          <w:p w14:paraId="44409FDE" w14:textId="77777777" w:rsidR="00124D12" w:rsidRPr="00C33B03" w:rsidRDefault="00124D12" w:rsidP="00124D12">
            <w:pPr>
              <w:pStyle w:val="NormalWeb"/>
              <w:spacing w:line="300" w:lineRule="atLeast"/>
              <w:jc w:val="both"/>
              <w:rPr>
                <w:rFonts w:asciiTheme="minorHAnsi" w:hAnsiTheme="minorHAnsi" w:cstheme="minorHAnsi"/>
                <w:color w:val="333333"/>
              </w:rPr>
            </w:pPr>
            <w:r>
              <w:rPr>
                <w:rStyle w:val="Emphasis"/>
                <w:rFonts w:asciiTheme="minorHAnsi" w:hAnsiTheme="minorHAnsi"/>
                <w:i w:val="0"/>
                <w:color w:val="333333"/>
              </w:rPr>
              <w:t xml:space="preserve">The column Subject which must Comply with the Requirement provided in the first and second lines of the table in Clause 2 Qualification Requirements of Annex No. 4 Qualification Requirements for Providers to the Procurement conditions, specifies that the requirement must be complied with by, “the Provider, the members of a group of providers collectively (or a single member thereof), and/or other economic entity whose capacities the Provider relies on, but only if said Provider successfully proves that the resources of said economic entity will be available to it”. </w:t>
            </w:r>
          </w:p>
          <w:p w14:paraId="7E41D92B" w14:textId="77777777" w:rsidR="00124D12" w:rsidRPr="00C33B03" w:rsidRDefault="00124D12" w:rsidP="00124D12">
            <w:pPr>
              <w:pStyle w:val="NormalWeb"/>
              <w:spacing w:line="300" w:lineRule="atLeast"/>
              <w:jc w:val="both"/>
              <w:rPr>
                <w:rFonts w:asciiTheme="minorHAnsi" w:hAnsiTheme="minorHAnsi" w:cstheme="minorHAnsi"/>
                <w:color w:val="333333"/>
              </w:rPr>
            </w:pPr>
            <w:r>
              <w:rPr>
                <w:rStyle w:val="Emphasis"/>
                <w:rFonts w:asciiTheme="minorHAnsi" w:hAnsiTheme="minorHAnsi"/>
                <w:i w:val="0"/>
                <w:color w:val="333333"/>
              </w:rPr>
              <w:t xml:space="preserve">Please clarify whether the requirements specified in the above clauses must be complied with only by the Provider together with members of a respective group of providers (acting on the joint venture basis), or also the Provider together with another </w:t>
            </w:r>
            <w:r>
              <w:rPr>
                <w:rStyle w:val="Emphasis"/>
                <w:rFonts w:asciiTheme="minorHAnsi" w:hAnsiTheme="minorHAnsi"/>
                <w:i w:val="0"/>
                <w:color w:val="333333"/>
              </w:rPr>
              <w:lastRenderedPageBreak/>
              <w:t>economic entity (sub-provider) whose capacities the Provider relies on?</w:t>
            </w:r>
          </w:p>
          <w:p w14:paraId="3F353870" w14:textId="77777777" w:rsidR="00124D12" w:rsidRPr="00C33B03" w:rsidRDefault="00124D12" w:rsidP="00124D12">
            <w:pPr>
              <w:pStyle w:val="NormalWeb"/>
              <w:spacing w:line="300" w:lineRule="atLeast"/>
              <w:jc w:val="both"/>
              <w:rPr>
                <w:rFonts w:asciiTheme="minorHAnsi" w:hAnsiTheme="minorHAnsi" w:cstheme="minorHAnsi"/>
                <w:color w:val="333333"/>
              </w:rPr>
            </w:pPr>
            <w:r>
              <w:rPr>
                <w:rStyle w:val="Emphasis"/>
                <w:rFonts w:asciiTheme="minorHAnsi" w:hAnsiTheme="minorHAnsi"/>
                <w:i w:val="0"/>
                <w:color w:val="333333"/>
              </w:rPr>
              <w:t> </w:t>
            </w:r>
          </w:p>
          <w:p w14:paraId="2041EB2E" w14:textId="5C43392B" w:rsidR="00124D12" w:rsidRPr="00C33B03" w:rsidRDefault="00124D12" w:rsidP="00124D12">
            <w:pPr>
              <w:suppressAutoHyphens/>
              <w:ind w:right="-30"/>
              <w:jc w:val="both"/>
              <w:rPr>
                <w:rFonts w:cstheme="minorHAnsi"/>
                <w:sz w:val="24"/>
                <w:szCs w:val="24"/>
              </w:rPr>
            </w:pPr>
          </w:p>
        </w:tc>
        <w:tc>
          <w:tcPr>
            <w:tcW w:w="4444" w:type="dxa"/>
            <w:tcBorders>
              <w:top w:val="single" w:sz="4" w:space="0" w:color="auto"/>
              <w:left w:val="single" w:sz="4" w:space="0" w:color="auto"/>
              <w:bottom w:val="single" w:sz="4" w:space="0" w:color="auto"/>
              <w:right w:val="single" w:sz="4" w:space="0" w:color="auto"/>
            </w:tcBorders>
          </w:tcPr>
          <w:p w14:paraId="1BE7FDDC" w14:textId="72611662" w:rsidR="00124D12" w:rsidRPr="00124D12" w:rsidDel="00124D12" w:rsidRDefault="00A62997" w:rsidP="00124D12">
            <w:pPr>
              <w:suppressAutoHyphens/>
              <w:ind w:right="-30"/>
              <w:jc w:val="both"/>
              <w:rPr>
                <w:rFonts w:cstheme="minorHAnsi"/>
                <w:sz w:val="24"/>
                <w:szCs w:val="24"/>
              </w:rPr>
            </w:pPr>
            <w:r>
              <w:rPr>
                <w:sz w:val="24"/>
                <w:szCs w:val="24"/>
              </w:rPr>
              <w:lastRenderedPageBreak/>
              <w:t>Yes, the second option is also eligible.</w:t>
            </w:r>
          </w:p>
        </w:tc>
      </w:tr>
      <w:tr w:rsidR="00124D12" w:rsidRPr="00124D12" w14:paraId="2E346476" w14:textId="77777777" w:rsidTr="009465E1">
        <w:tc>
          <w:tcPr>
            <w:tcW w:w="561" w:type="dxa"/>
            <w:tcBorders>
              <w:top w:val="single" w:sz="4" w:space="0" w:color="auto"/>
              <w:left w:val="single" w:sz="4" w:space="0" w:color="auto"/>
              <w:bottom w:val="single" w:sz="4" w:space="0" w:color="auto"/>
              <w:right w:val="single" w:sz="4" w:space="0" w:color="auto"/>
            </w:tcBorders>
          </w:tcPr>
          <w:p w14:paraId="41E0A225" w14:textId="40542DFF" w:rsidR="00124D12" w:rsidRPr="00124D12" w:rsidRDefault="00B73863" w:rsidP="00124D12">
            <w:pPr>
              <w:suppressAutoHyphens/>
              <w:ind w:right="-30"/>
              <w:jc w:val="both"/>
              <w:rPr>
                <w:rFonts w:eastAsia="Times New Roman" w:cstheme="minorHAnsi"/>
                <w:sz w:val="24"/>
                <w:szCs w:val="24"/>
              </w:rPr>
            </w:pPr>
            <w:r>
              <w:rPr>
                <w:sz w:val="24"/>
                <w:szCs w:val="24"/>
              </w:rPr>
              <w:lastRenderedPageBreak/>
              <w:t>7.</w:t>
            </w:r>
          </w:p>
        </w:tc>
        <w:tc>
          <w:tcPr>
            <w:tcW w:w="4623" w:type="dxa"/>
            <w:tcBorders>
              <w:top w:val="single" w:sz="4" w:space="0" w:color="auto"/>
              <w:left w:val="single" w:sz="4" w:space="0" w:color="auto"/>
              <w:bottom w:val="single" w:sz="4" w:space="0" w:color="auto"/>
              <w:right w:val="single" w:sz="4" w:space="0" w:color="auto"/>
            </w:tcBorders>
          </w:tcPr>
          <w:p w14:paraId="6B8EED74" w14:textId="7636835F" w:rsidR="00B73863" w:rsidRPr="00E163FD" w:rsidRDefault="00B73863" w:rsidP="00B73863">
            <w:pPr>
              <w:pStyle w:val="NormalWeb"/>
              <w:spacing w:line="300" w:lineRule="atLeast"/>
              <w:jc w:val="both"/>
              <w:rPr>
                <w:rFonts w:asciiTheme="minorHAnsi" w:hAnsiTheme="minorHAnsi" w:cstheme="minorHAnsi"/>
                <w:color w:val="333333"/>
              </w:rPr>
            </w:pPr>
            <w:r>
              <w:rPr>
                <w:rStyle w:val="Emphasis"/>
                <w:rFonts w:asciiTheme="minorHAnsi" w:hAnsiTheme="minorHAnsi"/>
                <w:i w:val="0"/>
                <w:color w:val="333333"/>
              </w:rPr>
              <w:t>While the Procurement Documents, including the tender form, have been submitted in the Lithuanian and the English languages, Clause 10.4 of the conditions specifies that, “Tenders shall be drawn up in the Lithuanian language”. If the respective documents have been issued in another language, said documents shall be submitted together with an authorised translation. The authorisation of the translation shall be deemed appropriate if the translated document has been authorised with the signature of the translator and the seal of the translation agency, or, unless specified otherwise in the Special Conditions of the Procurement, the signature and seal of the provider or the person authorised by him/her/it (provided such is available). During the interpretation of the tender, priority shall be given to the translation.  The Contracting Entity shall reserve the right to demand the submission of a translation of the present document which has been authorised with the signature of the translator and the seal of the translation agency, and/or require the signature of the person behind the translation to be authorised by a notary.“  </w:t>
            </w:r>
          </w:p>
          <w:p w14:paraId="61B92ECB" w14:textId="65386A55" w:rsidR="00124D12" w:rsidRPr="00C33B03" w:rsidRDefault="00B73863" w:rsidP="00B73863">
            <w:pPr>
              <w:pStyle w:val="NormalWeb"/>
              <w:spacing w:line="300" w:lineRule="atLeast"/>
              <w:jc w:val="both"/>
              <w:rPr>
                <w:rStyle w:val="Emphasis"/>
                <w:rFonts w:asciiTheme="minorHAnsi" w:hAnsiTheme="minorHAnsi" w:cstheme="minorHAnsi"/>
                <w:color w:val="333333"/>
              </w:rPr>
            </w:pPr>
            <w:r>
              <w:rPr>
                <w:rStyle w:val="Emphasis"/>
                <w:rFonts w:asciiTheme="minorHAnsi" w:hAnsiTheme="minorHAnsi"/>
                <w:i w:val="0"/>
                <w:color w:val="333333"/>
              </w:rPr>
              <w:t>Please clarify the requirement specified in the above clause and provide the opportunity to submit documents (including the table of experts entitled List of Specialists in the Annex No. 6) in the English language as well.</w:t>
            </w:r>
          </w:p>
        </w:tc>
        <w:tc>
          <w:tcPr>
            <w:tcW w:w="4444" w:type="dxa"/>
            <w:tcBorders>
              <w:top w:val="single" w:sz="4" w:space="0" w:color="auto"/>
              <w:left w:val="single" w:sz="4" w:space="0" w:color="auto"/>
              <w:bottom w:val="single" w:sz="4" w:space="0" w:color="auto"/>
              <w:right w:val="single" w:sz="4" w:space="0" w:color="auto"/>
            </w:tcBorders>
          </w:tcPr>
          <w:p w14:paraId="29A12913" w14:textId="0FD33191" w:rsidR="00A62997" w:rsidRPr="00C33B03" w:rsidRDefault="00A62997" w:rsidP="00124D12">
            <w:pPr>
              <w:jc w:val="both"/>
              <w:rPr>
                <w:rFonts w:cstheme="minorHAnsi"/>
                <w:i/>
                <w:sz w:val="24"/>
                <w:szCs w:val="24"/>
              </w:rPr>
            </w:pPr>
            <w:r>
              <w:rPr>
                <w:sz w:val="24"/>
                <w:szCs w:val="24"/>
              </w:rPr>
              <w:t xml:space="preserve">We hereby clarify Clause 10.4 of the DPS conditions, which shall read as follows: </w:t>
            </w:r>
            <w:r>
              <w:rPr>
                <w:i/>
              </w:rPr>
              <w:t>“Tenders shall be drawn up in the Lithuanian</w:t>
            </w:r>
            <w:r w:rsidRPr="00C953F5">
              <w:rPr>
                <w:i/>
                <w:color w:val="FF0000"/>
              </w:rPr>
              <w:t xml:space="preserve"> or the English language.</w:t>
            </w:r>
            <w:r>
              <w:rPr>
                <w:i/>
              </w:rPr>
              <w:t xml:space="preserve"> &lt;...&gt;”</w:t>
            </w:r>
          </w:p>
          <w:p w14:paraId="18451B48" w14:textId="77777777" w:rsidR="00124D12" w:rsidRPr="00124D12" w:rsidRDefault="00124D12" w:rsidP="00124D12">
            <w:pPr>
              <w:suppressAutoHyphens/>
              <w:ind w:right="-30"/>
              <w:jc w:val="both"/>
              <w:rPr>
                <w:rFonts w:eastAsia="Times New Roman" w:cstheme="minorHAnsi"/>
                <w:sz w:val="24"/>
                <w:szCs w:val="24"/>
                <w:lang w:eastAsia="lt-LT"/>
              </w:rPr>
            </w:pPr>
          </w:p>
        </w:tc>
      </w:tr>
    </w:tbl>
    <w:p w14:paraId="26E70595" w14:textId="26B186E2" w:rsidR="00A37993" w:rsidRPr="00124D12" w:rsidRDefault="00A37993" w:rsidP="00BA2E95">
      <w:pPr>
        <w:tabs>
          <w:tab w:val="left" w:pos="0"/>
        </w:tabs>
        <w:jc w:val="both"/>
        <w:rPr>
          <w:rFonts w:cstheme="minorHAnsi"/>
          <w:spacing w:val="-6"/>
          <w:sz w:val="24"/>
          <w:szCs w:val="24"/>
        </w:rPr>
      </w:pPr>
      <w:r>
        <w:rPr>
          <w:sz w:val="24"/>
          <w:szCs w:val="24"/>
        </w:rPr>
        <w:t>* The text of the inquiries of the Provider has not been edited.</w:t>
      </w:r>
    </w:p>
    <w:p w14:paraId="07CDF7EE" w14:textId="77777777" w:rsidR="00F418CF" w:rsidRPr="00124D12" w:rsidRDefault="00F418CF" w:rsidP="00BA2E95">
      <w:pPr>
        <w:spacing w:after="0" w:line="240" w:lineRule="auto"/>
        <w:ind w:right="-87" w:firstLine="567"/>
        <w:jc w:val="both"/>
        <w:rPr>
          <w:rFonts w:eastAsia="Times New Roman" w:cstheme="minorHAnsi"/>
          <w:sz w:val="24"/>
          <w:szCs w:val="24"/>
        </w:rPr>
      </w:pPr>
      <w:r>
        <w:rPr>
          <w:sz w:val="24"/>
          <w:szCs w:val="24"/>
        </w:rPr>
        <w:t>Any and all explanations/clarifications shall be deemed an integral part of the Procurement conditions, and the provisions specified therein shall take precedence over the preceding provisions laid out in the Procurement conditions.</w:t>
      </w:r>
      <w:r>
        <w:rPr>
          <w:i/>
          <w:iCs/>
          <w:sz w:val="24"/>
          <w:szCs w:val="24"/>
        </w:rPr>
        <w:t xml:space="preserve"> </w:t>
      </w:r>
      <w:r>
        <w:rPr>
          <w:sz w:val="24"/>
          <w:szCs w:val="24"/>
        </w:rPr>
        <w:t xml:space="preserve">In case the information provided in the Procurement </w:t>
      </w:r>
      <w:r>
        <w:rPr>
          <w:sz w:val="24"/>
          <w:szCs w:val="24"/>
        </w:rPr>
        <w:lastRenderedPageBreak/>
        <w:t>announcement contradicts the information specified in the other Procurement conditions, information provided in the Procurement announcement shall be deemed correct.</w:t>
      </w:r>
    </w:p>
    <w:p w14:paraId="7CC78361" w14:textId="77777777" w:rsidR="00594166" w:rsidRDefault="00594166" w:rsidP="00142CC5">
      <w:pPr>
        <w:spacing w:after="0" w:line="240" w:lineRule="auto"/>
        <w:ind w:right="-87" w:firstLine="567"/>
        <w:jc w:val="both"/>
        <w:rPr>
          <w:rFonts w:eastAsia="Times New Roman" w:cstheme="minorHAnsi"/>
          <w:sz w:val="24"/>
          <w:szCs w:val="24"/>
        </w:rPr>
      </w:pPr>
    </w:p>
    <w:p w14:paraId="400B6399" w14:textId="77777777" w:rsidR="00067F96" w:rsidRDefault="00067F96" w:rsidP="00142CC5">
      <w:pPr>
        <w:spacing w:after="0" w:line="240" w:lineRule="auto"/>
        <w:ind w:right="-87" w:firstLine="567"/>
        <w:jc w:val="both"/>
        <w:rPr>
          <w:rFonts w:eastAsia="Times New Roman" w:cstheme="minorHAnsi"/>
          <w:sz w:val="24"/>
          <w:szCs w:val="24"/>
        </w:rPr>
      </w:pPr>
    </w:p>
    <w:p w14:paraId="0FF8CB9D" w14:textId="77777777" w:rsidR="00067F96" w:rsidRPr="00124D12" w:rsidRDefault="00067F96" w:rsidP="00142CC5">
      <w:pPr>
        <w:spacing w:after="0" w:line="240" w:lineRule="auto"/>
        <w:ind w:right="-87" w:firstLine="567"/>
        <w:jc w:val="both"/>
        <w:rPr>
          <w:rFonts w:eastAsia="Times New Roman" w:cstheme="minorHAnsi"/>
          <w:sz w:val="24"/>
          <w:szCs w:val="24"/>
        </w:rPr>
      </w:pPr>
    </w:p>
    <w:p w14:paraId="0D082A7C" w14:textId="77777777" w:rsidR="00A37993" w:rsidRPr="00124D12" w:rsidRDefault="00A37993" w:rsidP="00142CC5">
      <w:pPr>
        <w:spacing w:after="0" w:line="240" w:lineRule="auto"/>
        <w:ind w:right="-87" w:firstLine="567"/>
        <w:jc w:val="both"/>
        <w:rPr>
          <w:rFonts w:eastAsia="Times New Roman" w:cstheme="minorHAnsi"/>
          <w:sz w:val="24"/>
          <w:szCs w:val="24"/>
        </w:rPr>
      </w:pPr>
    </w:p>
    <w:p w14:paraId="0D528F79" w14:textId="77777777" w:rsidR="00656441" w:rsidRPr="00124D12" w:rsidRDefault="00D412ED" w:rsidP="00D412ED">
      <w:pPr>
        <w:spacing w:after="0" w:line="240" w:lineRule="auto"/>
        <w:ind w:right="-87"/>
        <w:jc w:val="both"/>
        <w:rPr>
          <w:rFonts w:eastAsia="Times New Roman" w:cstheme="minorHAnsi"/>
          <w:sz w:val="24"/>
          <w:szCs w:val="24"/>
        </w:rPr>
      </w:pPr>
      <w:r>
        <w:rPr>
          <w:sz w:val="24"/>
          <w:szCs w:val="24"/>
        </w:rPr>
        <w:t xml:space="preserve">Respectfully, </w:t>
      </w:r>
    </w:p>
    <w:p w14:paraId="3356BFD1" w14:textId="645DE28B" w:rsidR="00D412ED" w:rsidRPr="00124D12" w:rsidRDefault="00D412ED" w:rsidP="00D412ED">
      <w:pPr>
        <w:rPr>
          <w:rFonts w:cstheme="minorHAnsi"/>
          <w:sz w:val="24"/>
          <w:szCs w:val="24"/>
        </w:rPr>
      </w:pPr>
      <w:r>
        <w:rPr>
          <w:sz w:val="24"/>
          <w:szCs w:val="24"/>
        </w:rPr>
        <w:t xml:space="preserve">President of the Procurement Commission of JSC </w:t>
      </w:r>
      <w:proofErr w:type="spellStart"/>
      <w:r>
        <w:rPr>
          <w:sz w:val="24"/>
          <w:szCs w:val="24"/>
        </w:rPr>
        <w:t>Lietuvos</w:t>
      </w:r>
      <w:proofErr w:type="spellEnd"/>
      <w:r>
        <w:rPr>
          <w:sz w:val="24"/>
          <w:szCs w:val="24"/>
        </w:rPr>
        <w:t xml:space="preserve"> </w:t>
      </w:r>
      <w:proofErr w:type="spellStart"/>
      <w:r>
        <w:rPr>
          <w:sz w:val="24"/>
          <w:szCs w:val="24"/>
        </w:rPr>
        <w:t>Geležinkeliai</w:t>
      </w:r>
      <w:proofErr w:type="spellEnd"/>
      <w:r>
        <w:rPr>
          <w:sz w:val="24"/>
          <w:szCs w:val="24"/>
        </w:rPr>
        <w:t xml:space="preserve"> Audronė </w:t>
      </w:r>
      <w:proofErr w:type="spellStart"/>
      <w:r>
        <w:rPr>
          <w:sz w:val="24"/>
          <w:szCs w:val="24"/>
        </w:rPr>
        <w:t>Raščiauskaitė</w:t>
      </w:r>
      <w:proofErr w:type="spellEnd"/>
    </w:p>
    <w:p w14:paraId="22098ADF" w14:textId="77777777" w:rsidR="00FA77FD" w:rsidRPr="00124D12" w:rsidRDefault="00FA77FD" w:rsidP="00DE1444">
      <w:pPr>
        <w:spacing w:after="0" w:line="240" w:lineRule="auto"/>
        <w:jc w:val="both"/>
        <w:rPr>
          <w:rFonts w:eastAsia="Times New Roman" w:cstheme="minorHAnsi"/>
          <w:noProof/>
          <w:sz w:val="24"/>
          <w:szCs w:val="24"/>
        </w:rPr>
      </w:pPr>
    </w:p>
    <w:p w14:paraId="63214D99" w14:textId="77777777" w:rsidR="00FA77FD" w:rsidRDefault="00FA77FD" w:rsidP="00DE1444">
      <w:pPr>
        <w:spacing w:after="0" w:line="240" w:lineRule="auto"/>
        <w:jc w:val="both"/>
        <w:rPr>
          <w:rFonts w:eastAsia="Times New Roman" w:cstheme="minorHAnsi"/>
          <w:noProof/>
          <w:sz w:val="24"/>
          <w:szCs w:val="24"/>
        </w:rPr>
      </w:pPr>
    </w:p>
    <w:p w14:paraId="56A7F025" w14:textId="77777777" w:rsidR="00067F96" w:rsidRDefault="00067F96" w:rsidP="00DE1444">
      <w:pPr>
        <w:spacing w:after="0" w:line="240" w:lineRule="auto"/>
        <w:jc w:val="both"/>
        <w:rPr>
          <w:rFonts w:eastAsia="Times New Roman" w:cstheme="minorHAnsi"/>
          <w:noProof/>
          <w:sz w:val="24"/>
          <w:szCs w:val="24"/>
        </w:rPr>
      </w:pPr>
    </w:p>
    <w:p w14:paraId="03B4986E" w14:textId="77777777" w:rsidR="00067F96" w:rsidRDefault="00067F96" w:rsidP="00DE1444">
      <w:pPr>
        <w:spacing w:after="0" w:line="240" w:lineRule="auto"/>
        <w:jc w:val="both"/>
        <w:rPr>
          <w:rFonts w:eastAsia="Times New Roman" w:cstheme="minorHAnsi"/>
          <w:noProof/>
          <w:sz w:val="24"/>
          <w:szCs w:val="24"/>
        </w:rPr>
      </w:pPr>
    </w:p>
    <w:p w14:paraId="42487766" w14:textId="77777777" w:rsidR="00067F96" w:rsidRDefault="00067F96" w:rsidP="00DE1444">
      <w:pPr>
        <w:spacing w:after="0" w:line="240" w:lineRule="auto"/>
        <w:jc w:val="both"/>
        <w:rPr>
          <w:rFonts w:eastAsia="Times New Roman" w:cstheme="minorHAnsi"/>
          <w:noProof/>
          <w:sz w:val="24"/>
          <w:szCs w:val="24"/>
        </w:rPr>
      </w:pPr>
    </w:p>
    <w:p w14:paraId="711949CF" w14:textId="77777777" w:rsidR="00067F96" w:rsidRDefault="00067F96" w:rsidP="00DE1444">
      <w:pPr>
        <w:spacing w:after="0" w:line="240" w:lineRule="auto"/>
        <w:jc w:val="both"/>
        <w:rPr>
          <w:rFonts w:eastAsia="Times New Roman" w:cstheme="minorHAnsi"/>
          <w:noProof/>
          <w:sz w:val="24"/>
          <w:szCs w:val="24"/>
        </w:rPr>
      </w:pPr>
    </w:p>
    <w:p w14:paraId="72318E85" w14:textId="77777777" w:rsidR="00067F96" w:rsidRDefault="00067F96" w:rsidP="00DE1444">
      <w:pPr>
        <w:spacing w:after="0" w:line="240" w:lineRule="auto"/>
        <w:jc w:val="both"/>
        <w:rPr>
          <w:rFonts w:eastAsia="Times New Roman" w:cstheme="minorHAnsi"/>
          <w:noProof/>
          <w:sz w:val="24"/>
          <w:szCs w:val="24"/>
        </w:rPr>
      </w:pPr>
    </w:p>
    <w:p w14:paraId="72357C20" w14:textId="77777777" w:rsidR="00067F96" w:rsidRDefault="00067F96" w:rsidP="00DE1444">
      <w:pPr>
        <w:spacing w:after="0" w:line="240" w:lineRule="auto"/>
        <w:jc w:val="both"/>
        <w:rPr>
          <w:rFonts w:eastAsia="Times New Roman" w:cstheme="minorHAnsi"/>
          <w:noProof/>
          <w:sz w:val="24"/>
          <w:szCs w:val="24"/>
        </w:rPr>
      </w:pPr>
    </w:p>
    <w:p w14:paraId="08E7C28D" w14:textId="77777777" w:rsidR="00067F96" w:rsidRDefault="00067F96" w:rsidP="00DE1444">
      <w:pPr>
        <w:spacing w:after="0" w:line="240" w:lineRule="auto"/>
        <w:jc w:val="both"/>
        <w:rPr>
          <w:rFonts w:eastAsia="Times New Roman" w:cstheme="minorHAnsi"/>
          <w:noProof/>
          <w:sz w:val="24"/>
          <w:szCs w:val="24"/>
        </w:rPr>
      </w:pPr>
    </w:p>
    <w:p w14:paraId="3E1F567E" w14:textId="77777777" w:rsidR="00067F96" w:rsidRDefault="00067F96" w:rsidP="00DE1444">
      <w:pPr>
        <w:spacing w:after="0" w:line="240" w:lineRule="auto"/>
        <w:jc w:val="both"/>
        <w:rPr>
          <w:rFonts w:eastAsia="Times New Roman" w:cstheme="minorHAnsi"/>
          <w:noProof/>
          <w:sz w:val="24"/>
          <w:szCs w:val="24"/>
        </w:rPr>
      </w:pPr>
    </w:p>
    <w:p w14:paraId="5345ED40" w14:textId="77777777" w:rsidR="00067F96" w:rsidRDefault="00067F96" w:rsidP="00DE1444">
      <w:pPr>
        <w:spacing w:after="0" w:line="240" w:lineRule="auto"/>
        <w:jc w:val="both"/>
        <w:rPr>
          <w:rFonts w:eastAsia="Times New Roman" w:cstheme="minorHAnsi"/>
          <w:noProof/>
          <w:sz w:val="24"/>
          <w:szCs w:val="24"/>
        </w:rPr>
      </w:pPr>
    </w:p>
    <w:p w14:paraId="3CAB830C" w14:textId="77777777" w:rsidR="00067F96" w:rsidRPr="00124D12" w:rsidRDefault="00067F96" w:rsidP="00DE1444">
      <w:pPr>
        <w:spacing w:after="0" w:line="240" w:lineRule="auto"/>
        <w:jc w:val="both"/>
        <w:rPr>
          <w:rFonts w:eastAsia="Times New Roman" w:cstheme="minorHAnsi"/>
          <w:noProof/>
          <w:sz w:val="24"/>
          <w:szCs w:val="24"/>
        </w:rPr>
      </w:pPr>
    </w:p>
    <w:p w14:paraId="0FAAD674" w14:textId="77777777" w:rsidR="00FA77FD" w:rsidRPr="00124D12" w:rsidRDefault="00FA77FD" w:rsidP="00DE1444">
      <w:pPr>
        <w:spacing w:after="0" w:line="240" w:lineRule="auto"/>
        <w:jc w:val="both"/>
        <w:rPr>
          <w:rFonts w:eastAsia="Times New Roman" w:cstheme="minorHAnsi"/>
          <w:noProof/>
          <w:sz w:val="24"/>
          <w:szCs w:val="24"/>
        </w:rPr>
      </w:pPr>
    </w:p>
    <w:p w14:paraId="27F1DAE3" w14:textId="77777777" w:rsidR="00A823B5" w:rsidRPr="00124D12" w:rsidRDefault="00A823B5" w:rsidP="00DE1444">
      <w:pPr>
        <w:spacing w:after="0" w:line="240" w:lineRule="auto"/>
        <w:jc w:val="both"/>
        <w:rPr>
          <w:rFonts w:eastAsia="Times New Roman" w:cstheme="minorHAnsi"/>
          <w:noProof/>
          <w:sz w:val="24"/>
          <w:szCs w:val="24"/>
        </w:rPr>
      </w:pPr>
    </w:p>
    <w:p w14:paraId="73792DFE" w14:textId="77777777" w:rsidR="000C78E6" w:rsidRDefault="000C78E6" w:rsidP="00A91176">
      <w:pPr>
        <w:tabs>
          <w:tab w:val="center" w:pos="4153"/>
          <w:tab w:val="right" w:pos="8306"/>
        </w:tabs>
        <w:spacing w:after="0" w:line="240" w:lineRule="auto"/>
        <w:rPr>
          <w:sz w:val="24"/>
          <w:szCs w:val="24"/>
        </w:rPr>
      </w:pPr>
      <w:bookmarkStart w:id="0" w:name="_GoBack"/>
    </w:p>
    <w:p w14:paraId="0AE65626" w14:textId="77777777" w:rsidR="000C78E6" w:rsidRDefault="000C78E6" w:rsidP="00A91176">
      <w:pPr>
        <w:tabs>
          <w:tab w:val="center" w:pos="4153"/>
          <w:tab w:val="right" w:pos="8306"/>
        </w:tabs>
        <w:spacing w:after="0" w:line="240" w:lineRule="auto"/>
        <w:rPr>
          <w:sz w:val="24"/>
          <w:szCs w:val="24"/>
        </w:rPr>
      </w:pPr>
    </w:p>
    <w:p w14:paraId="4183A06F" w14:textId="77777777" w:rsidR="000C78E6" w:rsidRDefault="000C78E6" w:rsidP="00A91176">
      <w:pPr>
        <w:tabs>
          <w:tab w:val="center" w:pos="4153"/>
          <w:tab w:val="right" w:pos="8306"/>
        </w:tabs>
        <w:spacing w:after="0" w:line="240" w:lineRule="auto"/>
        <w:rPr>
          <w:sz w:val="24"/>
          <w:szCs w:val="24"/>
        </w:rPr>
      </w:pPr>
    </w:p>
    <w:p w14:paraId="71AE97BD" w14:textId="77777777" w:rsidR="000C78E6" w:rsidRDefault="000C78E6" w:rsidP="00A91176">
      <w:pPr>
        <w:tabs>
          <w:tab w:val="center" w:pos="4153"/>
          <w:tab w:val="right" w:pos="8306"/>
        </w:tabs>
        <w:spacing w:after="0" w:line="240" w:lineRule="auto"/>
        <w:rPr>
          <w:sz w:val="24"/>
          <w:szCs w:val="24"/>
        </w:rPr>
      </w:pPr>
    </w:p>
    <w:p w14:paraId="5200308F" w14:textId="77777777" w:rsidR="000C78E6" w:rsidRDefault="000C78E6" w:rsidP="00A91176">
      <w:pPr>
        <w:tabs>
          <w:tab w:val="center" w:pos="4153"/>
          <w:tab w:val="right" w:pos="8306"/>
        </w:tabs>
        <w:spacing w:after="0" w:line="240" w:lineRule="auto"/>
        <w:rPr>
          <w:sz w:val="24"/>
          <w:szCs w:val="24"/>
        </w:rPr>
      </w:pPr>
    </w:p>
    <w:p w14:paraId="6C53C460" w14:textId="77777777" w:rsidR="000C78E6" w:rsidRDefault="000C78E6" w:rsidP="00A91176">
      <w:pPr>
        <w:tabs>
          <w:tab w:val="center" w:pos="4153"/>
          <w:tab w:val="right" w:pos="8306"/>
        </w:tabs>
        <w:spacing w:after="0" w:line="240" w:lineRule="auto"/>
        <w:rPr>
          <w:sz w:val="24"/>
          <w:szCs w:val="24"/>
        </w:rPr>
      </w:pPr>
    </w:p>
    <w:p w14:paraId="64A17C53" w14:textId="77777777" w:rsidR="000C78E6" w:rsidRDefault="000C78E6" w:rsidP="00A91176">
      <w:pPr>
        <w:tabs>
          <w:tab w:val="center" w:pos="4153"/>
          <w:tab w:val="right" w:pos="8306"/>
        </w:tabs>
        <w:spacing w:after="0" w:line="240" w:lineRule="auto"/>
        <w:rPr>
          <w:sz w:val="24"/>
          <w:szCs w:val="24"/>
        </w:rPr>
      </w:pPr>
    </w:p>
    <w:p w14:paraId="222B7A42" w14:textId="77777777" w:rsidR="000C78E6" w:rsidRDefault="000C78E6" w:rsidP="00A91176">
      <w:pPr>
        <w:tabs>
          <w:tab w:val="center" w:pos="4153"/>
          <w:tab w:val="right" w:pos="8306"/>
        </w:tabs>
        <w:spacing w:after="0" w:line="240" w:lineRule="auto"/>
        <w:rPr>
          <w:sz w:val="24"/>
          <w:szCs w:val="24"/>
        </w:rPr>
      </w:pPr>
    </w:p>
    <w:p w14:paraId="78FE0459" w14:textId="77777777" w:rsidR="000C78E6" w:rsidRDefault="000C78E6" w:rsidP="00A91176">
      <w:pPr>
        <w:tabs>
          <w:tab w:val="center" w:pos="4153"/>
          <w:tab w:val="right" w:pos="8306"/>
        </w:tabs>
        <w:spacing w:after="0" w:line="240" w:lineRule="auto"/>
        <w:rPr>
          <w:sz w:val="24"/>
          <w:szCs w:val="24"/>
        </w:rPr>
      </w:pPr>
    </w:p>
    <w:p w14:paraId="43F9CA62" w14:textId="77777777" w:rsidR="000C78E6" w:rsidRDefault="000C78E6" w:rsidP="00A91176">
      <w:pPr>
        <w:tabs>
          <w:tab w:val="center" w:pos="4153"/>
          <w:tab w:val="right" w:pos="8306"/>
        </w:tabs>
        <w:spacing w:after="0" w:line="240" w:lineRule="auto"/>
        <w:rPr>
          <w:sz w:val="24"/>
          <w:szCs w:val="24"/>
        </w:rPr>
      </w:pPr>
    </w:p>
    <w:p w14:paraId="60D5FBC6" w14:textId="77777777" w:rsidR="000C78E6" w:rsidRDefault="000C78E6" w:rsidP="00A91176">
      <w:pPr>
        <w:tabs>
          <w:tab w:val="center" w:pos="4153"/>
          <w:tab w:val="right" w:pos="8306"/>
        </w:tabs>
        <w:spacing w:after="0" w:line="240" w:lineRule="auto"/>
        <w:rPr>
          <w:sz w:val="24"/>
          <w:szCs w:val="24"/>
        </w:rPr>
      </w:pPr>
    </w:p>
    <w:p w14:paraId="0C28C388" w14:textId="77777777" w:rsidR="000C78E6" w:rsidRDefault="000C78E6" w:rsidP="00A91176">
      <w:pPr>
        <w:tabs>
          <w:tab w:val="center" w:pos="4153"/>
          <w:tab w:val="right" w:pos="8306"/>
        </w:tabs>
        <w:spacing w:after="0" w:line="240" w:lineRule="auto"/>
        <w:rPr>
          <w:sz w:val="24"/>
          <w:szCs w:val="24"/>
        </w:rPr>
      </w:pPr>
    </w:p>
    <w:p w14:paraId="12E201C4" w14:textId="77777777" w:rsidR="000C78E6" w:rsidRDefault="000C78E6" w:rsidP="00A91176">
      <w:pPr>
        <w:tabs>
          <w:tab w:val="center" w:pos="4153"/>
          <w:tab w:val="right" w:pos="8306"/>
        </w:tabs>
        <w:spacing w:after="0" w:line="240" w:lineRule="auto"/>
        <w:rPr>
          <w:sz w:val="24"/>
          <w:szCs w:val="24"/>
        </w:rPr>
      </w:pPr>
    </w:p>
    <w:p w14:paraId="036A6904" w14:textId="77777777" w:rsidR="000C78E6" w:rsidRDefault="000C78E6" w:rsidP="00A91176">
      <w:pPr>
        <w:tabs>
          <w:tab w:val="center" w:pos="4153"/>
          <w:tab w:val="right" w:pos="8306"/>
        </w:tabs>
        <w:spacing w:after="0" w:line="240" w:lineRule="auto"/>
        <w:rPr>
          <w:sz w:val="24"/>
          <w:szCs w:val="24"/>
        </w:rPr>
      </w:pPr>
    </w:p>
    <w:p w14:paraId="244B6365" w14:textId="77777777" w:rsidR="000C78E6" w:rsidRDefault="000C78E6" w:rsidP="00A91176">
      <w:pPr>
        <w:tabs>
          <w:tab w:val="center" w:pos="4153"/>
          <w:tab w:val="right" w:pos="8306"/>
        </w:tabs>
        <w:spacing w:after="0" w:line="240" w:lineRule="auto"/>
        <w:rPr>
          <w:sz w:val="24"/>
          <w:szCs w:val="24"/>
        </w:rPr>
      </w:pPr>
    </w:p>
    <w:p w14:paraId="7B30E238" w14:textId="77777777" w:rsidR="000C78E6" w:rsidRDefault="000C78E6" w:rsidP="00A91176">
      <w:pPr>
        <w:tabs>
          <w:tab w:val="center" w:pos="4153"/>
          <w:tab w:val="right" w:pos="8306"/>
        </w:tabs>
        <w:spacing w:after="0" w:line="240" w:lineRule="auto"/>
        <w:rPr>
          <w:sz w:val="24"/>
          <w:szCs w:val="24"/>
        </w:rPr>
      </w:pPr>
    </w:p>
    <w:bookmarkEnd w:id="0"/>
    <w:p w14:paraId="0466F988" w14:textId="77777777" w:rsidR="003D6095" w:rsidRPr="00124D12" w:rsidRDefault="00811A64" w:rsidP="00A91176">
      <w:pPr>
        <w:tabs>
          <w:tab w:val="center" w:pos="4153"/>
          <w:tab w:val="right" w:pos="8306"/>
        </w:tabs>
        <w:spacing w:after="0" w:line="240" w:lineRule="auto"/>
        <w:rPr>
          <w:rFonts w:cstheme="minorHAnsi"/>
          <w:sz w:val="24"/>
          <w:szCs w:val="24"/>
        </w:rPr>
      </w:pPr>
      <w:r>
        <w:rPr>
          <w:sz w:val="24"/>
          <w:szCs w:val="24"/>
        </w:rPr>
        <w:t>Agnė Stulginskienė, phone no. 2693467</w:t>
      </w:r>
    </w:p>
    <w:p w14:paraId="3FD7E652" w14:textId="77777777" w:rsidR="00124D12" w:rsidRPr="00124D12" w:rsidRDefault="00124D12" w:rsidP="00A91176">
      <w:pPr>
        <w:tabs>
          <w:tab w:val="center" w:pos="4153"/>
          <w:tab w:val="right" w:pos="8306"/>
        </w:tabs>
        <w:spacing w:after="0" w:line="240" w:lineRule="auto"/>
        <w:rPr>
          <w:rFonts w:cstheme="minorHAnsi"/>
          <w:sz w:val="24"/>
          <w:szCs w:val="24"/>
        </w:rPr>
      </w:pPr>
    </w:p>
    <w:sectPr w:rsidR="00124D12" w:rsidRPr="00124D12" w:rsidSect="003D6095">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113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7C675" w14:textId="77777777" w:rsidR="00274372" w:rsidRDefault="00274372" w:rsidP="00A443FF">
      <w:pPr>
        <w:spacing w:after="0" w:line="240" w:lineRule="auto"/>
      </w:pPr>
      <w:r>
        <w:separator/>
      </w:r>
    </w:p>
  </w:endnote>
  <w:endnote w:type="continuationSeparator" w:id="0">
    <w:p w14:paraId="5F6E479C" w14:textId="77777777" w:rsidR="00274372" w:rsidRDefault="00274372" w:rsidP="00A4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B75A" w14:textId="77777777" w:rsidR="00E53903" w:rsidRDefault="00E539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08CF7" w14:textId="77777777" w:rsidR="00E53903" w:rsidRPr="002F545C" w:rsidRDefault="00E53903" w:rsidP="002F545C">
    <w:pPr>
      <w:pStyle w:val="NormalWeb"/>
      <w:rPr>
        <w:color w:val="000000"/>
        <w:sz w:val="27"/>
        <w:szCs w:val="27"/>
      </w:rPr>
    </w:pPr>
    <w:r>
      <w:rPr>
        <w:noProof/>
        <w:color w:val="000000"/>
        <w:sz w:val="27"/>
        <w:szCs w:val="27"/>
        <w:lang w:val="lt-LT"/>
      </w:rPr>
      <mc:AlternateContent>
        <mc:Choice Requires="wps">
          <w:drawing>
            <wp:anchor distT="0" distB="0" distL="114300" distR="114300" simplePos="0" relativeHeight="251665408" behindDoc="0" locked="0" layoutInCell="1" allowOverlap="1" wp14:anchorId="1A34C53E" wp14:editId="757F8AA7">
              <wp:simplePos x="0" y="0"/>
              <wp:positionH relativeFrom="column">
                <wp:posOffset>-565785</wp:posOffset>
              </wp:positionH>
              <wp:positionV relativeFrom="paragraph">
                <wp:posOffset>-5715</wp:posOffset>
              </wp:positionV>
              <wp:extent cx="6648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A7783F"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55pt,-.45pt" to="47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" strokecolor="#4472c4 [3204]" strokeweight=".5pt">
              <v:stroke joinstyle="miter"/>
            </v:line>
          </w:pict>
        </mc:Fallback>
      </mc:AlternateContent>
    </w:r>
    <w:r>
      <w:rPr>
        <w:noProof/>
        <w:color w:val="000000"/>
        <w:sz w:val="27"/>
        <w:szCs w:val="27"/>
        <w:lang w:val="lt-LT"/>
      </w:rPr>
      <mc:AlternateContent>
        <mc:Choice Requires="wps">
          <w:drawing>
            <wp:anchor distT="45720" distB="45720" distL="114300" distR="114300" simplePos="0" relativeHeight="251661312" behindDoc="0" locked="0" layoutInCell="1" allowOverlap="1" wp14:anchorId="38F70C2C" wp14:editId="789AD636">
              <wp:simplePos x="0" y="0"/>
              <wp:positionH relativeFrom="page">
                <wp:posOffset>5598160</wp:posOffset>
              </wp:positionH>
              <wp:positionV relativeFrom="paragraph">
                <wp:posOffset>196215</wp:posOffset>
              </wp:positionV>
              <wp:extent cx="1962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4620"/>
                      </a:xfrm>
                      <a:prstGeom prst="rect">
                        <a:avLst/>
                      </a:prstGeom>
                      <a:noFill/>
                      <a:ln w="9525">
                        <a:noFill/>
                        <a:miter lim="800000"/>
                        <a:headEnd/>
                        <a:tailEnd/>
                      </a:ln>
                    </wps:spPr>
                    <wps:txbx>
                      <w:txbxContent>
                        <w:p w14:paraId="1C51EF2D" w14:textId="77777777" w:rsidR="00E53903" w:rsidRPr="002F545C" w:rsidRDefault="00E53903" w:rsidP="002F545C">
                          <w:pPr>
                            <w:pStyle w:val="NormalWeb"/>
                            <w:rPr>
                              <w:color w:val="000000"/>
                              <w:sz w:val="16"/>
                              <w:szCs w:val="27"/>
                            </w:rPr>
                          </w:pPr>
                          <w:r>
                            <w:rPr>
                              <w:color w:val="000000"/>
                              <w:sz w:val="16"/>
                              <w:szCs w:val="27"/>
                            </w:rPr>
                            <w:t>Data collected and stored</w:t>
                          </w:r>
                          <w:r>
                            <w:rPr>
                              <w:color w:val="000000"/>
                              <w:sz w:val="16"/>
                              <w:szCs w:val="27"/>
                            </w:rPr>
                            <w:br/>
                            <w:t>in the Register of Legal Entities</w:t>
                          </w:r>
                          <w:r>
                            <w:rPr>
                              <w:color w:val="000000"/>
                              <w:sz w:val="16"/>
                              <w:szCs w:val="27"/>
                            </w:rPr>
                            <w:br/>
                            <w:t>Code 110053842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F70C2C" id="_x0000_t202" coordsize="21600,21600" o:spt="202" path="m,l,21600r21600,l21600,xe">
              <v:stroke joinstyle="miter"/>
              <v:path gradientshapeok="t" o:connecttype="rect"/>
            </v:shapetype>
            <v:shape id="Text Box 2" o:spid="_x0000_s1026" type="#_x0000_t202" style="position:absolute;margin-left:440.8pt;margin-top:15.45pt;width:154.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" filled="f" stroked="f">
              <v:textbox style="mso-fit-shape-to-text:t">
                <w:txbxContent>
                  <w:p w14:paraId="1C51EF2D" w14:textId="77777777" w:rsidR="00E53903" w:rsidRPr="002F545C" w:rsidRDefault="00E53903" w:rsidP="002F545C">
                    <w:pPr>
                      <w:pStyle w:val="NormalWeb"/>
                      <w:rPr>
                        <w:color w:val="000000"/>
                        <w:sz w:val="16"/>
                        <w:szCs w:val="27"/>
                      </w:rPr>
                    </w:pPr>
                    <w:r>
                      <w:rPr>
                        <w:color w:val="000000"/>
                        <w:sz w:val="16"/>
                        <w:szCs w:val="27"/>
                      </w:rPr>
                      <w:t xml:space="preserve">Data collected and stored</w:t>
                      <w:br/>
                      <w:t xml:space="preserve">in the Register of Legal Entities</w:t>
                      <w:br/>
                      <w:t xml:space="preserve">Code 110053842</w:t>
                    </w:r>
                  </w:p>
                </w:txbxContent>
              </v:textbox>
              <w10:wrap type="square" anchorx="page"/>
            </v:shape>
          </w:pict>
        </mc:Fallback>
      </mc:AlternateContent>
    </w:r>
    <w:r>
      <w:rPr>
        <w:noProof/>
        <w:color w:val="000000"/>
        <w:sz w:val="27"/>
        <w:szCs w:val="27"/>
        <w:lang w:val="lt-LT"/>
      </w:rPr>
      <mc:AlternateContent>
        <mc:Choice Requires="wps">
          <w:drawing>
            <wp:anchor distT="45720" distB="45720" distL="114300" distR="114300" simplePos="0" relativeHeight="251663360" behindDoc="0" locked="0" layoutInCell="1" allowOverlap="1" wp14:anchorId="6718DAD6" wp14:editId="3F904272">
              <wp:simplePos x="0" y="0"/>
              <wp:positionH relativeFrom="page">
                <wp:posOffset>990600</wp:posOffset>
              </wp:positionH>
              <wp:positionV relativeFrom="paragraph">
                <wp:posOffset>203835</wp:posOffset>
              </wp:positionV>
              <wp:extent cx="3000375" cy="6858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85800"/>
                      </a:xfrm>
                      <a:prstGeom prst="rect">
                        <a:avLst/>
                      </a:prstGeom>
                      <a:noFill/>
                      <a:ln w="9525">
                        <a:noFill/>
                        <a:miter lim="800000"/>
                        <a:headEnd/>
                        <a:tailEnd/>
                      </a:ln>
                    </wps:spPr>
                    <wps:txbx>
                      <w:txbxContent>
                        <w:p w14:paraId="5F935B45" w14:textId="77777777" w:rsidR="00E53903" w:rsidRPr="002F545C" w:rsidRDefault="00E53903" w:rsidP="003800A2">
                          <w:pPr>
                            <w:pStyle w:val="NormalWeb"/>
                            <w:rPr>
                              <w:color w:val="000000"/>
                              <w:sz w:val="16"/>
                              <w:szCs w:val="27"/>
                            </w:rPr>
                          </w:pPr>
                          <w:r>
                            <w:rPr>
                              <w:color w:val="000000"/>
                              <w:sz w:val="16"/>
                              <w:szCs w:val="27"/>
                            </w:rPr>
                            <w:t xml:space="preserve">Joint-Stock Company </w:t>
                          </w:r>
                          <w:proofErr w:type="spellStart"/>
                          <w:r>
                            <w:rPr>
                              <w:color w:val="000000"/>
                              <w:sz w:val="16"/>
                              <w:szCs w:val="27"/>
                            </w:rPr>
                            <w:t>Lietuvos</w:t>
                          </w:r>
                          <w:proofErr w:type="spellEnd"/>
                          <w:r>
                            <w:rPr>
                              <w:color w:val="000000"/>
                              <w:sz w:val="16"/>
                              <w:szCs w:val="27"/>
                            </w:rPr>
                            <w:t xml:space="preserve"> </w:t>
                          </w:r>
                          <w:proofErr w:type="spellStart"/>
                          <w:r>
                            <w:rPr>
                              <w:color w:val="000000"/>
                              <w:sz w:val="16"/>
                              <w:szCs w:val="27"/>
                            </w:rPr>
                            <w:t>Geležinkeliai</w:t>
                          </w:r>
                          <w:proofErr w:type="spellEnd"/>
                          <w:r>
                            <w:rPr>
                              <w:color w:val="000000"/>
                              <w:sz w:val="16"/>
                              <w:szCs w:val="27"/>
                            </w:rPr>
                            <w:br/>
                          </w:r>
                          <w:proofErr w:type="spellStart"/>
                          <w:r>
                            <w:rPr>
                              <w:color w:val="000000"/>
                              <w:sz w:val="16"/>
                              <w:szCs w:val="27"/>
                            </w:rPr>
                            <w:t>Mindaugo</w:t>
                          </w:r>
                          <w:proofErr w:type="spellEnd"/>
                          <w:r>
                            <w:rPr>
                              <w:color w:val="000000"/>
                              <w:sz w:val="16"/>
                              <w:szCs w:val="27"/>
                            </w:rPr>
                            <w:t xml:space="preserve"> Str. 12, LT-03603 Vilnius</w:t>
                          </w:r>
                          <w:r>
                            <w:rPr>
                              <w:color w:val="000000"/>
                              <w:sz w:val="16"/>
                              <w:szCs w:val="27"/>
                            </w:rPr>
                            <w:br/>
                            <w:t>Phone no. (8 5) 269 2038</w:t>
                          </w:r>
                          <w:r>
                            <w:rPr>
                              <w:color w:val="000000"/>
                              <w:sz w:val="16"/>
                              <w:szCs w:val="27"/>
                            </w:rPr>
                            <w:br/>
                            <w:t>E-mail: info@litrail.lt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18DAD6" id="_x0000_s1027" type="#_x0000_t202" style="position:absolute;margin-left:78pt;margin-top:16.05pt;width:236.25pt;height:5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" filled="f" stroked="f">
              <v:textbox>
                <w:txbxContent>
                  <w:p w14:paraId="5F935B45" w14:textId="77777777" w:rsidR="00E53903" w:rsidRPr="002F545C" w:rsidRDefault="00E53903" w:rsidP="003800A2">
                    <w:pPr>
                      <w:pStyle w:val="NormalWeb"/>
                      <w:rPr>
                        <w:color w:val="000000"/>
                        <w:sz w:val="16"/>
                        <w:szCs w:val="27"/>
                      </w:rPr>
                    </w:pPr>
                    <w:r>
                      <w:rPr>
                        <w:color w:val="000000"/>
                        <w:sz w:val="16"/>
                        <w:szCs w:val="27"/>
                      </w:rPr>
                      <w:t xml:space="preserve">Joint-Stock Company Lietuvos Geležinkeliai</w:t>
                      <w:br/>
                      <w:t xml:space="preserve">Mindaugo Str. 12, LT-03603 Vilnius</w:t>
                      <w:br/>
                      <w:t xml:space="preserve">Phone no. (8 5) 269 2038</w:t>
                      <w:br/>
                      <w:t xml:space="preserve">E-mail: info@litrail.lt</w:t>
                    </w: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50968" w14:textId="77777777" w:rsidR="00E53903" w:rsidRDefault="00E53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69C02" w14:textId="77777777" w:rsidR="00274372" w:rsidRDefault="00274372" w:rsidP="00A443FF">
      <w:pPr>
        <w:spacing w:after="0" w:line="240" w:lineRule="auto"/>
      </w:pPr>
      <w:r>
        <w:separator/>
      </w:r>
    </w:p>
  </w:footnote>
  <w:footnote w:type="continuationSeparator" w:id="0">
    <w:p w14:paraId="0FE6D11F" w14:textId="77777777" w:rsidR="00274372" w:rsidRDefault="00274372" w:rsidP="00A44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637A8" w14:textId="77777777" w:rsidR="00E53903" w:rsidRDefault="00E539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E1D4D" w14:textId="77777777" w:rsidR="00E53903" w:rsidRDefault="00E53903" w:rsidP="003D6095">
    <w:pPr>
      <w:pStyle w:val="Header"/>
      <w:tabs>
        <w:tab w:val="clear" w:pos="4819"/>
        <w:tab w:val="clear" w:pos="9638"/>
        <w:tab w:val="left" w:pos="4560"/>
        <w:tab w:val="left" w:pos="6945"/>
      </w:tabs>
      <w:jc w:val="right"/>
    </w:pPr>
    <w:r>
      <w:rPr>
        <w:noProof/>
        <w:lang w:val="lt-LT" w:eastAsia="lt-LT"/>
      </w:rPr>
      <w:drawing>
        <wp:anchor distT="0" distB="0" distL="114300" distR="114300" simplePos="0" relativeHeight="251664384" behindDoc="1" locked="0" layoutInCell="1" allowOverlap="1" wp14:anchorId="479AF9C2" wp14:editId="1F6C563A">
          <wp:simplePos x="0" y="0"/>
          <wp:positionH relativeFrom="page">
            <wp:align>right</wp:align>
          </wp:positionH>
          <wp:positionV relativeFrom="paragraph">
            <wp:posOffset>-360045</wp:posOffset>
          </wp:positionV>
          <wp:extent cx="7548594" cy="1067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_LG_blankas-final.png"/>
                  <pic:cNvPicPr/>
                </pic:nvPicPr>
                <pic:blipFill>
                  <a:blip r:embed="rId1">
                    <a:extLst>
                      <a:ext uri="{28A0092B-C50C-407E-A947-70E740481C1C}">
                        <a14:useLocalDpi xmlns:a14="http://schemas.microsoft.com/office/drawing/2010/main" val="0"/>
                      </a:ext>
                    </a:extLst>
                  </a:blip>
                  <a:stretch>
                    <a:fillRect/>
                  </a:stretch>
                </pic:blipFill>
                <pic:spPr>
                  <a:xfrm>
                    <a:off x="0" y="0"/>
                    <a:ext cx="7548594" cy="106775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br/>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81338" w14:textId="77777777" w:rsidR="00E53903" w:rsidRDefault="00E53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0747"/>
    <w:multiLevelType w:val="hybridMultilevel"/>
    <w:tmpl w:val="2C0E913E"/>
    <w:lvl w:ilvl="0" w:tplc="D5B2991C">
      <w:start w:val="1"/>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
    <w:nsid w:val="07410B33"/>
    <w:multiLevelType w:val="hybridMultilevel"/>
    <w:tmpl w:val="41FCC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23FB5"/>
    <w:multiLevelType w:val="hybridMultilevel"/>
    <w:tmpl w:val="A9BC0ED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B8E1020"/>
    <w:multiLevelType w:val="hybridMultilevel"/>
    <w:tmpl w:val="B57A7AC6"/>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CAF08EE"/>
    <w:multiLevelType w:val="hybridMultilevel"/>
    <w:tmpl w:val="8E32A99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A9B3D0F"/>
    <w:multiLevelType w:val="hybridMultilevel"/>
    <w:tmpl w:val="AE42A5F8"/>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80F2EDA"/>
    <w:multiLevelType w:val="hybridMultilevel"/>
    <w:tmpl w:val="4F8AB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07"/>
    <w:rsid w:val="00002A44"/>
    <w:rsid w:val="00022342"/>
    <w:rsid w:val="00027748"/>
    <w:rsid w:val="00027A45"/>
    <w:rsid w:val="000429B5"/>
    <w:rsid w:val="000440AF"/>
    <w:rsid w:val="0005666A"/>
    <w:rsid w:val="00063213"/>
    <w:rsid w:val="00063F30"/>
    <w:rsid w:val="00067F96"/>
    <w:rsid w:val="00095715"/>
    <w:rsid w:val="000962FC"/>
    <w:rsid w:val="000B179C"/>
    <w:rsid w:val="000B5358"/>
    <w:rsid w:val="000C23F5"/>
    <w:rsid w:val="000C78E6"/>
    <w:rsid w:val="000D15F4"/>
    <w:rsid w:val="000E13E4"/>
    <w:rsid w:val="000F40D7"/>
    <w:rsid w:val="001054E4"/>
    <w:rsid w:val="0010554C"/>
    <w:rsid w:val="0012410E"/>
    <w:rsid w:val="00124D12"/>
    <w:rsid w:val="00126EB5"/>
    <w:rsid w:val="00142CC5"/>
    <w:rsid w:val="0015317C"/>
    <w:rsid w:val="00166250"/>
    <w:rsid w:val="00172B87"/>
    <w:rsid w:val="0017303B"/>
    <w:rsid w:val="00175FBE"/>
    <w:rsid w:val="0019633C"/>
    <w:rsid w:val="00213ABC"/>
    <w:rsid w:val="00231AE7"/>
    <w:rsid w:val="00264EA5"/>
    <w:rsid w:val="00274372"/>
    <w:rsid w:val="002757B3"/>
    <w:rsid w:val="00294381"/>
    <w:rsid w:val="00296403"/>
    <w:rsid w:val="002B1B32"/>
    <w:rsid w:val="002E01C2"/>
    <w:rsid w:val="002F545C"/>
    <w:rsid w:val="00303080"/>
    <w:rsid w:val="00315B8C"/>
    <w:rsid w:val="00323E07"/>
    <w:rsid w:val="003616DC"/>
    <w:rsid w:val="003800A2"/>
    <w:rsid w:val="00383125"/>
    <w:rsid w:val="003908D6"/>
    <w:rsid w:val="00392207"/>
    <w:rsid w:val="003B3BE3"/>
    <w:rsid w:val="003B7811"/>
    <w:rsid w:val="003D0940"/>
    <w:rsid w:val="003D37A1"/>
    <w:rsid w:val="003D6095"/>
    <w:rsid w:val="003E16B2"/>
    <w:rsid w:val="00412DEA"/>
    <w:rsid w:val="00427130"/>
    <w:rsid w:val="00434AD7"/>
    <w:rsid w:val="00436894"/>
    <w:rsid w:val="00442823"/>
    <w:rsid w:val="0044687C"/>
    <w:rsid w:val="004529EA"/>
    <w:rsid w:val="00476D56"/>
    <w:rsid w:val="00477B19"/>
    <w:rsid w:val="00477DA2"/>
    <w:rsid w:val="00477F53"/>
    <w:rsid w:val="00486C49"/>
    <w:rsid w:val="00492B68"/>
    <w:rsid w:val="004A0617"/>
    <w:rsid w:val="004A2A3D"/>
    <w:rsid w:val="004C2598"/>
    <w:rsid w:val="004C645F"/>
    <w:rsid w:val="004E5BDE"/>
    <w:rsid w:val="00526165"/>
    <w:rsid w:val="0054207C"/>
    <w:rsid w:val="00543E8B"/>
    <w:rsid w:val="00553CAE"/>
    <w:rsid w:val="00571593"/>
    <w:rsid w:val="00583DF0"/>
    <w:rsid w:val="00590279"/>
    <w:rsid w:val="00594166"/>
    <w:rsid w:val="00596F3C"/>
    <w:rsid w:val="005A2BAD"/>
    <w:rsid w:val="005C768A"/>
    <w:rsid w:val="005D44A0"/>
    <w:rsid w:val="005E677D"/>
    <w:rsid w:val="00620F66"/>
    <w:rsid w:val="006527F3"/>
    <w:rsid w:val="00656441"/>
    <w:rsid w:val="00683CD1"/>
    <w:rsid w:val="00684CF8"/>
    <w:rsid w:val="0069673C"/>
    <w:rsid w:val="006B601B"/>
    <w:rsid w:val="006E68B1"/>
    <w:rsid w:val="006F6875"/>
    <w:rsid w:val="007026BF"/>
    <w:rsid w:val="00706BA9"/>
    <w:rsid w:val="007114F6"/>
    <w:rsid w:val="007223FE"/>
    <w:rsid w:val="007654D0"/>
    <w:rsid w:val="0077742E"/>
    <w:rsid w:val="007F536F"/>
    <w:rsid w:val="0080576A"/>
    <w:rsid w:val="00806258"/>
    <w:rsid w:val="00811A64"/>
    <w:rsid w:val="00811CA5"/>
    <w:rsid w:val="008867BC"/>
    <w:rsid w:val="008A52D2"/>
    <w:rsid w:val="008B47EB"/>
    <w:rsid w:val="008D4548"/>
    <w:rsid w:val="008E3C1C"/>
    <w:rsid w:val="008F48CE"/>
    <w:rsid w:val="00904651"/>
    <w:rsid w:val="009103D3"/>
    <w:rsid w:val="009167C5"/>
    <w:rsid w:val="00927571"/>
    <w:rsid w:val="00940041"/>
    <w:rsid w:val="009465E1"/>
    <w:rsid w:val="0096193F"/>
    <w:rsid w:val="00962B93"/>
    <w:rsid w:val="0096342B"/>
    <w:rsid w:val="00965D71"/>
    <w:rsid w:val="00970FCA"/>
    <w:rsid w:val="009930AD"/>
    <w:rsid w:val="00994144"/>
    <w:rsid w:val="00994F36"/>
    <w:rsid w:val="009B770C"/>
    <w:rsid w:val="009D18B4"/>
    <w:rsid w:val="00A00D82"/>
    <w:rsid w:val="00A26AEE"/>
    <w:rsid w:val="00A31DC3"/>
    <w:rsid w:val="00A37993"/>
    <w:rsid w:val="00A443FF"/>
    <w:rsid w:val="00A62997"/>
    <w:rsid w:val="00A677C8"/>
    <w:rsid w:val="00A823B5"/>
    <w:rsid w:val="00A85919"/>
    <w:rsid w:val="00A87976"/>
    <w:rsid w:val="00A91176"/>
    <w:rsid w:val="00AA195E"/>
    <w:rsid w:val="00AD4E6E"/>
    <w:rsid w:val="00AE293F"/>
    <w:rsid w:val="00AF6D38"/>
    <w:rsid w:val="00B33704"/>
    <w:rsid w:val="00B7087E"/>
    <w:rsid w:val="00B73863"/>
    <w:rsid w:val="00BA15FD"/>
    <w:rsid w:val="00BA1EE4"/>
    <w:rsid w:val="00BA2E95"/>
    <w:rsid w:val="00BD77D7"/>
    <w:rsid w:val="00BD7909"/>
    <w:rsid w:val="00BE4397"/>
    <w:rsid w:val="00BE6732"/>
    <w:rsid w:val="00C0725C"/>
    <w:rsid w:val="00C07C12"/>
    <w:rsid w:val="00C319FF"/>
    <w:rsid w:val="00C33B03"/>
    <w:rsid w:val="00C40AAE"/>
    <w:rsid w:val="00C43B3E"/>
    <w:rsid w:val="00C62454"/>
    <w:rsid w:val="00C86DBA"/>
    <w:rsid w:val="00C9381C"/>
    <w:rsid w:val="00C953F5"/>
    <w:rsid w:val="00CA10A6"/>
    <w:rsid w:val="00CB7E38"/>
    <w:rsid w:val="00CD6921"/>
    <w:rsid w:val="00CE004B"/>
    <w:rsid w:val="00CF1351"/>
    <w:rsid w:val="00CF7103"/>
    <w:rsid w:val="00D05B91"/>
    <w:rsid w:val="00D213BB"/>
    <w:rsid w:val="00D3130B"/>
    <w:rsid w:val="00D412ED"/>
    <w:rsid w:val="00D85ECF"/>
    <w:rsid w:val="00DC5107"/>
    <w:rsid w:val="00DE1444"/>
    <w:rsid w:val="00DF51D6"/>
    <w:rsid w:val="00DF6CF1"/>
    <w:rsid w:val="00E04408"/>
    <w:rsid w:val="00E174CF"/>
    <w:rsid w:val="00E22A76"/>
    <w:rsid w:val="00E42F88"/>
    <w:rsid w:val="00E43560"/>
    <w:rsid w:val="00E53903"/>
    <w:rsid w:val="00E60501"/>
    <w:rsid w:val="00E613E0"/>
    <w:rsid w:val="00E61404"/>
    <w:rsid w:val="00E653CA"/>
    <w:rsid w:val="00E71847"/>
    <w:rsid w:val="00EA06EA"/>
    <w:rsid w:val="00EB245F"/>
    <w:rsid w:val="00EE2EE7"/>
    <w:rsid w:val="00EF24DF"/>
    <w:rsid w:val="00EF29A7"/>
    <w:rsid w:val="00F31F2F"/>
    <w:rsid w:val="00F418CF"/>
    <w:rsid w:val="00F55F27"/>
    <w:rsid w:val="00F56403"/>
    <w:rsid w:val="00F62A82"/>
    <w:rsid w:val="00FA189D"/>
    <w:rsid w:val="00FA77FD"/>
    <w:rsid w:val="00FB477D"/>
    <w:rsid w:val="00FB5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13868"/>
  <w15:chartTrackingRefBased/>
  <w15:docId w15:val="{B2871C1A-ABBD-47EE-B026-161190EE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3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43FF"/>
  </w:style>
  <w:style w:type="paragraph" w:styleId="Footer">
    <w:name w:val="footer"/>
    <w:basedOn w:val="Normal"/>
    <w:link w:val="FooterChar"/>
    <w:uiPriority w:val="99"/>
    <w:unhideWhenUsed/>
    <w:rsid w:val="00A443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43FF"/>
  </w:style>
  <w:style w:type="paragraph" w:styleId="BalloonText">
    <w:name w:val="Balloon Text"/>
    <w:basedOn w:val="Normal"/>
    <w:link w:val="BalloonTextChar"/>
    <w:uiPriority w:val="99"/>
    <w:semiHidden/>
    <w:unhideWhenUsed/>
    <w:rsid w:val="00D0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B91"/>
    <w:rPr>
      <w:rFonts w:ascii="Segoe UI" w:hAnsi="Segoe UI" w:cs="Segoe UI"/>
      <w:sz w:val="18"/>
      <w:szCs w:val="18"/>
    </w:rPr>
  </w:style>
  <w:style w:type="paragraph" w:styleId="NormalWeb">
    <w:name w:val="Normal (Web)"/>
    <w:basedOn w:val="Normal"/>
    <w:uiPriority w:val="99"/>
    <w:unhideWhenUsed/>
    <w:rsid w:val="002F54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F545C"/>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2F545C"/>
    <w:pPr>
      <w:ind w:left="720"/>
      <w:contextualSpacing/>
    </w:pPr>
  </w:style>
  <w:style w:type="character" w:styleId="CommentReference">
    <w:name w:val="annotation reference"/>
    <w:basedOn w:val="DefaultParagraphFont"/>
    <w:uiPriority w:val="99"/>
    <w:semiHidden/>
    <w:unhideWhenUsed/>
    <w:rsid w:val="0096193F"/>
    <w:rPr>
      <w:sz w:val="16"/>
      <w:szCs w:val="16"/>
    </w:rPr>
  </w:style>
  <w:style w:type="paragraph" w:styleId="CommentText">
    <w:name w:val="annotation text"/>
    <w:basedOn w:val="Normal"/>
    <w:link w:val="CommentTextChar"/>
    <w:uiPriority w:val="99"/>
    <w:semiHidden/>
    <w:unhideWhenUsed/>
    <w:rsid w:val="0096193F"/>
    <w:pPr>
      <w:spacing w:line="240" w:lineRule="auto"/>
    </w:pPr>
    <w:rPr>
      <w:sz w:val="20"/>
      <w:szCs w:val="20"/>
    </w:rPr>
  </w:style>
  <w:style w:type="character" w:customStyle="1" w:styleId="CommentTextChar">
    <w:name w:val="Comment Text Char"/>
    <w:basedOn w:val="DefaultParagraphFont"/>
    <w:link w:val="CommentText"/>
    <w:uiPriority w:val="99"/>
    <w:semiHidden/>
    <w:rsid w:val="0096193F"/>
    <w:rPr>
      <w:sz w:val="20"/>
      <w:szCs w:val="20"/>
    </w:rPr>
  </w:style>
  <w:style w:type="paragraph" w:styleId="CommentSubject">
    <w:name w:val="annotation subject"/>
    <w:basedOn w:val="CommentText"/>
    <w:next w:val="CommentText"/>
    <w:link w:val="CommentSubjectChar"/>
    <w:uiPriority w:val="99"/>
    <w:semiHidden/>
    <w:unhideWhenUsed/>
    <w:rsid w:val="0096193F"/>
    <w:rPr>
      <w:b/>
      <w:bCs/>
    </w:rPr>
  </w:style>
  <w:style w:type="character" w:customStyle="1" w:styleId="CommentSubjectChar">
    <w:name w:val="Comment Subject Char"/>
    <w:basedOn w:val="CommentTextChar"/>
    <w:link w:val="CommentSubject"/>
    <w:uiPriority w:val="99"/>
    <w:semiHidden/>
    <w:rsid w:val="0096193F"/>
    <w:rPr>
      <w:b/>
      <w:bCs/>
      <w:sz w:val="20"/>
      <w:szCs w:val="20"/>
    </w:rPr>
  </w:style>
  <w:style w:type="character" w:customStyle="1" w:styleId="fontstyle01">
    <w:name w:val="fontstyle01"/>
    <w:basedOn w:val="DefaultParagraphFont"/>
    <w:rsid w:val="006F6875"/>
    <w:rPr>
      <w:rFonts w:ascii="Times New Roman" w:hAnsi="Times New Roman" w:cs="Times New Roman" w:hint="default"/>
      <w:b/>
      <w:bCs/>
      <w:i/>
      <w:iCs/>
      <w:color w:val="000000"/>
      <w:sz w:val="24"/>
      <w:szCs w:val="24"/>
    </w:rPr>
  </w:style>
  <w:style w:type="character" w:customStyle="1" w:styleId="fontstyle21">
    <w:name w:val="fontstyle21"/>
    <w:basedOn w:val="DefaultParagraphFont"/>
    <w:rsid w:val="006F6875"/>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6F6875"/>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6F6875"/>
    <w:rPr>
      <w:rFonts w:ascii="Times New Roman" w:hAnsi="Times New Roman" w:cs="Times New Roman" w:hint="default"/>
      <w:b/>
      <w:bCs/>
      <w:i w:val="0"/>
      <w:iCs w:val="0"/>
      <w:color w:val="000000"/>
      <w:sz w:val="16"/>
      <w:szCs w:val="16"/>
    </w:rPr>
  </w:style>
  <w:style w:type="character" w:customStyle="1" w:styleId="fontstyle51">
    <w:name w:val="fontstyle51"/>
    <w:basedOn w:val="DefaultParagraphFont"/>
    <w:rsid w:val="006F6875"/>
    <w:rPr>
      <w:rFonts w:ascii="Calibri" w:hAnsi="Calibri" w:hint="default"/>
      <w:b w:val="0"/>
      <w:bCs w:val="0"/>
      <w:i w:val="0"/>
      <w:iCs w:val="0"/>
      <w:color w:val="000000"/>
      <w:sz w:val="16"/>
      <w:szCs w:val="16"/>
    </w:rPr>
  </w:style>
  <w:style w:type="character" w:customStyle="1" w:styleId="fontstyle61">
    <w:name w:val="fontstyle61"/>
    <w:basedOn w:val="DefaultParagraphFont"/>
    <w:rsid w:val="006F6875"/>
    <w:rPr>
      <w:rFonts w:ascii="Symbol" w:hAnsi="Symbol" w:hint="default"/>
      <w:b w:val="0"/>
      <w:bCs w:val="0"/>
      <w:i w:val="0"/>
      <w:iCs w:val="0"/>
      <w:color w:val="000000"/>
      <w:sz w:val="24"/>
      <w:szCs w:val="24"/>
    </w:rPr>
  </w:style>
  <w:style w:type="table" w:styleId="TableGrid">
    <w:name w:val="Table Grid"/>
    <w:basedOn w:val="TableNormal"/>
    <w:uiPriority w:val="39"/>
    <w:rsid w:val="00E60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60501"/>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C23F5"/>
  </w:style>
  <w:style w:type="paragraph" w:styleId="PlainText">
    <w:name w:val="Plain Text"/>
    <w:basedOn w:val="Normal"/>
    <w:link w:val="PlainTextChar"/>
    <w:uiPriority w:val="99"/>
    <w:unhideWhenUsed/>
    <w:rsid w:val="00FA77FD"/>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A77FD"/>
    <w:rPr>
      <w:rFonts w:ascii="Calibri" w:eastAsia="Calibri" w:hAnsi="Calibri" w:cs="Times New Roman"/>
      <w:szCs w:val="21"/>
      <w:lang w:val="en-GB"/>
    </w:rPr>
  </w:style>
  <w:style w:type="character" w:styleId="Emphasis">
    <w:name w:val="Emphasis"/>
    <w:basedOn w:val="DefaultParagraphFont"/>
    <w:uiPriority w:val="20"/>
    <w:qFormat/>
    <w:rsid w:val="00124D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4630">
      <w:bodyDiv w:val="1"/>
      <w:marLeft w:val="0"/>
      <w:marRight w:val="0"/>
      <w:marTop w:val="0"/>
      <w:marBottom w:val="0"/>
      <w:divBdr>
        <w:top w:val="none" w:sz="0" w:space="0" w:color="auto"/>
        <w:left w:val="none" w:sz="0" w:space="0" w:color="auto"/>
        <w:bottom w:val="none" w:sz="0" w:space="0" w:color="auto"/>
        <w:right w:val="none" w:sz="0" w:space="0" w:color="auto"/>
      </w:divBdr>
    </w:div>
    <w:div w:id="190339603">
      <w:bodyDiv w:val="1"/>
      <w:marLeft w:val="0"/>
      <w:marRight w:val="0"/>
      <w:marTop w:val="0"/>
      <w:marBottom w:val="0"/>
      <w:divBdr>
        <w:top w:val="none" w:sz="0" w:space="0" w:color="auto"/>
        <w:left w:val="none" w:sz="0" w:space="0" w:color="auto"/>
        <w:bottom w:val="none" w:sz="0" w:space="0" w:color="auto"/>
        <w:right w:val="none" w:sz="0" w:space="0" w:color="auto"/>
      </w:divBdr>
    </w:div>
    <w:div w:id="192113793">
      <w:bodyDiv w:val="1"/>
      <w:marLeft w:val="0"/>
      <w:marRight w:val="0"/>
      <w:marTop w:val="0"/>
      <w:marBottom w:val="0"/>
      <w:divBdr>
        <w:top w:val="none" w:sz="0" w:space="0" w:color="auto"/>
        <w:left w:val="none" w:sz="0" w:space="0" w:color="auto"/>
        <w:bottom w:val="none" w:sz="0" w:space="0" w:color="auto"/>
        <w:right w:val="none" w:sz="0" w:space="0" w:color="auto"/>
      </w:divBdr>
    </w:div>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754471243">
      <w:bodyDiv w:val="1"/>
      <w:marLeft w:val="0"/>
      <w:marRight w:val="0"/>
      <w:marTop w:val="0"/>
      <w:marBottom w:val="0"/>
      <w:divBdr>
        <w:top w:val="none" w:sz="0" w:space="0" w:color="auto"/>
        <w:left w:val="none" w:sz="0" w:space="0" w:color="auto"/>
        <w:bottom w:val="none" w:sz="0" w:space="0" w:color="auto"/>
        <w:right w:val="none" w:sz="0" w:space="0" w:color="auto"/>
      </w:divBdr>
    </w:div>
    <w:div w:id="802844155">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6A617-F215-4579-886A-3C961700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4545</Words>
  <Characters>2592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Jakunskas | vipcommunications</dc:creator>
  <cp:keywords/>
  <dc:description/>
  <cp:lastModifiedBy>Agnė Stulginskienė</cp:lastModifiedBy>
  <cp:revision>5</cp:revision>
  <cp:lastPrinted>2018-04-13T07:25:00Z</cp:lastPrinted>
  <dcterms:created xsi:type="dcterms:W3CDTF">2018-11-16T12:29:00Z</dcterms:created>
  <dcterms:modified xsi:type="dcterms:W3CDTF">2018-11-16T13:00:00Z</dcterms:modified>
</cp:coreProperties>
</file>